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4615" w:type="dxa"/>
        <w:jc w:val="start"/>
        <w:tblInd w:w="0" w:type="dxa"/>
        <w:tblLayout w:type="fixed"/>
        <w:tblCellMar>
          <w:top w:w="0" w:type="dxa"/>
          <w:start w:w="108" w:type="dxa"/>
          <w:bottom w:w="0" w:type="dxa"/>
          <w:end w:w="108" w:type="dxa"/>
        </w:tblCellMar>
      </w:tblPr>
      <w:tblGrid>
        <w:gridCol w:w="2538"/>
        <w:gridCol w:w="5670"/>
        <w:gridCol w:w="2880"/>
        <w:gridCol w:w="1620"/>
        <w:gridCol w:w="1907"/>
      </w:tblGrid>
      <w:tr>
        <w:trPr/>
        <w:tc>
          <w:tcPr>
            <w:tcW w:w="14615" w:type="dxa"/>
            <w:gridSpan w:val="5"/>
            <w:tcBorders>
              <w:top w:val="single" w:sz="4" w:space="0" w:color="000000"/>
              <w:start w:val="single" w:sz="4" w:space="0" w:color="000000"/>
              <w:bottom w:val="single" w:sz="4" w:space="0" w:color="000000"/>
              <w:end w:val="single" w:sz="4" w:space="0" w:color="000000"/>
            </w:tcBorders>
          </w:tcPr>
          <w:p>
            <w:pPr>
              <w:pStyle w:val="Header"/>
              <w:jc w:val="center"/>
              <w:rPr>
                <w:b/>
                <w:sz w:val="18"/>
              </w:rPr>
            </w:pPr>
            <w:r>
              <w:rPr>
                <w:b/>
                <w:sz w:val="18"/>
              </w:rPr>
              <w:t>ATTORNEY WORK PRODUCT – PREPARED IN ANTICIPATION OF LITIGATION</w:t>
            </w:r>
          </w:p>
          <w:p>
            <w:pPr>
              <w:pStyle w:val="Header"/>
              <w:jc w:val="center"/>
              <w:rPr>
                <w:b/>
                <w:sz w:val="18"/>
              </w:rPr>
            </w:pPr>
            <w:r>
              <w:rPr>
                <w:b/>
                <w:sz w:val="18"/>
              </w:rPr>
              <w:t>CONFIDENTIAL AND PRIVILEGED</w:t>
            </w:r>
          </w:p>
          <w:p>
            <w:pPr>
              <w:pStyle w:val="Header"/>
              <w:jc w:val="center"/>
              <w:rPr>
                <w:b/>
                <w:sz w:val="18"/>
              </w:rPr>
            </w:pPr>
            <w:r>
              <w:rPr>
                <w:b/>
                <w:sz w:val="18"/>
              </w:rPr>
              <w:t xml:space="preserve">DO NOT COPY </w:t>
            </w:r>
          </w:p>
          <w:p>
            <w:pPr>
              <w:pStyle w:val="Header"/>
              <w:jc w:val="center"/>
              <w:rPr>
                <w:b/>
                <w:sz w:val="18"/>
              </w:rPr>
            </w:pPr>
            <w:r>
              <w:rPr>
                <w:b/>
                <w:sz w:val="18"/>
              </w:rPr>
              <w:t>EES LEGAL DEPARTMENT  LEGAL RISK REPORT</w:t>
            </w:r>
          </w:p>
          <w:p>
            <w:pPr>
              <w:pStyle w:val="Header"/>
              <w:jc w:val="center"/>
              <w:rPr>
                <w:b/>
                <w:sz w:val="18"/>
              </w:rPr>
            </w:pPr>
            <w:r>
              <w:rPr>
                <w:b/>
                <w:sz w:val="18"/>
              </w:rPr>
              <w:t>TOP EES LEGAL RISKS</w:t>
            </w:r>
            <w:r>
              <w:rPr>
                <w:rStyle w:val="FootnoteCharacters"/>
                <w:rStyle w:val="FootnoteReference"/>
                <w:b/>
                <w:sz w:val="18"/>
              </w:rPr>
              <w:footnoteReference w:id="2"/>
            </w:r>
          </w:p>
          <w:p>
            <w:pPr>
              <w:pStyle w:val="Normal"/>
              <w:jc w:val="center"/>
              <w:rPr>
                <w:b/>
              </w:rPr>
            </w:pPr>
            <w:r>
              <w:rPr>
                <w:b/>
                <w:sz w:val="18"/>
              </w:rPr>
              <w:t>(AS OF 9/1/01)</w:t>
            </w:r>
          </w:p>
        </w:tc>
      </w:tr>
      <w:tr>
        <w:trPr/>
        <w:tc>
          <w:tcPr>
            <w:tcW w:w="253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Legal Risk</w:t>
            </w:r>
          </w:p>
        </w:tc>
        <w:tc>
          <w:tcPr>
            <w:tcW w:w="567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Issues</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Risk Amount</w:t>
            </w:r>
            <w:r>
              <w:rPr>
                <w:rStyle w:val="FootnoteCharacters"/>
                <w:rStyle w:val="FootnoteReference"/>
                <w:b/>
              </w:rPr>
              <w:footnoteReference w:id="3"/>
            </w:r>
          </w:p>
          <w:p>
            <w:pPr>
              <w:pStyle w:val="Normal"/>
              <w:jc w:val="center"/>
              <w:rPr>
                <w:b/>
              </w:rPr>
            </w:pPr>
            <w:r>
              <w:rPr>
                <w:b/>
              </w:rPr>
              <w:t>(In Millions)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Accounting/</w:t>
            </w:r>
          </w:p>
          <w:p>
            <w:pPr>
              <w:pStyle w:val="Normal"/>
              <w:jc w:val="center"/>
              <w:rPr>
                <w:b/>
              </w:rPr>
            </w:pPr>
            <w:r>
              <w:rPr>
                <w:b/>
              </w:rPr>
              <w:t>Timing</w:t>
            </w:r>
          </w:p>
        </w:tc>
        <w:tc>
          <w:tcPr>
            <w:tcW w:w="190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Risk</w:t>
            </w:r>
          </w:p>
          <w:p>
            <w:pPr>
              <w:pStyle w:val="Normal"/>
              <w:jc w:val="center"/>
              <w:rPr>
                <w:b/>
              </w:rPr>
            </w:pPr>
            <w:r>
              <w:rPr>
                <w:b/>
              </w:rPr>
              <w:t>Direction</w:t>
            </w:r>
          </w:p>
        </w:tc>
      </w:tr>
      <w:tr>
        <w:trPr/>
        <w:tc>
          <w:tcPr>
            <w:tcW w:w="2538"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180" w:leader="none"/>
              </w:tabs>
              <w:ind w:hanging="180" w:start="180" w:end="0"/>
              <w:rPr>
                <w:sz w:val="18"/>
              </w:rPr>
            </w:pPr>
            <w:r>
              <w:rPr>
                <w:sz w:val="18"/>
              </w:rPr>
              <w:t>Regulatory Environment  Commodity Contracting Issues</w:t>
            </w:r>
          </w:p>
        </w:tc>
        <w:tc>
          <w:tcPr>
            <w:tcW w:w="5670" w:type="dxa"/>
            <w:tcBorders>
              <w:top w:val="single" w:sz="4" w:space="0" w:color="000000"/>
              <w:start w:val="single" w:sz="4" w:space="0" w:color="000000"/>
              <w:bottom w:val="single" w:sz="4" w:space="0" w:color="000000"/>
              <w:end w:val="single" w:sz="4" w:space="0" w:color="000000"/>
            </w:tcBorders>
          </w:tcPr>
          <w:p>
            <w:pPr>
              <w:pStyle w:val="FootnoteText"/>
              <w:tabs>
                <w:tab w:val="clear" w:pos="720"/>
                <w:tab w:val="left" w:pos="252" w:leader="none"/>
              </w:tabs>
              <w:spacing w:before="60" w:after="60"/>
              <w:rPr>
                <w:sz w:val="18"/>
              </w:rPr>
            </w:pPr>
            <w:r>
              <w:rPr>
                <w:sz w:val="18"/>
              </w:rPr>
              <w:t>Negative climate in California may result in new laws or regulations, possible difficulty in collections and increased likelihood of disputes with customers (eg. related to surcharges, entrance/exit fees), or governmental investigations (eg. the Ca. Attorney General investigation), or third party lawsuits (eg. the current California class actions).  Possible carryover to other states and slow down of deregulation processes.</w:t>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907"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r>
      <w:tr>
        <w:trPr/>
        <w:tc>
          <w:tcPr>
            <w:tcW w:w="2538"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180" w:leader="none"/>
              </w:tabs>
              <w:ind w:hanging="180" w:start="180" w:end="0"/>
              <w:rPr>
                <w:sz w:val="18"/>
              </w:rPr>
            </w:pPr>
            <w:r>
              <w:rPr>
                <w:sz w:val="18"/>
              </w:rPr>
              <w:t>Retail Commodity Contracting Issues</w:t>
            </w:r>
          </w:p>
        </w:tc>
        <w:tc>
          <w:tcPr>
            <w:tcW w:w="567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Understanding and appropriate pricing of retail transactions entails analyzing regulatory risk, retail risks (requirements contracts, consumption risks, load following, ancillary services, interrelationship with utility/tariffs, regulatory risks, etc.);  there may be difficulties in determining early termination payments (requirements contracts, regulatory risks, etc.).</w:t>
            </w:r>
          </w:p>
        </w:tc>
        <w:tc>
          <w:tcPr>
            <w:tcW w:w="288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 xml:space="preserve"> </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907"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r>
      <w:tr>
        <w:trPr/>
        <w:tc>
          <w:tcPr>
            <w:tcW w:w="2538"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s>
              <w:ind w:hanging="180" w:start="180" w:end="0"/>
              <w:rPr>
                <w:sz w:val="18"/>
              </w:rPr>
            </w:pPr>
            <w:r>
              <w:rPr>
                <w:sz w:val="18"/>
              </w:rPr>
              <w:t>Risks Related to Small Commercial Customers</w:t>
            </w:r>
          </w:p>
        </w:tc>
        <w:tc>
          <w:tcPr>
            <w:tcW w:w="567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Increased scrutiny by state regulatory commissions and local and state enforcement agencies. Increased compliance activity (consumer protection, disclosure requirements, environmental labeling, telemarketing rules, etc.) on a state by state (or even utility by utility) basis.  Use of outside sales agents affects EES’  ability to monitor and ensure policy compliance and increases risk of customer dissatisfaction and litigation; contracting with small customers presents litigation and collection risks: default provisions for small accounts have abbreviated liquidated damage provision which may result in greater disagreement in calculations.</w:t>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907"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r>
      <w:tr>
        <w:trPr/>
        <w:tc>
          <w:tcPr>
            <w:tcW w:w="2538"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s>
              <w:ind w:hanging="180" w:start="180" w:end="0"/>
              <w:rPr>
                <w:sz w:val="18"/>
              </w:rPr>
            </w:pPr>
            <w:r>
              <w:rPr>
                <w:sz w:val="18"/>
              </w:rPr>
              <w:t>Negative CTC Credits/ PG&amp;E and SGE</w:t>
            </w:r>
          </w:p>
        </w:tc>
        <w:tc>
          <w:tcPr>
            <w:tcW w:w="567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PG&amp;E  has filed bankruptcy challenges EES’s right to the credits, claiming that the customers own the credits; contends that the rate freeze ended in October, 2000, ending the accumulation of the credits; and has removed the credit from the accounts.  The bankruptcy stay must be lifted in order to recoup the credits, which accumulated pre-petition filing, against current T&amp;D charges.  Same risk for SCE as with PG&amp;E, except that SCE has not filed bankruptcy.  Although the financial risks related to PG&amp;E and SCE are on ENA’s books, collectively these amounts may have an adverse  impact on billing, customer relationships and utility relationships.</w:t>
            </w:r>
          </w:p>
        </w:tc>
        <w:tc>
          <w:tcPr>
            <w:tcW w:w="2880" w:type="dxa"/>
            <w:tcBorders>
              <w:top w:val="single" w:sz="4" w:space="0" w:color="000000"/>
              <w:start w:val="single" w:sz="4" w:space="0" w:color="000000"/>
              <w:bottom w:val="single" w:sz="4" w:space="0" w:color="000000"/>
              <w:end w:val="single" w:sz="4" w:space="0" w:color="000000"/>
            </w:tcBorders>
          </w:tcPr>
          <w:p>
            <w:pPr>
              <w:pStyle w:val="FootnoteText"/>
              <w:rPr>
                <w:sz w:val="18"/>
              </w:rPr>
            </w:pPr>
            <w:r>
              <w:rPr>
                <w:sz w:val="18"/>
              </w:rPr>
              <w:t>Total amount owed is $380</w:t>
            </w:r>
          </w:p>
          <w:p>
            <w:pPr>
              <w:pStyle w:val="FootnoteText"/>
              <w:rPr>
                <w:sz w:val="18"/>
              </w:rPr>
            </w:pPr>
            <w:r>
              <w:rPr>
                <w:sz w:val="18"/>
              </w:rPr>
            </w:r>
          </w:p>
          <w:p>
            <w:pPr>
              <w:pStyle w:val="FootnoteText"/>
              <w:rPr>
                <w:sz w:val="18"/>
              </w:rPr>
            </w:pPr>
            <w:r>
              <w:rPr>
                <w:sz w:val="18"/>
              </w:rPr>
            </w:r>
          </w:p>
          <w:p>
            <w:pPr>
              <w:pStyle w:val="FootnoteText"/>
              <w:rPr>
                <w:sz w:val="18"/>
              </w:rPr>
            </w:pPr>
            <w:r>
              <w:rPr>
                <w:sz w:val="18"/>
              </w:rPr>
            </w:r>
          </w:p>
          <w:p>
            <w:pPr>
              <w:pStyle w:val="FootnoteText"/>
              <w:rPr>
                <w:sz w:val="18"/>
              </w:rPr>
            </w:pPr>
            <w:r>
              <w:rPr>
                <w:sz w:val="18"/>
              </w:rPr>
            </w:r>
          </w:p>
          <w:p>
            <w:pPr>
              <w:pStyle w:val="FootnoteText"/>
              <w:rPr>
                <w:sz w:val="18"/>
              </w:rPr>
            </w:pPr>
            <w:r>
              <w:rPr>
                <w:sz w:val="18"/>
              </w:rPr>
            </w:r>
          </w:p>
          <w:p>
            <w:pPr>
              <w:pStyle w:val="FootnoteText"/>
              <w:rPr>
                <w:sz w:val="18"/>
              </w:rPr>
            </w:pPr>
            <w:r>
              <w:rPr>
                <w:sz w:val="18"/>
              </w:rPr>
            </w:r>
          </w:p>
          <w:p>
            <w:pPr>
              <w:pStyle w:val="FootnoteText"/>
              <w:rPr>
                <w:sz w:val="18"/>
              </w:rPr>
            </w:pPr>
            <w:r>
              <w:rPr>
                <w:sz w:val="18"/>
              </w:rPr>
            </w:r>
          </w:p>
          <w:p>
            <w:pPr>
              <w:pStyle w:val="FootnoteText"/>
              <w:rPr>
                <w:sz w:val="18"/>
              </w:rPr>
            </w:pPr>
            <w:r>
              <w:rPr>
                <w:sz w:val="18"/>
              </w:rPr>
              <w:t>Total amount owed is $125</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907"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r>
    </w:tbl>
    <w:p>
      <w:pPr>
        <w:pStyle w:val="Normal"/>
        <w:rPr>
          <w:sz w:val="18"/>
        </w:rPr>
      </w:pPr>
      <w:r>
        <w:br w:type="page"/>
      </w:r>
      <w:r>
        <w:rPr>
          <w:sz w:val="18"/>
        </w:rPr>
      </w:r>
    </w:p>
    <w:tbl>
      <w:tblPr>
        <w:tblW w:w="14615" w:type="dxa"/>
        <w:jc w:val="start"/>
        <w:tblInd w:w="0" w:type="dxa"/>
        <w:tblLayout w:type="fixed"/>
        <w:tblCellMar>
          <w:top w:w="0" w:type="dxa"/>
          <w:start w:w="108" w:type="dxa"/>
          <w:bottom w:w="0" w:type="dxa"/>
          <w:end w:w="108" w:type="dxa"/>
        </w:tblCellMar>
      </w:tblPr>
      <w:tblGrid>
        <w:gridCol w:w="2538"/>
        <w:gridCol w:w="5670"/>
        <w:gridCol w:w="2880"/>
        <w:gridCol w:w="1620"/>
        <w:gridCol w:w="1907"/>
      </w:tblGrid>
      <w:tr>
        <w:trPr/>
        <w:tc>
          <w:tcPr>
            <w:tcW w:w="2538"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s>
              <w:ind w:hanging="180" w:start="180" w:end="0"/>
              <w:rPr>
                <w:sz w:val="18"/>
              </w:rPr>
            </w:pPr>
            <w:r>
              <w:rPr>
                <w:sz w:val="18"/>
              </w:rPr>
              <w:t>California AG Investigation and Class Actions</w:t>
            </w:r>
          </w:p>
        </w:tc>
        <w:tc>
          <w:tcPr>
            <w:tcW w:w="567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The California Attorney General may seek to impose liability on EES for purchases made by the DWR for EES counterparties from 2/1/01 to 7/31/01.</w:t>
            </w:r>
          </w:p>
          <w:p>
            <w:pPr>
              <w:pStyle w:val="Normal"/>
              <w:rPr>
                <w:sz w:val="18"/>
              </w:rPr>
            </w:pPr>
            <w:r>
              <w:rPr>
                <w:sz w:val="18"/>
              </w:rPr>
            </w:r>
          </w:p>
          <w:p>
            <w:pPr>
              <w:pStyle w:val="Normal"/>
              <w:rPr>
                <w:sz w:val="18"/>
              </w:rPr>
            </w:pPr>
            <w:r>
              <w:rPr>
                <w:sz w:val="18"/>
              </w:rPr>
              <w:t>EES is named as a defendant in “market manipulation” class actions.</w:t>
            </w:r>
          </w:p>
          <w:p>
            <w:pPr>
              <w:pStyle w:val="Normal"/>
              <w:rPr>
                <w:sz w:val="18"/>
              </w:rPr>
            </w:pPr>
            <w:r>
              <w:rPr>
                <w:sz w:val="18"/>
              </w:rPr>
            </w:r>
          </w:p>
        </w:tc>
        <w:tc>
          <w:tcPr>
            <w:tcW w:w="288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The amount of the claim depends upon DWR procurement cost.  No obvious legal liability.</w:t>
            </w:r>
          </w:p>
          <w:p>
            <w:pPr>
              <w:pStyle w:val="Normal"/>
              <w:rPr>
                <w:sz w:val="18"/>
              </w:rPr>
            </w:pPr>
            <w:r>
              <w:rPr>
                <w:sz w:val="18"/>
              </w:rPr>
            </w:r>
          </w:p>
          <w:p>
            <w:pPr>
              <w:pStyle w:val="Normal"/>
              <w:rPr>
                <w:sz w:val="18"/>
              </w:rPr>
            </w:pPr>
            <w:r>
              <w:rPr>
                <w:sz w:val="18"/>
              </w:rPr>
              <w:t>Too early to quantify</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907"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r>
      <w:tr>
        <w:trPr/>
        <w:tc>
          <w:tcPr>
            <w:tcW w:w="2538"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s>
              <w:ind w:hanging="180" w:start="180" w:end="0"/>
              <w:rPr>
                <w:sz w:val="18"/>
              </w:rPr>
            </w:pPr>
            <w:r>
              <w:rPr>
                <w:sz w:val="18"/>
              </w:rPr>
              <w:t>Origination – Related Risks</w:t>
            </w:r>
          </w:p>
        </w:tc>
        <w:tc>
          <w:tcPr>
            <w:tcW w:w="5670" w:type="dxa"/>
            <w:tcBorders>
              <w:top w:val="single" w:sz="4" w:space="0" w:color="000000"/>
              <w:start w:val="single" w:sz="4" w:space="0" w:color="000000"/>
              <w:bottom w:val="single" w:sz="4" w:space="0" w:color="000000"/>
              <w:end w:val="single" w:sz="4" w:space="0" w:color="000000"/>
            </w:tcBorders>
          </w:tcPr>
          <w:p>
            <w:pPr>
              <w:pStyle w:val="BodyText"/>
              <w:rPr/>
            </w:pPr>
            <w:r>
              <w:rPr/>
              <w:t>Several existing outsource agreements include EES liability for extended performance/project implementation, design, and materials warranties, failure to obtain permits (arguably including environmental, conditional use, and zoning permits), consequential damages (subject to caps), and so forth, which do not typically flow down to EES found in our downstream (subcontractor) agreements.  EES assumes long-term risk for project implementation (O&amp;M service levels which has typically not been passed through to contractors) vendors, but has been  mitigated with indemnities, waivers, insurance, etc.</w:t>
            </w:r>
          </w:p>
          <w:p>
            <w:pPr>
              <w:pStyle w:val="FootnoteText"/>
              <w:spacing w:before="60" w:after="60"/>
              <w:rPr>
                <w:sz w:val="18"/>
              </w:rPr>
            </w:pPr>
            <w:r>
              <w:rPr>
                <w:sz w:val="18"/>
              </w:rPr>
            </w:r>
          </w:p>
        </w:tc>
        <w:tc>
          <w:tcPr>
            <w:tcW w:w="288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 xml:space="preserve">Risk not quantified; maximum consequential damages under existing outsource agreements in excess of $200MM </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907"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Up as we continue to do projects under existing customer agmts, down with respect to new customer agreements</w:t>
            </w:r>
          </w:p>
        </w:tc>
      </w:tr>
      <w:tr>
        <w:trPr/>
        <w:tc>
          <w:tcPr>
            <w:tcW w:w="2538"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s>
              <w:ind w:hanging="180" w:start="180" w:end="0"/>
              <w:rPr>
                <w:sz w:val="18"/>
              </w:rPr>
            </w:pPr>
            <w:r>
              <w:rPr>
                <w:sz w:val="18"/>
              </w:rPr>
              <w:t>Project Development – Related Risks</w:t>
            </w:r>
          </w:p>
        </w:tc>
        <w:tc>
          <w:tcPr>
            <w:tcW w:w="567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Some complex projects undertaken by EES may be outside original scope of outsource agreement or may require additional documentation to appropriately implement; often construction contractor has not been selected at time of customer approval of project, so customer approval document does not contain contractor’s exceptions re cost v. schedule, permits, site conditions, etc.; licensing requirements may not be fully complied with and may result in penalties, etc.</w:t>
            </w:r>
          </w:p>
          <w:p>
            <w:pPr>
              <w:pStyle w:val="Normal"/>
              <w:rPr>
                <w:sz w:val="18"/>
              </w:rPr>
            </w:pPr>
            <w:r>
              <w:rPr>
                <w:sz w:val="18"/>
              </w:rPr>
            </w:r>
          </w:p>
        </w:tc>
        <w:tc>
          <w:tcPr>
            <w:tcW w:w="288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Risk not quantified; maximum consequential damages under existing outsource agreements in excess of $200MM</w:t>
            </w:r>
          </w:p>
          <w:p>
            <w:pPr>
              <w:pStyle w:val="Normal"/>
              <w:rPr>
                <w:sz w:val="18"/>
              </w:rPr>
            </w:pPr>
            <w:r>
              <w:rPr>
                <w:sz w:val="18"/>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907"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Up as we continue to do projects under existing customer agmts, down with respect to new customer agreements</w:t>
            </w:r>
          </w:p>
        </w:tc>
      </w:tr>
      <w:tr>
        <w:trPr/>
        <w:tc>
          <w:tcPr>
            <w:tcW w:w="2538"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s>
              <w:ind w:hanging="180" w:start="180" w:end="0"/>
              <w:rPr>
                <w:sz w:val="18"/>
              </w:rPr>
            </w:pPr>
            <w:r>
              <w:rPr>
                <w:sz w:val="18"/>
              </w:rPr>
              <w:t>Bankruptcy/Collection – Related Risks</w:t>
            </w:r>
          </w:p>
        </w:tc>
        <w:tc>
          <w:tcPr>
            <w:tcW w:w="567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Many of the “legacy” deals do not have strong payment, bankruptcy, or credit support/protection language (e.g., Simon).</w:t>
            </w:r>
          </w:p>
        </w:tc>
        <w:tc>
          <w:tcPr>
            <w:tcW w:w="288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Risk not quantified</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907"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Down as EES Legal and RAC are working on credit support, lien filings, etc.</w:t>
            </w:r>
          </w:p>
        </w:tc>
      </w:tr>
    </w:tbl>
    <w:p>
      <w:pPr>
        <w:pStyle w:val="FootnoteText"/>
        <w:rPr>
          <w:sz w:val="18"/>
        </w:rPr>
      </w:pPr>
      <w:r>
        <w:rPr>
          <w:sz w:val="18"/>
        </w:rPr>
      </w:r>
    </w:p>
    <w:sectPr>
      <w:headerReference w:type="default" r:id="rId2"/>
      <w:footerReference w:type="default" r:id="rId3"/>
      <w:footnotePr>
        <w:numFmt w:val="decimal"/>
        <w:numRestart w:val="eachSect"/>
      </w:footnotePr>
      <w:type w:val="nextPage"/>
      <w:pgSz w:orient="landscape" w:w="15840" w:h="12240"/>
      <w:pgMar w:left="720"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J:/Vsharp/LegalReport</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sz w:val="16"/>
        </w:rPr>
        <w:t>This document was prepared by ENA Legal for the purpose of facilitating the rendition for professional legal services.</w:t>
      </w:r>
    </w:p>
  </w:footnote>
  <w:footnote w:id="3">
    <w:p>
      <w:pPr>
        <w:pStyle w:val="FootnoteText"/>
        <w:rPr/>
      </w:pPr>
      <w:r>
        <w:rPr>
          <w:rStyle w:val="FootnoteCharacters"/>
        </w:rPr>
        <w:footnoteRef/>
      </w:r>
      <w:r>
        <w:rPr>
          <w:sz w:val="16"/>
        </w:rPr>
        <w:t xml:space="preserve"> </w:t>
      </w:r>
      <w:r>
        <w:rPr>
          <w:sz w:val="16"/>
        </w:rPr>
        <w:t>These amounts are meant to be analogous to “value at risk” with respect to legal matters.  Work needs to be done to “model’ these risks.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w:t>
    </w:r>
  </w:p>
  <w:p>
    <w:pPr>
      <w:pStyle w:val="Header"/>
      <w:jc w:val="end"/>
      <w:rPr>
        <w:b/>
      </w:rPr>
    </w:pPr>
    <w:r>
      <w:rPr>
        <w:b/>
      </w:rPr>
      <w:t>9/10/01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footnotePr>
    <w:numFmt w:val="decimal"/>
    <w:numRestart w:val="eachSect"/>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style>
  <w:style w:type="character" w:styleId="WW8Num3z0">
    <w:name w:val="WW8Num3z0"/>
    <w:qFormat/>
    <w:rPr/>
  </w:style>
  <w:style w:type="character" w:styleId="WW8Num4z0">
    <w:name w:val="WW8Num4z0"/>
    <w:qFormat/>
    <w:rPr>
      <w:rFonts w:ascii="Times New Roman" w:hAnsi="Times New Roman" w:cs="Times New Roma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2001-08-28T19:09:00Z</dcterms:created>
  <dc:creator>kdodgen</dc:creator>
  <dc:description/>
  <dc:language>en-CA</dc:language>
  <cp:lastModifiedBy>kdodgen</cp:lastModifiedBy>
  <cp:lastPrinted>2001-09-11T08:41:00Z</cp:lastPrinted>
  <dcterms:modified xsi:type="dcterms:W3CDTF">2001-09-11T11:11:00Z</dcterms:modified>
  <cp:revision>25</cp:revision>
  <dc:subject/>
  <dc:title>Legal Risk</dc:title>
</cp:coreProperties>
</file>