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t>
      </w:r>
      <w:r>
        <w:rPr>
          <w:u w:val="single"/>
        </w:rPr>
        <w:t>Company Letterhead</w:t>
      </w:r>
      <w:r>
        <w:rPr/>
        <w:t>)</w:t>
      </w:r>
    </w:p>
    <w:p>
      <w:pPr>
        <w:pStyle w:val="Normal"/>
        <w:jc w:val="center"/>
        <w:rPr/>
      </w:pPr>
      <w:r>
        <w:rPr/>
      </w:r>
    </w:p>
    <w:p>
      <w:pPr>
        <w:pStyle w:val="Normal"/>
        <w:rPr/>
      </w:pPr>
      <w:r>
        <w:rPr/>
        <w:t>(</w:t>
      </w:r>
      <w:r>
        <w:rPr>
          <w:u w:val="single"/>
        </w:rPr>
        <w:t>Date</w:t>
      </w:r>
      <w:r>
        <w:rPr/>
        <w:t>)</w:t>
      </w:r>
    </w:p>
    <w:p>
      <w:pPr>
        <w:pStyle w:val="Normal"/>
        <w:rPr/>
      </w:pPr>
      <w:r>
        <w:rPr/>
      </w:r>
    </w:p>
    <w:p>
      <w:pPr>
        <w:pStyle w:val="Normal"/>
        <w:rPr/>
      </w:pPr>
      <w:r>
        <w:rPr/>
        <w:t>Gibbs &amp; Bruns L.L.P</w:t>
      </w:r>
    </w:p>
    <w:p>
      <w:pPr>
        <w:pStyle w:val="Normal"/>
        <w:rPr/>
      </w:pPr>
      <w:r>
        <w:rPr/>
        <w:t>1100 Louisiana, Suite 5300</w:t>
      </w:r>
    </w:p>
    <w:p>
      <w:pPr>
        <w:pStyle w:val="Normal"/>
        <w:rPr/>
      </w:pPr>
      <w:r>
        <w:rPr/>
        <w:t>Houston, TX   77002</w:t>
      </w:r>
    </w:p>
    <w:p>
      <w:pPr>
        <w:pStyle w:val="Normal"/>
        <w:rPr/>
      </w:pPr>
      <w:r>
        <w:rPr/>
      </w:r>
    </w:p>
    <w:p>
      <w:pPr>
        <w:pStyle w:val="Normal"/>
        <w:rPr/>
      </w:pPr>
      <w:r>
        <w:rPr/>
        <w:t>Gentlemen:</w:t>
      </w:r>
    </w:p>
    <w:p>
      <w:pPr>
        <w:pStyle w:val="Normal"/>
        <w:rPr/>
      </w:pPr>
      <w:r>
        <w:rPr/>
      </w:r>
    </w:p>
    <w:p>
      <w:pPr>
        <w:pStyle w:val="Normal"/>
        <w:rPr/>
      </w:pPr>
      <w:r>
        <w:rPr/>
        <w:t>Our auditors, Arthur Andersen, are now engaged in an audit of Houston Economic Opportunity Fund, L.P.’s financial statements as of December 31, 1999 and for the year then ended.  In connection with the audit, we request that you furnish Arthur Andersen with information concerning certain contingencies involving matters with respect to which you have been engaged and to which you have devoted substantive attention on behalf of the partnership.</w:t>
      </w:r>
    </w:p>
    <w:p>
      <w:pPr>
        <w:pStyle w:val="Normal"/>
        <w:rPr/>
      </w:pPr>
      <w:r>
        <w:rPr/>
      </w:r>
    </w:p>
    <w:p>
      <w:pPr>
        <w:pStyle w:val="Normal"/>
        <w:rPr/>
      </w:pPr>
      <w:r>
        <w:rPr/>
        <w:t>Pending or Threatened Litigation,</w:t>
      </w:r>
    </w:p>
    <w:p>
      <w:pPr>
        <w:pStyle w:val="Normal"/>
        <w:rPr/>
      </w:pPr>
      <w:r>
        <w:rPr/>
        <w:t>Claims and Assessments:</w:t>
      </w:r>
    </w:p>
    <w:p>
      <w:pPr>
        <w:pStyle w:val="Normal"/>
        <w:rPr/>
      </w:pPr>
      <w:r>
        <w:rPr/>
      </w:r>
    </w:p>
    <w:p>
      <w:pPr>
        <w:pStyle w:val="Normal"/>
        <w:rPr/>
      </w:pPr>
      <w:r>
        <w:rPr/>
        <w:t>Please furnish to Arthur Andersen information relating to all pending or threatened litigation, claims and assessments your firm is handling on our behalf and to which you have devoted substantive attention in the form of legal consultation or representation (and which individually represent maximum potential loss exposure in excess of $10,000).  Such information should include (1) a description of the nature of each case or matter, (2) the progress of each case or matter to date, (3) how the partnership has responded or intends to respond to each case or matter (for example, to contest the case or matter vigorously or to seek an out-of-court settlement) and (4) an evaluation of the likelihood of an unfavorable outcome and an estimate, if one can be made, of the amount or range of potential loss.  Your response should include matters your firm was handling as of December 31, 1999 and as of the date of your response.</w:t>
      </w:r>
    </w:p>
    <w:p>
      <w:pPr>
        <w:pStyle w:val="Normal"/>
        <w:rPr/>
      </w:pPr>
      <w:r>
        <w:rPr/>
      </w:r>
    </w:p>
    <w:p>
      <w:pPr>
        <w:pStyle w:val="Normal"/>
        <w:rPr/>
      </w:pPr>
      <w:r>
        <w:rPr/>
        <w:t>Unasserted Claims and Assessments:</w:t>
      </w:r>
    </w:p>
    <w:p>
      <w:pPr>
        <w:pStyle w:val="Normal"/>
        <w:rPr/>
      </w:pPr>
      <w:r>
        <w:rPr/>
      </w:r>
    </w:p>
    <w:p>
      <w:pPr>
        <w:pStyle w:val="Normal"/>
        <w:rPr/>
      </w:pPr>
      <w:r>
        <w:rPr/>
        <w:t>We understand that whenever, in the course of performing legal services for us with respect to a matter recognized to involve an unasserted possible claim or assessment that may call for financial statement disclosure, if you have formed a professional conclusion that we must disclose or consider disclosure concerning such possible claim or assessment, as a matter of professional responsibility to us, you will so advise us and will consult with us concerning the question of such disclosure and the applicable requirements of Statement of Financial Accounting Standards No. 5.  Please specifically confirm to Arthur Andersen that our understanding is correct.</w:t>
      </w:r>
    </w:p>
    <w:p>
      <w:pPr>
        <w:pStyle w:val="Normal"/>
        <w:rPr/>
      </w:pPr>
      <w:r>
        <w:rPr/>
      </w:r>
    </w:p>
    <w:p>
      <w:pPr>
        <w:pStyle w:val="Normal"/>
        <w:rPr/>
      </w:pPr>
      <w:r>
        <w:rPr/>
        <w:t>We will be representing to Arthur Andersen that there are no unasserted possible claims or assessments that you have advised are probable of assertion and must be disclosed in accordance with Statement of Financial Accounting Standards No. 5 in the financial statements currently under audit.</w:t>
      </w:r>
      <w:r>
        <w:br w:type="page"/>
      </w:r>
    </w:p>
    <w:p>
      <w:pPr>
        <w:pStyle w:val="Normal"/>
        <w:rPr/>
      </w:pPr>
      <w:r>
        <w:rPr/>
      </w:r>
    </w:p>
    <w:p>
      <w:pPr>
        <w:pStyle w:val="Normal"/>
        <w:rPr/>
      </w:pPr>
      <w:r>
        <w:rPr/>
        <w:t>Other Matters:</w:t>
      </w:r>
    </w:p>
    <w:p>
      <w:pPr>
        <w:pStyle w:val="Normal"/>
        <w:rPr/>
      </w:pPr>
      <w:r>
        <w:rPr/>
      </w:r>
    </w:p>
    <w:p>
      <w:pPr>
        <w:pStyle w:val="Normal"/>
        <w:rPr/>
      </w:pPr>
      <w:r>
        <w:rPr/>
        <w:t>Your response should include matters that existed at December 31, 1999 and for the period from that date to the date of your response.  Please specifically identify the nature of and reasons for any limitation on your response.</w:t>
      </w:r>
    </w:p>
    <w:p>
      <w:pPr>
        <w:pStyle w:val="Normal"/>
        <w:rPr/>
      </w:pPr>
      <w:r>
        <w:rPr/>
      </w:r>
    </w:p>
    <w:p>
      <w:pPr>
        <w:pStyle w:val="Normal"/>
        <w:rPr/>
      </w:pPr>
      <w:r>
        <w:rPr/>
        <w:t>Also, please furnish Arthur Andersen with the amount of any unpaid fees due you as of December 31, 1999 for services rendered through that date (and the approximate amount of any unbilled fees in excess of $10,000 as of December 31, 1999 for services rendered through that date).</w:t>
      </w:r>
    </w:p>
    <w:p>
      <w:pPr>
        <w:pStyle w:val="Normal"/>
        <w:rPr/>
      </w:pPr>
      <w:r>
        <w:rPr/>
      </w:r>
    </w:p>
    <w:p>
      <w:pPr>
        <w:pStyle w:val="Normal"/>
        <w:keepNext w:val="true"/>
        <w:rPr/>
      </w:pPr>
      <w:r>
        <w:rPr/>
        <w:t>Please fax your reply directly to Mr. Russell L. Montgomery, Arthur Andersen, at (713) 646-2485, followed by delivery of the original correspondence to Mr. Montgomery c/o Arthur Andersen at 711 Louisiana, Suite 1300, Houston, TX 77002.  Also, please furnish us a copy of your reply.  (We would appreciate it if your response could be mailed no later than December 8, 2000.)</w:t>
      </w:r>
    </w:p>
    <w:p>
      <w:pPr>
        <w:pStyle w:val="Normal"/>
        <w:rPr/>
      </w:pPr>
      <w:r>
        <w:rPr/>
      </w:r>
    </w:p>
    <w:p>
      <w:pPr>
        <w:pStyle w:val="Normal"/>
        <w:rPr/>
      </w:pPr>
      <w:r>
        <w:rPr/>
      </w:r>
    </w:p>
    <w:p>
      <w:pPr>
        <w:pStyle w:val="Normal"/>
        <w:keepNext w:val="true"/>
        <w:ind w:start="4860" w:end="0"/>
        <w:rPr/>
      </w:pPr>
      <w:r>
        <w:rPr/>
        <w:t>Very truly yours,</w:t>
      </w:r>
    </w:p>
    <w:p>
      <w:pPr>
        <w:pStyle w:val="Normal"/>
        <w:keepNext w:val="true"/>
        <w:ind w:start="4860" w:end="0"/>
        <w:rPr/>
      </w:pPr>
      <w:r>
        <w:rPr/>
      </w:r>
    </w:p>
    <w:p>
      <w:pPr>
        <w:pStyle w:val="Normal"/>
        <w:keepNext w:val="true"/>
        <w:ind w:start="4860" w:end="0"/>
        <w:rPr/>
      </w:pPr>
      <w:r>
        <w:rPr/>
        <w:t>Houston Economic Opportunity Fund, L.P.</w:t>
      </w:r>
    </w:p>
    <w:p>
      <w:pPr>
        <w:pStyle w:val="Normal"/>
        <w:keepNext w:val="true"/>
        <w:ind w:start="4860" w:end="0"/>
        <w:rPr/>
      </w:pPr>
      <w:r>
        <w:rPr/>
      </w:r>
    </w:p>
    <w:p>
      <w:pPr>
        <w:pStyle w:val="Normal"/>
        <w:keepNext w:val="true"/>
        <w:ind w:start="4860" w:end="0"/>
        <w:rPr/>
      </w:pPr>
      <w:r>
        <w:rPr/>
      </w:r>
    </w:p>
    <w:p>
      <w:pPr>
        <w:pStyle w:val="Normal"/>
        <w:keepNext w:val="true"/>
        <w:ind w:start="4860" w:end="0"/>
        <w:rPr/>
      </w:pPr>
      <w:r>
        <w:rPr/>
      </w:r>
    </w:p>
    <w:p>
      <w:pPr>
        <w:pStyle w:val="Normal"/>
        <w:keepNext w:val="true"/>
        <w:ind w:start="4860" w:end="0"/>
        <w:rPr/>
      </w:pPr>
      <w:r>
        <w:rPr/>
      </w:r>
    </w:p>
    <w:p>
      <w:pPr>
        <w:pStyle w:val="Normal"/>
        <w:keepNext w:val="true"/>
        <w:tabs>
          <w:tab w:val="clear" w:pos="720"/>
          <w:tab w:val="left" w:pos="5490" w:leader="none"/>
        </w:tabs>
        <w:ind w:start="4860" w:end="0"/>
        <w:rPr/>
      </w:pPr>
      <w:r>
        <w:rPr/>
        <w:t>By:</w:t>
        <w:tab/>
        <w:t>Richard B. Sanders</w:t>
      </w:r>
    </w:p>
    <w:p>
      <w:pPr>
        <w:pStyle w:val="Normal"/>
        <w:keepNext w:val="true"/>
        <w:ind w:firstLine="630" w:start="4860" w:end="0"/>
        <w:rPr/>
      </w:pPr>
      <w:r>
        <w:rPr/>
        <w:t>Assistant General Counsel</w:t>
      </w:r>
    </w:p>
    <w:p>
      <w:pPr>
        <w:pStyle w:val="Normal"/>
        <w:rPr/>
      </w:pPr>
      <w:r>
        <w:rPr/>
      </w:r>
    </w:p>
    <w:p>
      <w:pPr>
        <w:pStyle w:val="Normal"/>
        <w:rPr/>
      </w:pPr>
      <w:r>
        <w:rPr/>
      </w:r>
    </w:p>
    <w:p>
      <w:pPr>
        <w:pStyle w:val="Normal"/>
        <w:rPr/>
      </w:pPr>
      <w:r>
        <w:rPr/>
      </w:r>
    </w:p>
    <w:sectPr>
      <w:type w:val="nextPage"/>
      <w:pgSz w:w="12240" w:h="15840"/>
      <w:pgMar w:left="1440" w:right="1440" w:gutter="0" w:header="0" w:top="1598"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numPr>
        <w:ilvl w:val="0"/>
        <w:numId w:val="1"/>
      </w:numPr>
      <w:spacing w:before="240" w:after="0"/>
      <w:outlineLvl w:val="0"/>
    </w:pPr>
    <w:rPr>
      <w:b/>
      <w:u w:val="single"/>
    </w:rPr>
  </w:style>
  <w:style w:type="paragraph" w:styleId="Heading2">
    <w:name w:val="heading 2"/>
    <w:basedOn w:val="Normal"/>
    <w:next w:val="Normal"/>
    <w:qFormat/>
    <w:pPr>
      <w:numPr>
        <w:ilvl w:val="1"/>
        <w:numId w:val="1"/>
      </w:numPr>
      <w:spacing w:before="120" w:after="0"/>
      <w:outlineLvl w:val="1"/>
    </w:pPr>
    <w:rPr>
      <w:b/>
    </w:rPr>
  </w:style>
  <w:style w:type="paragraph" w:styleId="Heading3">
    <w:name w:val="heading 3"/>
    <w:basedOn w:val="Normal"/>
    <w:next w:val="NormalIndent"/>
    <w:qFormat/>
    <w:pPr>
      <w:numPr>
        <w:ilvl w:val="2"/>
        <w:numId w:val="1"/>
      </w:numPr>
      <w:ind w:hanging="0" w:start="360" w:end="0"/>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2000-11-27T19:21:00Z</dcterms:created>
  <dc:creator>Arthur Andersen</dc:creator>
  <dc:description/>
  <dc:language>en-CA</dc:language>
  <cp:lastModifiedBy>Russell L. Montgomery</cp:lastModifiedBy>
  <cp:lastPrinted>1994-09-20T17:22:00Z</cp:lastPrinted>
  <dcterms:modified xsi:type="dcterms:W3CDTF">2000-11-28T11:34:00Z</dcterms:modified>
  <cp:revision>6</cp:revision>
  <dc:subject>Standard Forms</dc:subject>
  <dc:title>C-20</dc:title>
</cp:coreProperties>
</file>