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EWS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ENRON GLOBAL ASSETS (EXCL. SOUTH AMERICA) LEGAL RISKS</w:t>
      </w:r>
    </w:p>
    <w:p>
      <w:pPr>
        <w:pStyle w:val="Header"/>
        <w:tabs>
          <w:tab w:val="clear" w:pos="4320"/>
          <w:tab w:val="clear" w:pos="8640"/>
          <w:tab w:val="right" w:pos="14670" w:leader="none"/>
        </w:tabs>
        <w:spacing w:before="0" w:after="60"/>
        <w:jc w:val="center"/>
        <w:rPr/>
      </w:pPr>
      <w:r>
        <w:rPr/>
        <w:t>(as of June 8, 2001)</w:t>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72" w:leader="none"/>
                <w:tab w:val="left" w:pos="252" w:leader="none"/>
              </w:tabs>
              <w:spacing w:before="60" w:after="60"/>
              <w:ind w:hanging="162" w:start="234" w:end="0"/>
              <w:rPr>
                <w:sz w:val="18"/>
              </w:rPr>
            </w:pPr>
            <w:r>
              <w:rPr>
                <w:sz w:val="18"/>
              </w:rPr>
              <w:t>DABHOL POWER COMPANY (LEGAL RISK RATING:  10)</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1.  Whether failure to obtain ramp-up rates consistent with original PPA curves exposes DPC to liability for misdeclaration.</w:t>
            </w:r>
          </w:p>
          <w:p>
            <w:pPr>
              <w:pStyle w:val="FootnoteText"/>
              <w:spacing w:before="60" w:after="60"/>
              <w:rPr>
                <w:sz w:val="18"/>
              </w:rPr>
            </w:pPr>
            <w:r>
              <w:rPr>
                <w:sz w:val="18"/>
              </w:rPr>
              <w:t>2.  Whether an Indian count will uphold the arbitration clause in the PPA and allow DPC to continue its neutral forum arbitration against MSEB.</w:t>
            </w:r>
          </w:p>
          <w:p>
            <w:pPr>
              <w:pStyle w:val="FootnoteText"/>
              <w:spacing w:before="60" w:after="60"/>
              <w:rPr>
                <w:sz w:val="18"/>
              </w:rPr>
            </w:pPr>
            <w:r>
              <w:rPr>
                <w:sz w:val="18"/>
              </w:rPr>
              <w:t>3.  Whether an arbitral award against the Government of Maharashtra will be enforceable in India.</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ind w:start="-18" w:end="0"/>
              <w:rPr>
                <w:sz w:val="18"/>
              </w:rPr>
            </w:pPr>
            <w:r>
              <w:rPr>
                <w:sz w:val="18"/>
              </w:rPr>
              <w:t>$900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Several arbitrations likely this year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sz w:val="18"/>
              </w:rPr>
              <w:t>Risks Increasing</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ind w:hanging="180" w:start="252" w:end="0"/>
              <w:rPr>
                <w:sz w:val="18"/>
              </w:rPr>
            </w:pPr>
            <w:r>
              <w:rPr>
                <w:sz w:val="18"/>
              </w:rPr>
              <w:t>2.  HAINAN SETTLEMENT AND REPATRIATION (LEGAL RISK RATING: 8)</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1.  Whether Chinese authorities will allow conversion and repatriation of settlement proceeds and what frictional costs will result from this process.</w:t>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$152 million (of which $46 million was converted and repatriated in early June)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Should be resolved in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sz w:val="18"/>
              </w:rPr>
              <w:t>Risks Lessening</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 w:val="left" w:pos="342" w:leader="none"/>
              </w:tabs>
              <w:spacing w:before="60" w:after="60"/>
              <w:ind w:hanging="198" w:start="252" w:end="0"/>
              <w:rPr>
                <w:sz w:val="18"/>
              </w:rPr>
            </w:pPr>
            <w:r>
              <w:rPr>
                <w:sz w:val="18"/>
              </w:rPr>
              <w:t>SECLP DOMINICAN REPUBLIC (LEGAL RATING:  9)</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1.  Whether arbitral awards against the CDE/Government are enforceable in Dominican Republic courts and NY Convention jurisdictions.</w:t>
            </w:r>
          </w:p>
          <w:p>
            <w:pPr>
              <w:pStyle w:val="FootnoteText"/>
              <w:spacing w:before="60" w:after="60"/>
              <w:rPr>
                <w:sz w:val="18"/>
              </w:rPr>
            </w:pPr>
            <w:r>
              <w:rPr>
                <w:sz w:val="18"/>
              </w:rPr>
              <w:t>2.  Whether the Definitive Agreement between the IPPs and the Government, defining the agreed payment mechanism for the sector, and the Agreement of Payment through Assignment of Funds (being negotiated) are enforceable.</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rPr>
                <w:sz w:val="18"/>
              </w:rPr>
            </w:pPr>
            <w:r>
              <w:rPr>
                <w:sz w:val="18"/>
              </w:rPr>
              <w:t>$142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Arbitration likely this year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sz w:val="18"/>
              </w:rPr>
              <w:t>Risks Increasing</w:t>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/mnt/main-storage/datasets/enron-docs/doc/LegalRisksJune2001.doc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/mnt/main-storage/datasets/enron-docs/doc/LegalRisksJune2001.doc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Enron Global Assets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 xml:space="preserve">These amounts are meant to be analogous to “value at risk” with respect to legal matters.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234" w:hanging="360"/>
      </w:pPr>
    </w:lvl>
  </w:abstractNum>
  <w:abstractNum w:abstractNumId="4">
    <w:lvl w:ilvl="0">
      <w:start w:val="3"/>
      <w:numFmt w:val="decimal"/>
      <w:lvlText w:val="%1."/>
      <w:lvlJc w:val="start"/>
      <w:pPr>
        <w:tabs>
          <w:tab w:val="num" w:pos="414"/>
        </w:tabs>
        <w:ind w:start="414" w:hanging="360"/>
      </w:pPr>
      <w:rPr/>
    </w:lvl>
    <w:lvl w:ilvl="1">
      <w:start w:val="1"/>
      <w:numFmt w:val="lowerLetter"/>
      <w:lvlText w:val="%2."/>
      <w:lvlJc w:val="start"/>
      <w:pPr>
        <w:tabs>
          <w:tab w:val="num" w:pos="954"/>
        </w:tabs>
        <w:ind w:start="954" w:hanging="360"/>
      </w:pPr>
    </w:lvl>
    <w:lvl w:ilvl="2">
      <w:start w:val="1"/>
      <w:numFmt w:val="lowerRoman"/>
      <w:lvlText w:val="%3."/>
      <w:lvlJc w:val="end"/>
      <w:pPr>
        <w:tabs>
          <w:tab w:val="num" w:pos="1674"/>
        </w:tabs>
        <w:ind w:start="1674" w:hanging="180"/>
      </w:pPr>
    </w:lvl>
    <w:lvl w:ilvl="3">
      <w:start w:val="1"/>
      <w:numFmt w:val="decimal"/>
      <w:lvlText w:val="%4."/>
      <w:lvlJc w:val="start"/>
      <w:pPr>
        <w:tabs>
          <w:tab w:val="num" w:pos="2394"/>
        </w:tabs>
        <w:ind w:start="2394" w:hanging="360"/>
      </w:pPr>
    </w:lvl>
    <w:lvl w:ilvl="4">
      <w:start w:val="1"/>
      <w:numFmt w:val="lowerLetter"/>
      <w:lvlText w:val="%5."/>
      <w:lvlJc w:val="start"/>
      <w:pPr>
        <w:tabs>
          <w:tab w:val="num" w:pos="3114"/>
        </w:tabs>
        <w:ind w:start="3114" w:hanging="360"/>
      </w:pPr>
    </w:lvl>
    <w:lvl w:ilvl="5">
      <w:start w:val="1"/>
      <w:numFmt w:val="lowerRoman"/>
      <w:lvlText w:val="%6."/>
      <w:lvlJc w:val="end"/>
      <w:pPr>
        <w:tabs>
          <w:tab w:val="num" w:pos="3834"/>
        </w:tabs>
        <w:ind w:start="3834" w:hanging="180"/>
      </w:pPr>
    </w:lvl>
    <w:lvl w:ilvl="6">
      <w:start w:val="1"/>
      <w:numFmt w:val="decimal"/>
      <w:lvlText w:val="%7."/>
      <w:lvlJc w:val="start"/>
      <w:pPr>
        <w:tabs>
          <w:tab w:val="num" w:pos="4554"/>
        </w:tabs>
        <w:ind w:start="4554" w:hanging="360"/>
      </w:pPr>
    </w:lvl>
    <w:lvl w:ilvl="7">
      <w:start w:val="1"/>
      <w:numFmt w:val="lowerLetter"/>
      <w:lvlText w:val="%8."/>
      <w:lvlJc w:val="start"/>
      <w:pPr>
        <w:tabs>
          <w:tab w:val="num" w:pos="5274"/>
        </w:tabs>
        <w:ind w:start="5274" w:hanging="360"/>
      </w:pPr>
    </w:lvl>
    <w:lvl w:ilvl="8">
      <w:start w:val="1"/>
      <w:numFmt w:val="lowerRoman"/>
      <w:lvlText w:val="%9."/>
      <w:lvlJc w:val="end"/>
      <w:pPr>
        <w:tabs>
          <w:tab w:val="num" w:pos="5994"/>
        </w:tabs>
        <w:ind w:start="5994"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5z0">
    <w:name w:val="WW8Num35z0"/>
    <w:qFormat/>
    <w:rPr>
      <w:rFonts w:ascii="Symbol" w:hAnsi="Symbol" w:cs="Symbol"/>
    </w:rPr>
  </w:style>
  <w:style w:type="character" w:styleId="WW8Num36z0">
    <w:name w:val="WW8Num36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style>
  <w:style w:type="character" w:styleId="WW8Num48z0">
    <w:name w:val="WW8Num48z0"/>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2"/>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2001-06-08T17:57:00Z</dcterms:created>
  <dc:creator>Brenda Whitehead</dc:creator>
  <dc:description/>
  <dc:language>en-CA</dc:language>
  <cp:lastModifiedBy>Wendi Hoelscher</cp:lastModifiedBy>
  <cp:lastPrinted>2001-06-08T15:21:00Z</cp:lastPrinted>
  <dcterms:modified xsi:type="dcterms:W3CDTF">2001-06-08T17:57:00Z</dcterms:modified>
  <cp:revision>2</cp:revision>
  <dc:subject/>
  <dc:title>COUNTERPARTY</dc:title>
</cp:coreProperties>
</file>