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enter" w:pos="4320" w:leader="none"/>
          <w:tab w:val="right" w:pos="8640" w:leader="none"/>
          <w:tab w:val="right" w:pos="14670" w:leader="none"/>
        </w:tabs>
        <w:jc w:val="center"/>
        <w:rPr>
          <w:b/>
          <w:smallCaps/>
          <w:sz w:val="16"/>
        </w:rPr>
      </w:pPr>
      <w:r>
        <w:rPr>
          <w:b/>
          <w:smallCaps/>
          <w:sz w:val="16"/>
        </w:rPr>
        <w:t>Attorney Work Product – Prepared in Anticipation of Litigation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7366635</wp:posOffset>
                </wp:positionH>
                <wp:positionV relativeFrom="paragraph">
                  <wp:posOffset>-102870</wp:posOffset>
                </wp:positionV>
                <wp:extent cx="1485900" cy="6858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858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7pt;height:54pt;mso-wrap-distance-left:9.05pt;mso-wrap-distance-right:9.05pt;mso-wrap-distance-top:0pt;mso-wrap-distance-bottom:0pt;margin-top:-8.1pt;mso-position-vertical-relative:text;margin-left:580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tabs>
          <w:tab w:val="center" w:pos="4320" w:leader="none"/>
          <w:tab w:val="right" w:pos="8640" w:leader="none"/>
          <w:tab w:val="right" w:pos="14670" w:leader="none"/>
        </w:tabs>
        <w:jc w:val="center"/>
        <w:rPr>
          <w:b/>
          <w:smallCaps/>
          <w:sz w:val="16"/>
        </w:rPr>
      </w:pPr>
      <w:r>
        <w:rPr>
          <w:b/>
          <w:smallCaps/>
          <w:sz w:val="16"/>
        </w:rPr>
        <w:t>Confidential and privileged</w:t>
      </w:r>
    </w:p>
    <w:p>
      <w:pPr>
        <w:pStyle w:val="Header"/>
        <w:tabs>
          <w:tab w:val="center" w:pos="4320" w:leader="none"/>
          <w:tab w:val="right" w:pos="8640" w:leader="none"/>
          <w:tab w:val="right" w:pos="14670" w:leader="none"/>
        </w:tabs>
        <w:jc w:val="center"/>
        <w:rPr>
          <w:b/>
          <w:smallCaps/>
          <w:sz w:val="16"/>
        </w:rPr>
      </w:pPr>
      <w:r>
        <w:rPr>
          <w:b/>
          <w:smallCaps/>
          <w:sz w:val="16"/>
        </w:rPr>
        <w:t>do not copy</w:t>
      </w:r>
    </w:p>
    <w:p>
      <w:pPr>
        <w:pStyle w:val="Header"/>
        <w:tabs>
          <w:tab w:val="clear" w:pos="4320"/>
          <w:tab w:val="clear" w:pos="8640"/>
          <w:tab w:val="right" w:pos="14670" w:leader="none"/>
        </w:tabs>
        <w:spacing w:before="120" w:after="0"/>
        <w:jc w:val="center"/>
        <w:rPr>
          <w:b/>
          <w:smallCaps/>
          <w:sz w:val="18"/>
        </w:rPr>
      </w:pPr>
      <w:r>
        <w:rPr>
          <w:b/>
          <w:smallCaps/>
          <w:sz w:val="18"/>
        </w:rPr>
        <w:t>EWS LEGAL DEPARTMENT</w:t>
      </w:r>
    </w:p>
    <w:p>
      <w:pPr>
        <w:pStyle w:val="Header"/>
        <w:tabs>
          <w:tab w:val="clear" w:pos="4320"/>
          <w:tab w:val="clear" w:pos="8640"/>
          <w:tab w:val="right" w:pos="14670" w:leader="none"/>
        </w:tabs>
        <w:jc w:val="center"/>
        <w:rPr>
          <w:b/>
          <w:smallCaps/>
          <w:sz w:val="18"/>
        </w:rPr>
      </w:pPr>
      <w:r>
        <w:rPr>
          <w:b/>
          <w:smallCaps/>
          <w:sz w:val="18"/>
        </w:rPr>
        <w:t>Legal Risk Report</w:t>
      </w:r>
    </w:p>
    <w:p>
      <w:pPr>
        <w:pStyle w:val="Heading1"/>
        <w:tabs>
          <w:tab w:val="clear" w:pos="720"/>
          <w:tab w:val="right" w:pos="14670" w:leader="none"/>
        </w:tabs>
        <w:ind w:hanging="0" w:start="0"/>
        <w:rPr>
          <w:b w:val="false"/>
          <w:caps w:val="false"/>
          <w:smallCaps w:val="false"/>
          <w:sz w:val="20"/>
        </w:rPr>
      </w:pPr>
      <w:r>
        <w:rPr>
          <w:caps w:val="false"/>
          <w:smallCaps w:val="false"/>
          <w:sz w:val="18"/>
        </w:rPr>
        <w:t>TOP ENRON GLOBAL ASSETS (EXCL. SOUTH AMERICA) LEGAL RISKS</w:t>
      </w:r>
    </w:p>
    <w:p>
      <w:pPr>
        <w:pStyle w:val="Header"/>
        <w:tabs>
          <w:tab w:val="clear" w:pos="4320"/>
          <w:tab w:val="clear" w:pos="8640"/>
          <w:tab w:val="right" w:pos="14670" w:leader="none"/>
        </w:tabs>
        <w:spacing w:before="0" w:after="60"/>
        <w:jc w:val="center"/>
        <w:rPr/>
      </w:pPr>
      <w:r>
        <w:rPr/>
        <w:t>(as of APRIL 4, 2001)</w:t>
      </w:r>
    </w:p>
    <w:tbl>
      <w:tblPr>
        <w:tblW w:w="1458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6660"/>
        <w:gridCol w:w="3600"/>
        <w:gridCol w:w="1440"/>
        <w:gridCol w:w="990"/>
      </w:tblGrid>
      <w:tr>
        <w:trPr>
          <w:tblHeader w:val="true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72" w:end="0"/>
              <w:rPr>
                <w:sz w:val="18"/>
              </w:rPr>
            </w:pPr>
            <w:r>
              <w:rPr>
                <w:sz w:val="18"/>
              </w:rPr>
              <w:t>Legal Risk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18"/>
              </w:rPr>
            </w:pPr>
            <w:r>
              <w:rPr>
                <w:sz w:val="18"/>
              </w:rPr>
              <w:t>Issues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ind w:start="230" w:end="0"/>
              <w:jc w:val="center"/>
              <w:rPr>
                <w:sz w:val="18"/>
              </w:rPr>
            </w:pPr>
            <w:r>
              <w:rPr>
                <w:b/>
                <w:smallCaps/>
                <w:sz w:val="18"/>
              </w:rPr>
              <w:t>Risk Amount</w:t>
            </w:r>
            <w:r>
              <w:rPr>
                <w:rStyle w:val="FootnoteCharacters"/>
                <w:rStyle w:val="FootnoteReference"/>
                <w:b/>
                <w:sz w:val="18"/>
                <w:u w:val="single"/>
              </w:rPr>
              <w:footnoteReference w:id="2"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0" w:after="0"/>
              <w:ind w:hanging="0" w:start="-115" w:end="0"/>
              <w:jc w:val="center"/>
              <w:rPr>
                <w:sz w:val="18"/>
              </w:rPr>
            </w:pPr>
            <w:r>
              <w:rPr>
                <w:sz w:val="18"/>
              </w:rPr>
              <w:t>Accounting/</w:t>
            </w:r>
          </w:p>
          <w:p>
            <w:pPr>
              <w:pStyle w:val="Heading2"/>
              <w:spacing w:before="0" w:after="0"/>
              <w:ind w:hanging="0" w:start="-115" w:end="0"/>
              <w:jc w:val="center"/>
              <w:rPr>
                <w:sz w:val="18"/>
              </w:rPr>
            </w:pPr>
            <w:r>
              <w:rPr>
                <w:sz w:val="18"/>
              </w:rPr>
              <w:t>Timing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0" w:after="0"/>
              <w:ind w:hanging="0" w:start="-115" w:end="0"/>
              <w:jc w:val="center"/>
              <w:rPr>
                <w:sz w:val="18"/>
              </w:rPr>
            </w:pPr>
            <w:r>
              <w:rPr>
                <w:sz w:val="18"/>
              </w:rPr>
              <w:t>Risk Direction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3"/>
              </w:numPr>
              <w:tabs>
                <w:tab w:val="clear" w:pos="720"/>
                <w:tab w:val="left" w:pos="72" w:leader="none"/>
                <w:tab w:val="left" w:pos="252" w:leader="none"/>
              </w:tabs>
              <w:spacing w:before="60" w:after="60"/>
              <w:ind w:hanging="162" w:start="234" w:end="0"/>
              <w:rPr>
                <w:sz w:val="18"/>
              </w:rPr>
            </w:pPr>
            <w:r>
              <w:rPr>
                <w:sz w:val="18"/>
              </w:rPr>
              <w:t>DABHOL POWER COMPANY (LEGAL RISK RATING:  10)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  <w:t>1.  Whether failure to obtain ramp-up rates consistent with original PPA curves exposes DPC to liability for misdeclaration.</w:t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  <w:t>2.  Whether the Indian government’s behavior to date consititutes Political Force Majeure.</w:t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  <w:t>3.  Whether an arbitral award against the Government of Maharashtra will be enforceable in India.</w:t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pacing w:before="60" w:after="60"/>
              <w:ind w:start="-18" w:end="0"/>
              <w:rPr>
                <w:sz w:val="18"/>
              </w:rPr>
            </w:pPr>
            <w:r>
              <w:rPr>
                <w:sz w:val="18"/>
              </w:rPr>
              <w:t>$900 million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  <w:t>Several arbitrations likely this year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Risks Increasing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tabs>
                <w:tab w:val="clear" w:pos="720"/>
                <w:tab w:val="left" w:pos="252" w:leader="none"/>
              </w:tabs>
              <w:spacing w:before="60" w:after="60"/>
              <w:ind w:hanging="180" w:start="252" w:end="0"/>
              <w:rPr>
                <w:sz w:val="18"/>
              </w:rPr>
            </w:pPr>
            <w:r>
              <w:rPr>
                <w:sz w:val="18"/>
              </w:rPr>
              <w:t>2.  HAINAN SETTLEMENT AND REPATRIATION (LEGAL RISK RATING: 9)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  <w:t>1.  Whether final payment in settlement will be received from Hainan.</w:t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  <w:t>2.  Whether Chinese authorities will allow conversion and repatriation of settlement proceeds and what frictional costs will result from this process.</w:t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  <w:t>$152 million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  <w:t>Should be resolved in 2001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Risks Lessening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numPr>
                <w:ilvl w:val="0"/>
                <w:numId w:val="4"/>
              </w:numPr>
              <w:tabs>
                <w:tab w:val="clear" w:pos="720"/>
                <w:tab w:val="left" w:pos="252" w:leader="none"/>
                <w:tab w:val="left" w:pos="342" w:leader="none"/>
              </w:tabs>
              <w:spacing w:before="60" w:after="60"/>
              <w:ind w:hanging="198" w:start="252" w:end="0"/>
              <w:rPr>
                <w:sz w:val="18"/>
              </w:rPr>
            </w:pPr>
            <w:r>
              <w:rPr>
                <w:sz w:val="18"/>
              </w:rPr>
              <w:t>SECLP DOMINICAN REPUBLIC (LEGAL RATING:  9)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  <w:t>1.  Whether arbitral awards against the CDE/Government are enforceable in Dominican Republic courts and NY Convention jurisdictions.</w:t>
            </w:r>
          </w:p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  <w:t>2.  Whether the Definitive Agreement between the IPPs and the Government, defining the agreed payment mechanism for the sector, is enforceable.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tabs>
                <w:tab w:val="clear" w:pos="720"/>
                <w:tab w:val="left" w:pos="252" w:leader="none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$142 million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pacing w:before="60" w:after="60"/>
              <w:rPr>
                <w:sz w:val="18"/>
              </w:rPr>
            </w:pPr>
            <w:r>
              <w:rPr>
                <w:sz w:val="18"/>
              </w:rPr>
              <w:t>Arbitration likely this year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Risks Increasing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  <w:numStart w:val="2"/>
      </w:footnotePr>
      <w:type w:val="nextPage"/>
      <w:pgSz w:orient="landscape" w:w="15840" w:h="12240"/>
      <w:pgMar w:left="720" w:right="720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0"/>
      <w:jc w:val="center"/>
      <w:rPr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0</w:t>
    </w:r>
    <w:r>
      <w:rPr>
        <w:rStyle w:val="PageNumber"/>
        <w:sz w:val="20"/>
      </w:rPr>
      <w:fldChar w:fldCharType="end"/>
    </w:r>
  </w:p>
  <w:p>
    <w:pPr>
      <w:pStyle w:val="Footer"/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/mnt/main-storage/datasets/enron-docs/doc/LegalRisksApril2001.doc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0"/>
      <w:jc w:val="center"/>
      <w:rPr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1</w:t>
    </w:r>
    <w:r>
      <w:rPr>
        <w:rStyle w:val="PageNumber"/>
        <w:sz w:val="20"/>
      </w:rPr>
      <w:fldChar w:fldCharType="end"/>
    </w:r>
  </w:p>
  <w:p>
    <w:pPr>
      <w:pStyle w:val="Footer"/>
      <w:spacing w:before="240" w:after="0"/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/mnt/main-storage/datasets/enron-docs/doc/LegalRisksApril2001.doc</w:t>
    </w:r>
    <w:r>
      <w:rPr>
        <w:sz w:val="12"/>
      </w:rPr>
      <w:fldChar w:fldCharType="end"/>
    </w:r>
    <w:r>
      <w:rPr>
        <w:sz w:val="12"/>
      </w:rPr>
      <w:tab/>
      <w:tab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sz w:val="16"/>
        </w:rPr>
      </w:pPr>
      <w:r>
        <w:rPr>
          <w:rStyle w:val="FootnoteCharacters"/>
        </w:rPr>
        <w:footnoteRef/>
      </w:r>
      <w:r>
        <w:rPr>
          <w:b/>
          <w:sz w:val="16"/>
          <w:u w:val="single"/>
          <w:vertAlign w:val="superscript"/>
        </w:rPr>
        <w:t>1</w:t>
      </w:r>
      <w:r>
        <w:rPr>
          <w:sz w:val="16"/>
          <w:vertAlign w:val="superscript"/>
        </w:rPr>
        <w:t xml:space="preserve"> </w:t>
      </w:r>
      <w:r>
        <w:rPr>
          <w:sz w:val="14"/>
        </w:rPr>
        <w:t>This document was prepared by Enron Global Assets Legal for the purpose of facilitating the rendition of professional legal services.</w:t>
      </w:r>
    </w:p>
    <w:p>
      <w:pPr>
        <w:pStyle w:val="FootnoteText"/>
        <w:jc w:val="both"/>
        <w:rPr/>
      </w:pPr>
      <w:r>
        <w:rPr>
          <w:rStyle w:val="FootnoteCharacters"/>
          <w:b/>
          <w:sz w:val="16"/>
          <w:u w:val="single"/>
        </w:rPr>
        <w:t>?</w:t>
      </w:r>
      <w:r>
        <w:rPr>
          <w:sz w:val="16"/>
        </w:rPr>
        <w:t xml:space="preserve"> </w:t>
      </w:r>
      <w:r>
        <w:rPr>
          <w:sz w:val="14"/>
        </w:rPr>
        <w:t xml:space="preserve">These amounts are meant to be analogous to “value at risk” with respect to legal matters.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mallCaps/>
        <w:sz w:val="16"/>
      </w:rPr>
    </w:pPr>
    <w:r>
      <w:rPr>
        <w:b/>
        <w:smallCaps/>
        <w:sz w:val="16"/>
      </w:rPr>
    </w:r>
  </w:p>
  <w:p>
    <w:pPr>
      <w:pStyle w:val="Header"/>
      <w:rPr>
        <w:b/>
        <w:smallCaps/>
        <w:sz w:val="16"/>
      </w:rPr>
    </w:pPr>
    <w:r>
      <w:rPr>
        <w:b/>
        <w:smallCaps/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(%1)"/>
      <w:lvlJc w:val="start"/>
      <w:pPr>
        <w:tabs>
          <w:tab w:val="num" w:pos="2880"/>
        </w:tabs>
        <w:ind w:start="2880" w:hanging="720"/>
      </w:pPr>
      <w:rPr>
        <w:sz w:val="22"/>
        <w:rFonts w:ascii="Arial" w:hAnsi="Arial" w:cs="Arial"/>
      </w:rPr>
    </w:lvl>
    <w:lvl w:ilvl="1">
      <w:start w:val="1"/>
      <w:numFmt w:val="lowerLetter"/>
      <w:lvlText w:val="(%2)"/>
      <w:lvlJc w:val="start"/>
      <w:pPr>
        <w:tabs>
          <w:tab w:val="num" w:pos="1440"/>
        </w:tabs>
        <w:ind w:start="1440" w:hanging="720"/>
      </w:pPr>
    </w:lvl>
    <w:lvl w:ilvl="2">
      <w:start w:val="1"/>
      <w:numFmt w:val="lowerRoman"/>
      <w:lvlText w:val="%3)"/>
      <w:lvlJc w:val="start"/>
      <w:pPr>
        <w:tabs>
          <w:tab w:val="num" w:pos="2160"/>
        </w:tabs>
        <w:ind w:start="2160" w:hanging="720"/>
      </w:pPr>
    </w:lvl>
    <w:lvl w:ilvl="3">
      <w:start w:val="1"/>
      <w:numFmt w:val="decimal"/>
      <w:lvlText w:val="(%4)"/>
      <w:lvlJc w:val="start"/>
      <w:pPr>
        <w:tabs>
          <w:tab w:val="num" w:pos="2880"/>
        </w:tabs>
        <w:ind w:start="2880" w:hanging="72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234" w:hanging="360"/>
      </w:pPr>
    </w:lvl>
  </w:abstractNum>
  <w:abstractNum w:abstractNumId="4">
    <w:lvl w:ilvl="0">
      <w:start w:val="3"/>
      <w:numFmt w:val="decimal"/>
      <w:lvlText w:val="%1."/>
      <w:lvlJc w:val="start"/>
      <w:pPr>
        <w:tabs>
          <w:tab w:val="num" w:pos="414"/>
        </w:tabs>
        <w:ind w:start="41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954"/>
        </w:tabs>
        <w:ind w:start="954" w:hanging="360"/>
      </w:pPr>
    </w:lvl>
    <w:lvl w:ilvl="2">
      <w:start w:val="1"/>
      <w:numFmt w:val="lowerRoman"/>
      <w:lvlText w:val="%3."/>
      <w:lvlJc w:val="end"/>
      <w:pPr>
        <w:tabs>
          <w:tab w:val="num" w:pos="1674"/>
        </w:tabs>
        <w:ind w:start="1674" w:hanging="180"/>
      </w:pPr>
    </w:lvl>
    <w:lvl w:ilvl="3">
      <w:start w:val="1"/>
      <w:numFmt w:val="decimal"/>
      <w:lvlText w:val="%4."/>
      <w:lvlJc w:val="start"/>
      <w:pPr>
        <w:tabs>
          <w:tab w:val="num" w:pos="2394"/>
        </w:tabs>
        <w:ind w:start="2394" w:hanging="360"/>
      </w:pPr>
    </w:lvl>
    <w:lvl w:ilvl="4">
      <w:start w:val="1"/>
      <w:numFmt w:val="lowerLetter"/>
      <w:lvlText w:val="%5."/>
      <w:lvlJc w:val="start"/>
      <w:pPr>
        <w:tabs>
          <w:tab w:val="num" w:pos="3114"/>
        </w:tabs>
        <w:ind w:start="3114" w:hanging="360"/>
      </w:pPr>
    </w:lvl>
    <w:lvl w:ilvl="5">
      <w:start w:val="1"/>
      <w:numFmt w:val="lowerRoman"/>
      <w:lvlText w:val="%6."/>
      <w:lvlJc w:val="end"/>
      <w:pPr>
        <w:tabs>
          <w:tab w:val="num" w:pos="3834"/>
        </w:tabs>
        <w:ind w:start="3834" w:hanging="180"/>
      </w:pPr>
    </w:lvl>
    <w:lvl w:ilvl="6">
      <w:start w:val="1"/>
      <w:numFmt w:val="decimal"/>
      <w:lvlText w:val="%7."/>
      <w:lvlJc w:val="start"/>
      <w:pPr>
        <w:tabs>
          <w:tab w:val="num" w:pos="4554"/>
        </w:tabs>
        <w:ind w:start="4554" w:hanging="360"/>
      </w:pPr>
    </w:lvl>
    <w:lvl w:ilvl="7">
      <w:start w:val="1"/>
      <w:numFmt w:val="lowerLetter"/>
      <w:lvlText w:val="%8."/>
      <w:lvlJc w:val="start"/>
      <w:pPr>
        <w:tabs>
          <w:tab w:val="num" w:pos="5274"/>
        </w:tabs>
        <w:ind w:start="5274" w:hanging="360"/>
      </w:pPr>
    </w:lvl>
    <w:lvl w:ilvl="8">
      <w:start w:val="1"/>
      <w:numFmt w:val="lowerRoman"/>
      <w:lvlText w:val="%9."/>
      <w:lvlJc w:val="end"/>
      <w:pPr>
        <w:tabs>
          <w:tab w:val="num" w:pos="5994"/>
        </w:tabs>
        <w:ind w:start="599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footnotePr>
    <w:numFmt w:val="decimal"/>
    <w:numStart w:val="2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120"/>
      <w:outlineLvl w:val="1"/>
    </w:pPr>
    <w:rPr>
      <w:b/>
      <w:smallCap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360" w:after="120"/>
      <w:jc w:val="center"/>
      <w:outlineLvl w:val="2"/>
    </w:pPr>
    <w:rPr>
      <w:b/>
      <w:smallCaps/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/>
  </w:style>
  <w:style w:type="character" w:styleId="WW8Num29z1">
    <w:name w:val="WW8Num29z1"/>
    <w:qFormat/>
    <w:rPr>
      <w:rFonts w:ascii="Symbol" w:hAnsi="Symbol" w:cs="Symbol"/>
    </w:rPr>
  </w:style>
  <w:style w:type="character" w:styleId="WW8Num30z0">
    <w:name w:val="WW8Num30z0"/>
    <w:qFormat/>
    <w:rPr>
      <w:rFonts w:ascii="Arial" w:hAnsi="Arial" w:cs="Arial"/>
      <w:sz w:val="22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3z0">
    <w:name w:val="WW8Num43z0"/>
    <w:qFormat/>
    <w:rPr/>
  </w:style>
  <w:style w:type="character" w:styleId="WW8Num48z0">
    <w:name w:val="WW8Num48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2">
    <w:name w:val="WW8Num58z2"/>
    <w:qFormat/>
    <w:rPr>
      <w:rFonts w:ascii="Wingdings" w:hAnsi="Wingdings" w:cs="Wingdings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Bookman Old Style" w:hAnsi="Bookman Old Style" w:cs="Bookman Old Style"/>
      <w:b/>
      <w:sz w:val="20"/>
    </w:rPr>
  </w:style>
  <w:style w:type="paragraph" w:styleId="BodyText">
    <w:name w:val="Body Text"/>
    <w:basedOn w:val="Normal"/>
    <w:pPr>
      <w:jc w:val="center"/>
    </w:pPr>
    <w:rPr>
      <w:b/>
      <w:smallCaps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BodyText2">
    <w:name w:val="Body Text 2"/>
    <w:basedOn w:val="Normal"/>
    <w:qFormat/>
    <w:pPr/>
    <w:rPr>
      <w:sz w:val="20"/>
    </w:rPr>
  </w:style>
  <w:style w:type="paragraph" w:styleId="BodyText3">
    <w:name w:val="Body Text 3"/>
    <w:basedOn w:val="Normal"/>
    <w:qFormat/>
    <w:pPr>
      <w:jc w:val="both"/>
    </w:pPr>
    <w:rPr>
      <w:sz w:val="20"/>
    </w:rPr>
  </w:style>
  <w:style w:type="paragraph" w:styleId="Sharon4">
    <w:name w:val="Sharon4"/>
    <w:basedOn w:val="Normal"/>
    <w:qFormat/>
    <w:pPr>
      <w:numPr>
        <w:ilvl w:val="0"/>
        <w:numId w:val="2"/>
      </w:numPr>
      <w:spacing w:before="0" w:after="240"/>
      <w:jc w:val="both"/>
    </w:pPr>
    <w:rPr>
      <w:rFonts w:ascii="Arial" w:hAnsi="Arial" w:cs="Arial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7200" w:leader="none"/>
        <w:tab w:val="right" w:pos="144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2001-04-04T18:34:00Z</dcterms:created>
  <dc:creator>Brenda Whitehead</dc:creator>
  <dc:description/>
  <dc:language>en-CA</dc:language>
  <cp:lastModifiedBy>Bruce D. Lundstrom</cp:lastModifiedBy>
  <cp:lastPrinted>2001-04-04T16:01:00Z</cp:lastPrinted>
  <dcterms:modified xsi:type="dcterms:W3CDTF">2001-04-04T18:34:00Z</dcterms:modified>
  <cp:revision>2</cp:revision>
  <dc:subject/>
  <dc:title>COUNTERPARTY</dc:title>
</cp:coreProperties>
</file>