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Haedicke/Lance Schuler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p>
            <w:pPr>
              <w:pStyle w:val="Normal"/>
              <w:rPr>
                <w:sz w:val="18"/>
              </w:rPr>
            </w:pPr>
            <w:r>
              <w:rPr>
                <w:sz w:val="18"/>
              </w:rPr>
            </w:r>
          </w:p>
        </w:tc>
        <w:tc>
          <w:tcPr>
            <w:tcW w:w="990" w:type="dxa"/>
            <w:tcBorders/>
          </w:tcPr>
          <w:p>
            <w:pPr>
              <w:pStyle w:val="Normal"/>
              <w:snapToGrid w:val="false"/>
              <w:ind w:start="-180" w:end="0"/>
              <w:rPr>
                <w:sz w:val="18"/>
              </w:rPr>
            </w:pPr>
            <w:r>
              <w:rPr>
                <w:sz w:val="18"/>
              </w:rPr>
            </w:r>
          </w:p>
          <w:p>
            <w:pPr>
              <w:pStyle w:val="Normal"/>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Gerald Nemec</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Sale of Napoleonville Land by LRCI, Inc.</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November 21, 2001</w:t>
            </w:r>
          </w:p>
        </w:tc>
      </w:tr>
    </w:tbl>
    <w:p>
      <w:pPr>
        <w:pStyle w:val="Body"/>
        <w:rPr/>
      </w:pPr>
      <w:r>
        <w:rPr/>
      </w:r>
      <w:bookmarkStart w:id="1" w:name="StartOfMemo"/>
      <w:bookmarkStart w:id="2" w:name="StartOfMemo"/>
      <w:bookmarkEnd w:id="2"/>
    </w:p>
    <w:p>
      <w:pPr>
        <w:pStyle w:val="Body"/>
        <w:rPr>
          <w:b/>
          <w:bCs/>
        </w:rPr>
      </w:pPr>
      <w:r>
        <w:rPr>
          <w:b/>
          <w:bCs/>
        </w:rPr>
        <w:t>Legal Risk Rating 2 = (on a scale of 1 to 5, with 5 representing the greatest degree of risk)</w:t>
      </w:r>
    </w:p>
    <w:p>
      <w:pPr>
        <w:pStyle w:val="Body"/>
        <w:rPr>
          <w:b/>
          <w:bCs/>
        </w:rPr>
      </w:pPr>
      <w:r>
        <w:rPr>
          <w:b/>
          <w:bCs/>
        </w:rPr>
      </w:r>
    </w:p>
    <w:p>
      <w:pPr>
        <w:pStyle w:val="BodyText"/>
        <w:rPr>
          <w:sz w:val="20"/>
        </w:rPr>
      </w:pPr>
      <w:r>
        <w:rPr>
          <w:sz w:val="20"/>
        </w:rPr>
        <w:t>Enron North America Corp., sought bids for 330.12 acres of land located in Township 12 south, Range 13 east, Sections 41 and 46, in Assumption Parish, Louisiana (the “Property”).  The Property, currently owned by LRCI, Inc, an Enron North America Corp. subsidiary, sits atop the Napoleonville Salt Dome roughly 50 miles south of Baton Rouge.  The Property is divided into two sections: a 73.57-acre northern section (Tract 5a) and a 256.55-acre block to the south (Tracts 4a and 4b).  The surface of the Property is composed primarily of bayou floodplains, typical of the regional geography.   Also typical of the regional geography, Tracts 5a, 4a and 4b contain large subsurface salt reserves. Enron North America Corp. received two bids: Texas Brine ($2.35 MM) and Reliant ($3 MM).</w:t>
      </w:r>
    </w:p>
    <w:p>
      <w:pPr>
        <w:pStyle w:val="BodyText"/>
        <w:rPr>
          <w:sz w:val="20"/>
        </w:rPr>
      </w:pPr>
      <w:r>
        <w:rPr>
          <w:sz w:val="20"/>
        </w:rPr>
      </w:r>
    </w:p>
    <w:p>
      <w:pPr>
        <w:pStyle w:val="BodyText"/>
        <w:rPr>
          <w:sz w:val="20"/>
        </w:rPr>
      </w:pPr>
      <w:r>
        <w:rPr>
          <w:sz w:val="20"/>
        </w:rPr>
        <w:t>The legal risks associated with this transaction are as follows:</w:t>
      </w:r>
    </w:p>
    <w:p>
      <w:pPr>
        <w:pStyle w:val="BodyText"/>
        <w:rPr>
          <w:sz w:val="20"/>
        </w:rPr>
      </w:pPr>
      <w:r>
        <w:rPr>
          <w:sz w:val="20"/>
        </w:rPr>
      </w:r>
    </w:p>
    <w:p>
      <w:pPr>
        <w:pStyle w:val="BodyText"/>
        <w:rPr/>
      </w:pPr>
      <w:r>
        <w:rPr>
          <w:sz w:val="20"/>
        </w:rPr>
        <w:t xml:space="preserve">1.  </w:t>
      </w:r>
      <w:r>
        <w:rPr>
          <w:sz w:val="20"/>
          <w:u w:val="single"/>
        </w:rPr>
        <w:t>Representations and Warranties</w:t>
      </w:r>
      <w:r>
        <w:rPr>
          <w:sz w:val="20"/>
        </w:rPr>
        <w:t>.  LRCI, Inc. is making typical representations and warranties such as title to the property, environmental, no liens and encumbrances, authority,  and no pending litigation.  All representations and warrantes are limited to 6 months following the effective date and a liability cap of the purchase price of $3,000,000.00.</w:t>
      </w:r>
    </w:p>
    <w:p>
      <w:pPr>
        <w:pStyle w:val="BodyText"/>
        <w:rPr>
          <w:sz w:val="20"/>
        </w:rPr>
      </w:pPr>
      <w:r>
        <w:rPr>
          <w:sz w:val="20"/>
        </w:rPr>
      </w:r>
    </w:p>
    <w:p>
      <w:pPr>
        <w:pStyle w:val="BodyText"/>
        <w:rPr>
          <w:b/>
          <w:i/>
          <w:i/>
          <w:sz w:val="20"/>
        </w:rPr>
      </w:pPr>
      <w:r>
        <w:rPr>
          <w:sz w:val="20"/>
        </w:rPr>
        <w:t xml:space="preserve">2.  </w:t>
      </w:r>
      <w:r>
        <w:rPr>
          <w:sz w:val="20"/>
          <w:u w:val="single"/>
        </w:rPr>
        <w:t>Texas Brine Relationship</w:t>
      </w:r>
      <w:r>
        <w:rPr>
          <w:sz w:val="20"/>
        </w:rPr>
        <w:t xml:space="preserve">.  Enron North America Corp. was in negotiations with Texas Brine for the potential sale of the land and was negotiating documents when ENA was approached by Reliant.  No documents were signed with Texas Brine.  ENA decided to pursue negotiations with Reliant and informed Texas Brine of another bid.  The facts were reviewed and approved with ENA’s litigation department.    </w:t>
      </w:r>
    </w:p>
    <w:p>
      <w:pPr>
        <w:pStyle w:val="CopyList"/>
        <w:ind w:hanging="0" w:start="0" w:end="0"/>
        <w:rPr>
          <w:b/>
          <w:i/>
          <w:i/>
          <w:sz w:val="20"/>
        </w:rPr>
      </w:pPr>
      <w:r>
        <w:rPr>
          <w:b/>
          <w:i/>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93599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599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p>
                        <w:p>
                          <w:pPr>
                            <w:pStyle w:val="Normal"/>
                            <w:ind w:start="3600" w:end="0"/>
                            <w:rPr>
                              <w:rFonts w:ascii="Times New Roman" w:hAnsi="Times New Roman" w:cs="Times New Roman"/>
                              <w:b/>
                              <w:sz w:val="32"/>
                            </w:rPr>
                          </w:pPr>
                          <w:r>
                            <w:rPr>
                              <w:rFonts w:cs="Times New Roman" w:ascii="Times New Roman" w:hAnsi="Times New Roman"/>
                              <w:b/>
                              <w:sz w:val="32"/>
                            </w:rPr>
                            <w:t>Privileged and Confidential</w:t>
                          </w:r>
                        </w:p>
                      </w:txbxContent>
                    </wps:txbx>
                    <wps:bodyPr anchor="t" lIns="0" tIns="0" rIns="0" bIns="0">
                      <a:noAutofit/>
                    </wps:bodyPr>
                  </wps:wsp>
                </a:graphicData>
              </a:graphic>
            </wp:anchor>
          </w:drawing>
        </mc:Choice>
        <mc:Fallback>
          <w:pict>
            <v:rect fillcolor="#FFFFFF" style="position:absolute;rotation:-0;width:305.3pt;height:73.7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p>
                  <w:p>
                    <w:pPr>
                      <w:pStyle w:val="Normal"/>
                      <w:ind w:start="3600" w:end="0"/>
                      <w:rPr>
                        <w:rFonts w:ascii="Times New Roman" w:hAnsi="Times New Roman" w:cs="Times New Roman"/>
                        <w:b/>
                        <w:sz w:val="32"/>
                      </w:rPr>
                    </w:pPr>
                    <w:r>
                      <w:rPr>
                        <w:rFonts w:cs="Times New Roman" w:ascii="Times New Roman" w:hAnsi="Times New Roman"/>
                        <w:b/>
                        <w:sz w:val="32"/>
                      </w:rPr>
                      <w:t>Privileged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jc w:val="both"/>
      <w:textAlignment w:val="auto"/>
    </w:pPr>
    <w:rPr>
      <w:rFonts w:cs="Arial"/>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2001-11-20T23:46:00Z</dcterms:created>
  <dc:creator>gnemec</dc:creator>
  <dc:description/>
  <dc:language>en-CA</dc:language>
  <cp:lastModifiedBy>erainer</cp:lastModifiedBy>
  <cp:lastPrinted>2001-11-20T14:32:00Z</cp:lastPrinted>
  <dcterms:modified xsi:type="dcterms:W3CDTF">2001-11-20T23:46:00Z</dcterms:modified>
  <cp:revision>2</cp:revision>
  <dc:subject/>
  <dc:title>Better, Faster, Simpler Memo </dc:title>
</cp:coreProperties>
</file>