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Helvetica" w:hAnsi="Helvetica" w:cs="Helvetica"/>
          <w:sz w:val="22"/>
        </w:rPr>
      </w:pPr>
      <w:r>
        <w:rPr>
          <w:rFonts w:cs="Helvetica" w:ascii="Helvetica" w:hAnsi="Helvetica"/>
          <w:sz w:val="22"/>
        </w:rPr>
        <w:t>DERIVATIVES TRADING:  Teamwork Spells Success</w:t>
      </w:r>
    </w:p>
    <w:p>
      <w:pPr>
        <w:pStyle w:val="Heading"/>
        <w:rPr>
          <w:rFonts w:ascii="Helvetica" w:hAnsi="Helvetica" w:cs="Helvetica"/>
          <w:sz w:val="22"/>
        </w:rPr>
      </w:pPr>
      <w:r>
        <w:rPr>
          <w:rFonts w:cs="Helvetica" w:ascii="Helvetica" w:hAnsi="Helvetica"/>
          <w:sz w:val="22"/>
        </w:rPr>
      </w:r>
    </w:p>
    <w:p>
      <w:pPr>
        <w:pStyle w:val="Heading"/>
        <w:rPr>
          <w:rFonts w:ascii="Helvetica" w:hAnsi="Helvetica" w:cs="Helvetica"/>
          <w:b w:val="false"/>
          <w:sz w:val="22"/>
        </w:rPr>
      </w:pPr>
      <w:r>
        <w:rPr>
          <w:rFonts w:cs="Helvetica" w:ascii="Helvetica" w:hAnsi="Helvetica"/>
          <w:b w:val="false"/>
          <w:sz w:val="22"/>
        </w:rPr>
        <w:t>Interviews with</w:t>
      </w:r>
    </w:p>
    <w:p>
      <w:pPr>
        <w:pStyle w:val="Subtitle"/>
        <w:rPr>
          <w:rFonts w:ascii="Helvetica" w:hAnsi="Helvetica" w:cs="Helvetica"/>
          <w:sz w:val="22"/>
        </w:rPr>
      </w:pPr>
      <w:r>
        <w:rPr>
          <w:rFonts w:cs="Helvetica" w:ascii="Helvetica" w:hAnsi="Helvetica"/>
          <w:sz w:val="22"/>
        </w:rPr>
        <w:t>Mark Taylor, Vice President and General Counsel, ENA Legal</w:t>
      </w:r>
    </w:p>
    <w:p>
      <w:pPr>
        <w:pStyle w:val="Subtitle"/>
        <w:rPr>
          <w:rFonts w:ascii="Helvetica" w:hAnsi="Helvetica" w:cs="Helvetica"/>
          <w:sz w:val="22"/>
        </w:rPr>
      </w:pPr>
      <w:r>
        <w:rPr>
          <w:rFonts w:cs="Helvetica" w:ascii="Helvetica" w:hAnsi="Helvetica"/>
          <w:sz w:val="22"/>
        </w:rPr>
        <w:t>Tana Jones, Sr. Legal Specialist, ENA Legal</w:t>
      </w:r>
    </w:p>
    <w:p>
      <w:pPr>
        <w:pStyle w:val="Subtitle"/>
        <w:rPr>
          <w:rFonts w:ascii="Helvetica" w:hAnsi="Helvetica" w:cs="Helvetica"/>
          <w:sz w:val="22"/>
        </w:rPr>
      </w:pPr>
      <w:r>
        <w:rPr>
          <w:rFonts w:cs="Helvetica" w:ascii="Helvetica" w:hAnsi="Helvetica"/>
          <w:sz w:val="22"/>
        </w:rPr>
        <w:t>Tanya Rohauer, Director of Risk Assessment and Control</w:t>
      </w:r>
    </w:p>
    <w:p>
      <w:pPr>
        <w:pStyle w:val="Normal"/>
        <w:rPr>
          <w:rFonts w:ascii="Helvetica" w:hAnsi="Helvetica" w:cs="Helvetica"/>
          <w:sz w:val="22"/>
        </w:rPr>
      </w:pPr>
      <w:r>
        <w:rPr>
          <w:rFonts w:cs="Helvetica" w:ascii="Helvetica" w:hAnsi="Helvetica"/>
          <w:sz w:val="22"/>
        </w:rPr>
      </w:r>
    </w:p>
    <w:p>
      <w:pPr>
        <w:pStyle w:val="BodyText"/>
        <w:jc w:val="both"/>
        <w:rPr>
          <w:rFonts w:ascii="Helvetica" w:hAnsi="Helvetica" w:cs="Helvetica"/>
          <w:i/>
          <w:i/>
          <w:iCs/>
          <w:sz w:val="22"/>
        </w:rPr>
      </w:pPr>
      <w:r>
        <w:rPr>
          <w:rFonts w:cs="Helvetica" w:ascii="Helvetica" w:hAnsi="Helvetica"/>
          <w:i/>
          <w:iCs/>
          <w:sz w:val="22"/>
        </w:rPr>
        <w:t>Another aspect of managing risk at Enron North America is the risk associated with non-performance by a counterparty.  The management of this risk is the responsibility of two separate departments within ENA, the Legal and Credit Departments, who have developed a successful synergistic working relationship.  These groups support the derivative trading business units across the Americas, including the ENA energy commodity desks, weather, pulp &amp; paper, interest rate &amp; currency desk, equity desks, credit derivatives, as well as the Canadian and South American efforts on such fronts.  We spoke to members off the Legal and Credit teams who work on the derivative trading side of the business to learn more about the issues surrounding counterparty non-performance risk, and also to see how this group has been so successful in developing teamwork and cooperation within their team.</w:t>
      </w:r>
    </w:p>
    <w:p>
      <w:pPr>
        <w:pStyle w:val="BodyText"/>
        <w:rPr>
          <w:rFonts w:ascii="Helvetica" w:hAnsi="Helvetica" w:cs="Helvetica"/>
          <w:i/>
          <w:i/>
          <w:iCs/>
          <w:sz w:val="22"/>
        </w:rPr>
      </w:pPr>
      <w:r>
        <w:rPr>
          <w:rFonts w:cs="Helvetica" w:ascii="Helvetica" w:hAnsi="Helvetica"/>
          <w:i/>
          <w:iCs/>
          <w:sz w:val="22"/>
        </w:rPr>
      </w:r>
    </w:p>
    <w:p>
      <w:pPr>
        <w:pStyle w:val="BodyText"/>
        <w:rPr>
          <w:rFonts w:ascii="Helvetica" w:hAnsi="Helvetica" w:cs="Helvetica"/>
          <w:b/>
          <w:bCs/>
          <w:sz w:val="22"/>
        </w:rPr>
      </w:pPr>
      <w:r>
        <w:rPr>
          <w:rFonts w:cs="Helvetica" w:ascii="Helvetica" w:hAnsi="Helvetica"/>
          <w:b/>
          <w:bCs/>
          <w:sz w:val="22"/>
        </w:rPr>
        <w:t>Basic Risk Management Tools</w:t>
      </w:r>
    </w:p>
    <w:p>
      <w:pPr>
        <w:pStyle w:val="BodyText"/>
        <w:rPr>
          <w:rFonts w:ascii="Helvetica" w:hAnsi="Helvetica" w:cs="Helvetica"/>
          <w:b/>
          <w:bCs/>
          <w:sz w:val="22"/>
        </w:rPr>
      </w:pPr>
      <w:r>
        <w:rPr>
          <w:rFonts w:cs="Helvetica" w:ascii="Helvetica" w:hAnsi="Helvetica"/>
          <w:b/>
          <w:bCs/>
          <w:sz w:val="22"/>
        </w:rPr>
      </w:r>
    </w:p>
    <w:p>
      <w:pPr>
        <w:pStyle w:val="BodyText"/>
        <w:jc w:val="both"/>
        <w:rPr>
          <w:rFonts w:ascii="Helvetica" w:hAnsi="Helvetica" w:cs="Helvetica"/>
          <w:sz w:val="22"/>
        </w:rPr>
      </w:pPr>
      <w:r>
        <w:rPr>
          <w:rFonts w:cs="Helvetica" w:ascii="Helvetica" w:hAnsi="Helvetica"/>
          <w:sz w:val="22"/>
        </w:rPr>
        <w:t>Most Enron employees are familiar with the basic tools of risk management which allow Enron and Enron’s customers the ability to manage their exposure to price risk, such as swaps which allow companies to protect against market fluctuations by locking in a fixed price.  Other benefits of using risk management tools include the ability to facilitate working capital and cash flow management, enabling companies to budget more accurately, lending greater certainty to investment and acquisition decisions and helping companies improve their financial leverage.</w:t>
      </w:r>
    </w:p>
    <w:p>
      <w:pPr>
        <w:pStyle w:val="BodyText"/>
        <w:jc w:val="both"/>
        <w:rPr>
          <w:rFonts w:ascii="Helvetica" w:hAnsi="Helvetica" w:cs="Helvetica"/>
          <w:sz w:val="22"/>
        </w:rPr>
      </w:pPr>
      <w:r>
        <w:rPr>
          <w:rFonts w:cs="Helvetica" w:ascii="Helvetica" w:hAnsi="Helvetica"/>
          <w:sz w:val="22"/>
        </w:rPr>
      </w:r>
    </w:p>
    <w:p>
      <w:pPr>
        <w:pStyle w:val="BodyText"/>
        <w:jc w:val="both"/>
        <w:rPr>
          <w:rFonts w:ascii="Helvetica" w:hAnsi="Helvetica" w:cs="Helvetica"/>
          <w:sz w:val="22"/>
        </w:rPr>
      </w:pPr>
      <w:r>
        <w:rPr>
          <w:rFonts w:cs="Helvetica" w:ascii="Helvetica" w:hAnsi="Helvetica"/>
          <w:sz w:val="22"/>
        </w:rPr>
        <w:t>Unlike a physical contract which is usually settled with physical delivery of a product, a derivative contract is always settled in cash, usually against an agreed upon market price index, and is customized as to volume timing, location, seasonality and swing.  Other financial hedging tools available include caps, floors, collars, and swaptions.</w:t>
      </w:r>
    </w:p>
    <w:p>
      <w:pPr>
        <w:pStyle w:val="BodyText"/>
        <w:jc w:val="both"/>
        <w:rPr>
          <w:rFonts w:ascii="Helvetica" w:hAnsi="Helvetica" w:cs="Helvetica"/>
          <w:sz w:val="22"/>
        </w:rPr>
      </w:pPr>
      <w:r>
        <w:rPr>
          <w:rFonts w:cs="Helvetica" w:ascii="Helvetica" w:hAnsi="Helvetica"/>
          <w:sz w:val="22"/>
        </w:rPr>
      </w:r>
    </w:p>
    <w:p>
      <w:pPr>
        <w:pStyle w:val="BodyText"/>
        <w:rPr>
          <w:rFonts w:ascii="Helvetica" w:hAnsi="Helvetica" w:cs="Helvetica"/>
          <w:b/>
          <w:sz w:val="22"/>
        </w:rPr>
      </w:pPr>
      <w:r>
        <w:rPr>
          <w:rFonts w:cs="Helvetica" w:ascii="Helvetica" w:hAnsi="Helvetica"/>
          <w:b/>
          <w:sz w:val="22"/>
        </w:rPr>
        <w:t>Non-Performance Risk</w:t>
      </w:r>
    </w:p>
    <w:p>
      <w:pPr>
        <w:pStyle w:val="BodyText"/>
        <w:jc w:val="both"/>
        <w:rPr>
          <w:rFonts w:ascii="Helvetica" w:hAnsi="Helvetica" w:cs="Helvetica"/>
          <w:b/>
          <w:sz w:val="22"/>
        </w:rPr>
      </w:pPr>
      <w:r>
        <w:rPr>
          <w:rFonts w:cs="Helvetica" w:ascii="Helvetica" w:hAnsi="Helvetica"/>
          <w:b/>
          <w:sz w:val="22"/>
        </w:rPr>
      </w:r>
    </w:p>
    <w:p>
      <w:pPr>
        <w:pStyle w:val="BodyText"/>
        <w:jc w:val="both"/>
        <w:rPr/>
      </w:pPr>
      <w:r>
        <w:rPr>
          <w:rFonts w:cs="Helvetica" w:ascii="Helvetica" w:hAnsi="Helvetica"/>
          <w:sz w:val="22"/>
        </w:rPr>
        <w:t xml:space="preserve">Less familiar than price risk but also critical to Enron is the non-performance risk associated with these transactions.  Performance risk includes risk of counterparty default, risk of illiquidity and other similar risks.  There are two sides to non-performance risk, credit and legal risk.  “To put it simply” explains Mark Taylor, a Vice President and General Counsel at ENA, “Credit risk is what the customer will not be </w:t>
      </w:r>
      <w:r>
        <w:rPr>
          <w:rFonts w:cs="Helvetica" w:ascii="Helvetica" w:hAnsi="Helvetica"/>
          <w:i/>
          <w:sz w:val="22"/>
        </w:rPr>
        <w:t>able</w:t>
      </w:r>
      <w:r>
        <w:rPr>
          <w:rFonts w:cs="Helvetica" w:ascii="Helvetica" w:hAnsi="Helvetica"/>
          <w:sz w:val="22"/>
        </w:rPr>
        <w:t xml:space="preserve"> to pay; legal risk is what the customer is not </w:t>
      </w:r>
      <w:r>
        <w:rPr>
          <w:rFonts w:cs="Helvetica" w:ascii="Helvetica" w:hAnsi="Helvetica"/>
          <w:i/>
          <w:sz w:val="22"/>
        </w:rPr>
        <w:t xml:space="preserve">willing </w:t>
      </w:r>
      <w:r>
        <w:rPr>
          <w:rFonts w:cs="Helvetica" w:ascii="Helvetica" w:hAnsi="Helvetica"/>
          <w:sz w:val="22"/>
        </w:rPr>
        <w:t>to pay. Enron covers both risk areas with carefully drafted contracts.”</w:t>
      </w:r>
    </w:p>
    <w:p>
      <w:pPr>
        <w:pStyle w:val="BodyText"/>
        <w:rPr>
          <w:rFonts w:ascii="Helvetica" w:hAnsi="Helvetica" w:cs="Helvetica"/>
          <w:sz w:val="22"/>
        </w:rPr>
      </w:pPr>
      <w:r>
        <w:rPr>
          <w:rFonts w:cs="Helvetica" w:ascii="Helvetica" w:hAnsi="Helvetica"/>
          <w:sz w:val="22"/>
        </w:rPr>
      </w:r>
    </w:p>
    <w:p>
      <w:pPr>
        <w:pStyle w:val="BodyText"/>
        <w:rPr>
          <w:rFonts w:ascii="Helvetica" w:hAnsi="Helvetica" w:cs="Helvetica"/>
          <w:b/>
          <w:bCs/>
          <w:color w:val="000000"/>
          <w:sz w:val="22"/>
        </w:rPr>
      </w:pPr>
      <w:r>
        <w:rPr>
          <w:rFonts w:cs="Helvetica" w:ascii="Helvetica" w:hAnsi="Helvetica"/>
          <w:b/>
          <w:bCs/>
          <w:color w:val="000000"/>
          <w:sz w:val="22"/>
        </w:rPr>
        <w:t>Credit Non-Performance Risk</w:t>
      </w:r>
    </w:p>
    <w:p>
      <w:pPr>
        <w:pStyle w:val="BodyText"/>
        <w:rPr>
          <w:rFonts w:ascii="Helvetica" w:hAnsi="Helvetica" w:cs="Helvetica"/>
          <w:b/>
          <w:bCs/>
          <w:color w:val="000000"/>
          <w:sz w:val="22"/>
        </w:rPr>
      </w:pPr>
      <w:r>
        <w:rPr>
          <w:rFonts w:cs="Helvetica" w:ascii="Helvetica" w:hAnsi="Helvetica"/>
          <w:b/>
          <w:bCs/>
          <w:color w:val="000000"/>
          <w:sz w:val="22"/>
        </w:rPr>
      </w:r>
    </w:p>
    <w:p>
      <w:pPr>
        <w:pStyle w:val="BodyText"/>
        <w:jc w:val="both"/>
        <w:rPr/>
      </w:pPr>
      <w:r>
        <w:rPr>
          <w:rFonts w:cs="Helvetica" w:ascii="Helvetica" w:hAnsi="Helvetica"/>
          <w:color w:val="000000"/>
          <w:sz w:val="22"/>
        </w:rPr>
        <w:t>“</w:t>
      </w:r>
      <w:r>
        <w:rPr>
          <w:rFonts w:cs="Helvetica" w:ascii="Helvetica" w:hAnsi="Helvetica"/>
          <w:color w:val="000000"/>
          <w:sz w:val="22"/>
        </w:rPr>
        <w:t xml:space="preserve">Know thy customer” should be the motto of the Credit Group.  Before a dealmaker ever transacts with a customer, a financial review is conducted of the company and a customer profile is generated.  </w:t>
      </w:r>
      <w:r>
        <w:rPr>
          <w:rFonts w:cs="Helvetica" w:ascii="Helvetica" w:hAnsi="Helvetica"/>
          <w:sz w:val="22"/>
        </w:rPr>
        <w:t xml:space="preserve">“The first step in reducing Credit risk is a thorough financial analysis of the customer,” explains Tanya Rohauer, a director in Risk Assessment and Control.  “Among other factors, we consider financial statements, market indicators and company management.  </w:t>
      </w:r>
      <w:r>
        <w:rPr>
          <w:rFonts w:cs="Helvetica" w:ascii="Helvetica" w:hAnsi="Helvetica"/>
          <w:color w:val="000000"/>
          <w:sz w:val="22"/>
        </w:rPr>
        <w:t>W</w:t>
      </w:r>
      <w:r>
        <w:rPr>
          <w:rFonts w:cs="Helvetica" w:ascii="Helvetica" w:hAnsi="Helvetica"/>
          <w:sz w:val="22"/>
        </w:rPr>
        <w:t xml:space="preserve">e then determine what type of transactions we </w:t>
      </w:r>
      <w:r>
        <w:rPr>
          <w:rFonts w:cs="Helvetica" w:ascii="Helvetica" w:hAnsi="Helvetica"/>
          <w:i/>
          <w:iCs/>
          <w:sz w:val="22"/>
        </w:rPr>
        <w:t>should</w:t>
      </w:r>
      <w:r>
        <w:rPr>
          <w:rFonts w:cs="Helvetica" w:ascii="Helvetica" w:hAnsi="Helvetica"/>
          <w:sz w:val="22"/>
        </w:rPr>
        <w:t xml:space="preserve"> do with this company, along with the length of term and the amount of credit to extend.”</w:t>
      </w:r>
    </w:p>
    <w:p>
      <w:pPr>
        <w:pStyle w:val="BodyText"/>
        <w:jc w:val="both"/>
        <w:rPr>
          <w:rFonts w:ascii="Helvetica" w:hAnsi="Helvetica" w:cs="Helvetica"/>
          <w:sz w:val="22"/>
        </w:rPr>
      </w:pPr>
      <w:r>
        <w:rPr>
          <w:rFonts w:cs="Helvetica" w:ascii="Helvetica" w:hAnsi="Helvetica"/>
          <w:sz w:val="22"/>
        </w:rPr>
      </w:r>
    </w:p>
    <w:p>
      <w:pPr>
        <w:pStyle w:val="BodyText"/>
        <w:jc w:val="both"/>
        <w:rPr>
          <w:rFonts w:ascii="Helvetica" w:hAnsi="Helvetica" w:cs="Helvetica"/>
          <w:sz w:val="22"/>
        </w:rPr>
      </w:pPr>
      <w:r>
        <w:rPr>
          <w:rFonts w:cs="Helvetica" w:ascii="Helvetica" w:hAnsi="Helvetica"/>
          <w:sz w:val="22"/>
        </w:rPr>
        <w:t>Another tool in the Credit portfolio is the requirement that counterparties provide initial and variation margin or “collateral”.  Initial collateral may be required before a counterparty is even able to transact with Enron and is primarily used with non-investment grade entities, highly leveraged entities and hedge funds.  This collateral may take the form of cash, US Treasuries or letters of credit, depending on the transaction and counterparty involved.  Variation collateral or margin takes into account the mark-to-market value of the transactions at any given time.  Depending on the circumstances, Enron may be protected from some or all of the credit risk for counterpary non-performance.</w:t>
      </w:r>
    </w:p>
    <w:p>
      <w:pPr>
        <w:pStyle w:val="BodyText"/>
        <w:jc w:val="both"/>
        <w:rPr>
          <w:rFonts w:ascii="Helvetica" w:hAnsi="Helvetica" w:cs="Helvetica"/>
          <w:sz w:val="22"/>
        </w:rPr>
      </w:pPr>
      <w:r>
        <w:rPr>
          <w:rFonts w:cs="Helvetica" w:ascii="Helvetica" w:hAnsi="Helvetica"/>
          <w:sz w:val="22"/>
        </w:rPr>
      </w:r>
    </w:p>
    <w:p>
      <w:pPr>
        <w:pStyle w:val="BodyText"/>
        <w:rPr>
          <w:rFonts w:ascii="Helvetica" w:hAnsi="Helvetica" w:cs="Helvetica"/>
          <w:b/>
          <w:bCs/>
          <w:sz w:val="22"/>
        </w:rPr>
      </w:pPr>
      <w:r>
        <w:rPr>
          <w:rFonts w:cs="Helvetica" w:ascii="Helvetica" w:hAnsi="Helvetica"/>
          <w:b/>
          <w:bCs/>
          <w:sz w:val="22"/>
        </w:rPr>
        <w:t>Legal Risk</w:t>
      </w:r>
    </w:p>
    <w:p>
      <w:pPr>
        <w:pStyle w:val="BodyText"/>
        <w:rPr>
          <w:rFonts w:ascii="Helvetica" w:hAnsi="Helvetica" w:cs="Helvetica"/>
          <w:b/>
          <w:bCs/>
          <w:sz w:val="22"/>
        </w:rPr>
      </w:pPr>
      <w:r>
        <w:rPr>
          <w:rFonts w:cs="Helvetica" w:ascii="Helvetica" w:hAnsi="Helvetica"/>
          <w:b/>
          <w:bCs/>
          <w:sz w:val="22"/>
        </w:rPr>
      </w:r>
    </w:p>
    <w:p>
      <w:pPr>
        <w:pStyle w:val="BodyText"/>
        <w:jc w:val="both"/>
        <w:rPr>
          <w:rFonts w:ascii="Helvetica" w:hAnsi="Helvetica" w:cs="Helvetica"/>
          <w:sz w:val="22"/>
        </w:rPr>
      </w:pPr>
      <w:r>
        <w:rPr>
          <w:rFonts w:cs="Helvetica" w:ascii="Helvetica" w:hAnsi="Helvetica"/>
          <w:sz w:val="22"/>
        </w:rPr>
        <w:t>If the motto of Credit is “know thy customer”, then we could say the motto of Legal (aka the “Swap Group”) is “get thy contract executed.”  Enron cannot enforce its legal and credit rights if it does not have a validly executed contract spelling out just what those legal and credit rights are.</w:t>
      </w:r>
    </w:p>
    <w:p>
      <w:pPr>
        <w:pStyle w:val="BodyText"/>
        <w:rPr>
          <w:rFonts w:ascii="Helvetica" w:hAnsi="Helvetica" w:cs="Helvetica"/>
          <w:sz w:val="22"/>
        </w:rPr>
      </w:pPr>
      <w:r>
        <w:rPr>
          <w:rFonts w:cs="Helvetica" w:ascii="Helvetica" w:hAnsi="Helvetica"/>
          <w:sz w:val="22"/>
        </w:rPr>
      </w:r>
    </w:p>
    <w:p>
      <w:pPr>
        <w:pStyle w:val="BodyText"/>
        <w:jc w:val="both"/>
        <w:rPr>
          <w:rFonts w:ascii="Helvetica" w:hAnsi="Helvetica" w:cs="Helvetica"/>
          <w:sz w:val="22"/>
        </w:rPr>
      </w:pPr>
      <w:r>
        <w:rPr>
          <w:rFonts w:cs="Helvetica" w:ascii="Helvetica" w:hAnsi="Helvetica"/>
          <w:sz w:val="22"/>
        </w:rPr>
        <w:t>Among the protections provided for in the master agreements we put in place are events of default such as nonpayment, material adverse changes in the financial condition of one of the parties, cross-defaults to other debts and bankruptcy type events.  If such an event of default occurs the agreement provides for early termination right making the defaulting party liable for any losses suffered by the non-defaulting party.  Further, these master agreements include the credit enhancement provisions discussed above such as collateral requirements, and critical bankruptcy protection language which allows the non-defaulting party to terminate all transactions with the bankrupt entity, net all the amounts owed between the parties and set off all amounts owed against any collateral it holds.</w:t>
      </w:r>
    </w:p>
    <w:p>
      <w:pPr>
        <w:pStyle w:val="BodyText"/>
        <w:rPr>
          <w:rFonts w:ascii="Helvetica" w:hAnsi="Helvetica" w:cs="Helvetica"/>
          <w:sz w:val="22"/>
        </w:rPr>
      </w:pPr>
      <w:r>
        <w:rPr>
          <w:rFonts w:cs="Helvetica" w:ascii="Helvetica" w:hAnsi="Helvetica"/>
          <w:sz w:val="22"/>
        </w:rPr>
      </w:r>
    </w:p>
    <w:p>
      <w:pPr>
        <w:pStyle w:val="Normal"/>
        <w:rPr>
          <w:rFonts w:ascii="Helvetica" w:hAnsi="Helvetica" w:cs="Helvetica"/>
          <w:b/>
          <w:sz w:val="22"/>
        </w:rPr>
      </w:pPr>
      <w:r>
        <w:rPr>
          <w:rFonts w:cs="Helvetica" w:ascii="Helvetica" w:hAnsi="Helvetica"/>
          <w:b/>
          <w:sz w:val="22"/>
        </w:rPr>
        <w:t>Millenium Brings Group Challenges</w:t>
      </w:r>
    </w:p>
    <w:p>
      <w:pPr>
        <w:pStyle w:val="Normal"/>
        <w:rPr>
          <w:rFonts w:ascii="Helvetica" w:hAnsi="Helvetica" w:cs="Helvetica"/>
          <w:b/>
          <w:sz w:val="22"/>
        </w:rPr>
      </w:pPr>
      <w:r>
        <w:rPr>
          <w:rFonts w:cs="Helvetica" w:ascii="Helvetica" w:hAnsi="Helvetica"/>
          <w:b/>
          <w:sz w:val="22"/>
        </w:rPr>
      </w:r>
    </w:p>
    <w:p>
      <w:pPr>
        <w:pStyle w:val="Normal"/>
        <w:jc w:val="both"/>
        <w:rPr/>
      </w:pPr>
      <w:r>
        <w:rPr>
          <w:rFonts w:cs="Helvetica" w:ascii="Helvetica" w:hAnsi="Helvetica"/>
          <w:sz w:val="22"/>
        </w:rPr>
        <w:t>“</w:t>
      </w:r>
      <w:r>
        <w:rPr>
          <w:rFonts w:cs="Helvetica" w:ascii="Helvetica" w:hAnsi="Helvetica"/>
          <w:sz w:val="22"/>
        </w:rPr>
        <w:t>The Legal and Credit Team started the year 2000 with a group challenge, to get their 500</w:t>
      </w:r>
      <w:r>
        <w:rPr>
          <w:rFonts w:cs="Helvetica" w:ascii="Helvetica" w:hAnsi="Helvetica"/>
          <w:sz w:val="22"/>
          <w:vertAlign w:val="superscript"/>
        </w:rPr>
        <w:t>th</w:t>
      </w:r>
      <w:r>
        <w:rPr>
          <w:rFonts w:cs="Helvetica" w:ascii="Helvetica" w:hAnsi="Helvetica"/>
          <w:sz w:val="22"/>
        </w:rPr>
        <w:t xml:space="preserve"> master swap agreement executed by year end” said Tana Jones, a Senior Legal Specialist who joined the Swap Group in 1994.  “The purpose of the challenge was really twofold” said Jones.  “First, we wanted to highlight this achievement for our groups.  We had parties to celebrate our 100</w:t>
      </w:r>
      <w:r>
        <w:rPr>
          <w:rFonts w:cs="Helvetica" w:ascii="Helvetica" w:hAnsi="Helvetica"/>
          <w:sz w:val="22"/>
          <w:vertAlign w:val="superscript"/>
        </w:rPr>
        <w:t>th</w:t>
      </w:r>
      <w:r>
        <w:rPr>
          <w:rFonts w:cs="Helvetica" w:ascii="Helvetica" w:hAnsi="Helvetica"/>
          <w:sz w:val="22"/>
        </w:rPr>
        <w:t xml:space="preserve"> and 350</w:t>
      </w:r>
      <w:r>
        <w:rPr>
          <w:rFonts w:cs="Helvetica" w:ascii="Helvetica" w:hAnsi="Helvetica"/>
          <w:sz w:val="22"/>
          <w:vertAlign w:val="superscript"/>
        </w:rPr>
        <w:t>th</w:t>
      </w:r>
      <w:r>
        <w:rPr>
          <w:rFonts w:cs="Helvetica" w:ascii="Helvetica" w:hAnsi="Helvetica"/>
          <w:sz w:val="22"/>
        </w:rPr>
        <w:t xml:space="preserve"> master swap agreements and it was important that we noted this milestone marker for our group.  The motto of our party for the 350</w:t>
      </w:r>
      <w:r>
        <w:rPr>
          <w:rFonts w:cs="Helvetica" w:ascii="Helvetica" w:hAnsi="Helvetica"/>
          <w:sz w:val="22"/>
          <w:vertAlign w:val="superscript"/>
        </w:rPr>
        <w:t>th</w:t>
      </w:r>
      <w:r>
        <w:rPr>
          <w:rFonts w:cs="Helvetica" w:ascii="Helvetica" w:hAnsi="Helvetica"/>
          <w:sz w:val="22"/>
        </w:rPr>
        <w:t xml:space="preserve"> contract was “swap til you drop” (we even had mugs printed up to celebrate the event!), and it seemed at times that we might be taking that slogan quite literally.”  Second, we wanted “to have fun while doing it”, and I think this has lead to some “spirited” competition, some friendly teasing and I think it some overall fun making the 500.”</w:t>
      </w:r>
    </w:p>
    <w:p>
      <w:pPr>
        <w:pStyle w:val="BodyText"/>
        <w:jc w:val="both"/>
        <w:rPr>
          <w:rFonts w:ascii="Helvetica" w:hAnsi="Helvetica" w:cs="Helvetica"/>
          <w:sz w:val="22"/>
        </w:rPr>
      </w:pPr>
      <w:r>
        <w:rPr>
          <w:rFonts w:cs="Helvetica" w:ascii="Helvetica" w:hAnsi="Helvetica"/>
          <w:sz w:val="22"/>
        </w:rPr>
      </w:r>
    </w:p>
    <w:p>
      <w:pPr>
        <w:pStyle w:val="BodyText3"/>
        <w:rPr/>
      </w:pPr>
      <w:r>
        <w:rPr/>
        <w:t>The 2000 challenge was made especially difficult since the advent of online trading increased the overall work of the team (since it has increased Enron’s overall business!), and also siphoned off key members of the Legal and Credit Teams to support the new online business.</w:t>
      </w:r>
    </w:p>
    <w:p>
      <w:pPr>
        <w:pStyle w:val="Normal"/>
        <w:rPr>
          <w:rFonts w:ascii="Helvetica" w:hAnsi="Helvetica" w:cs="Helvetica"/>
          <w:sz w:val="22"/>
        </w:rPr>
      </w:pPr>
      <w:r>
        <w:rPr>
          <w:rFonts w:cs="Helvetica" w:ascii="Helvetica" w:hAnsi="Helvetica"/>
          <w:sz w:val="22"/>
        </w:rPr>
      </w:r>
    </w:p>
    <w:p>
      <w:pPr>
        <w:pStyle w:val="Normal"/>
        <w:keepNext w:val="true"/>
        <w:rPr>
          <w:rFonts w:ascii="Helvetica" w:hAnsi="Helvetica" w:cs="Helvetica"/>
          <w:b/>
          <w:sz w:val="22"/>
        </w:rPr>
      </w:pPr>
      <w:r>
        <w:rPr>
          <w:rFonts w:cs="Helvetica" w:ascii="Helvetica" w:hAnsi="Helvetica"/>
          <w:b/>
          <w:sz w:val="22"/>
        </w:rPr>
        <w:t>Teamwork Spells Success</w:t>
      </w:r>
    </w:p>
    <w:p>
      <w:pPr>
        <w:pStyle w:val="Normal"/>
        <w:keepNext w:val="true"/>
        <w:jc w:val="both"/>
        <w:rPr>
          <w:rFonts w:ascii="Helvetica" w:hAnsi="Helvetica" w:cs="Helvetica"/>
          <w:b/>
          <w:sz w:val="22"/>
        </w:rPr>
      </w:pPr>
      <w:r>
        <w:rPr>
          <w:rFonts w:cs="Helvetica" w:ascii="Helvetica" w:hAnsi="Helvetica"/>
          <w:b/>
          <w:sz w:val="22"/>
        </w:rPr>
      </w:r>
    </w:p>
    <w:p>
      <w:pPr>
        <w:pStyle w:val="Normal"/>
        <w:keepNext w:val="true"/>
        <w:jc w:val="both"/>
        <w:rPr>
          <w:rFonts w:ascii="Helvetica" w:hAnsi="Helvetica" w:cs="Helvetica"/>
          <w:sz w:val="22"/>
        </w:rPr>
      </w:pPr>
      <w:r>
        <w:rPr>
          <w:rFonts w:cs="Helvetica" w:ascii="Helvetica" w:hAnsi="Helvetica"/>
          <w:sz w:val="22"/>
        </w:rPr>
        <w:t>The Legal and Credit Teams work together to utilize the expertise on both sides of the equation.   Neither side can get the job done without the help of the other side.  Legal can’t prepare contracts until it has the requisite credit terms to put in the agreement, and Credit cannot get the contracts drafted without the assistance of the Legal Team.  Communication and teamwork are essential for keeping up with changes on either side.  “At any given time, each member of the team may have up to 300 masters they are drafting or negotiating” said Jones.  “It is critical that information be communicated in a timely manner, or parties may negotiate based on old information.”  To assist in this communication, the Team meets every other week to prioritize the contracts they are working on.  Priorities may change based on overall exposure to a counterparty, specific legal or credit risks that need to be addressed, or potential deals that increase the priority.  Further, with the potential for trading with thousands of counterparties on any given day it was critical that the team manage this information with a potential for overload  “We now have a database to list all of the master agreements that we are working on.  It includes those drafted (which now numbers over 2,000) and those executed (500 to date). This database is the most efficient way to share information across the units,” Taylor states.  This database also serves an international team, since the Legal and Credit Groups in London, Australia and Japan also use the database to manage their master swap agreements.</w:t>
      </w:r>
    </w:p>
    <w:p>
      <w:pPr>
        <w:pStyle w:val="Normal"/>
        <w:keepNext w:val="true"/>
        <w:jc w:val="both"/>
        <w:rPr>
          <w:rFonts w:ascii="Helvetica" w:hAnsi="Helvetica" w:cs="Helvetica"/>
          <w:sz w:val="22"/>
        </w:rPr>
      </w:pPr>
      <w:r>
        <w:rPr>
          <w:rFonts w:cs="Helvetica" w:ascii="Helvetica" w:hAnsi="Helvetica"/>
          <w:sz w:val="22"/>
        </w:rPr>
      </w:r>
    </w:p>
    <w:p>
      <w:pPr>
        <w:pStyle w:val="Heading1"/>
        <w:ind w:hanging="0" w:start="0"/>
        <w:rPr/>
      </w:pPr>
      <w:r>
        <w:rPr/>
        <w:t>Business Team Support</w:t>
      </w:r>
    </w:p>
    <w:p>
      <w:pPr>
        <w:pStyle w:val="Normal"/>
        <w:keepNext w:val="true"/>
        <w:jc w:val="both"/>
        <w:rPr>
          <w:rFonts w:ascii="Helvetica" w:hAnsi="Helvetica" w:cs="Helvetica"/>
          <w:sz w:val="22"/>
        </w:rPr>
      </w:pPr>
      <w:r>
        <w:rPr>
          <w:rFonts w:cs="Helvetica" w:ascii="Helvetica" w:hAnsi="Helvetica"/>
          <w:sz w:val="22"/>
        </w:rPr>
      </w:r>
    </w:p>
    <w:p>
      <w:pPr>
        <w:pStyle w:val="Normal"/>
        <w:keepNext w:val="true"/>
        <w:jc w:val="both"/>
        <w:rPr>
          <w:rFonts w:ascii="Helvetica" w:hAnsi="Helvetica" w:cs="Helvetica"/>
          <w:sz w:val="22"/>
        </w:rPr>
      </w:pPr>
      <w:r>
        <w:rPr>
          <w:rFonts w:cs="Helvetica" w:ascii="Helvetica" w:hAnsi="Helvetica"/>
          <w:sz w:val="22"/>
        </w:rPr>
      </w:r>
    </w:p>
    <w:p>
      <w:pPr>
        <w:pStyle w:val="Normal"/>
        <w:keepNext w:val="true"/>
        <w:jc w:val="both"/>
        <w:rPr>
          <w:rFonts w:ascii="Helvetica" w:hAnsi="Helvetica" w:cs="Helvetica"/>
          <w:sz w:val="22"/>
        </w:rPr>
      </w:pPr>
      <w:r>
        <w:rPr>
          <w:rFonts w:cs="Helvetica" w:ascii="Helvetica" w:hAnsi="Helvetica"/>
          <w:sz w:val="22"/>
        </w:rPr>
      </w:r>
    </w:p>
    <w:p>
      <w:pPr>
        <w:pStyle w:val="Normal"/>
        <w:keepNext w:val="true"/>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Helvetica" w:hAnsi="Helvetica" w:cs="Helvetica"/>
      <w:b/>
      <w:bCs/>
      <w:sz w:val="22"/>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BodyText2">
    <w:name w:val="Body Text 2"/>
    <w:basedOn w:val="Normal"/>
    <w:qFormat/>
    <w:pPr/>
    <w:rPr>
      <w:color w:val="0000FF"/>
      <w:sz w:val="24"/>
    </w:rPr>
  </w:style>
  <w:style w:type="paragraph" w:styleId="BodyText3">
    <w:name w:val="Body Text 3"/>
    <w:basedOn w:val="Normal"/>
    <w:qFormat/>
    <w:pPr>
      <w:jc w:val="both"/>
    </w:pPr>
    <w:rPr>
      <w:rFonts w:ascii="Helvetica" w:hAnsi="Helvetica" w:cs="Helvetic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2001-01-30T15:41:00Z</dcterms:created>
  <dc:creator>Juli</dc:creator>
  <dc:description/>
  <dc:language>en-CA</dc:language>
  <cp:lastModifiedBy>tjones</cp:lastModifiedBy>
  <cp:lastPrinted>2001-02-05T18:05:00Z</cp:lastPrinted>
  <dcterms:modified xsi:type="dcterms:W3CDTF">2001-02-05T22:24:00Z</dcterms:modified>
  <cp:revision>91</cp:revision>
  <dc:subject/>
  <dc:title>THE SWAP GROUP </dc:title>
</cp:coreProperties>
</file>