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LEASED EMPLOYEE RULE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 xml:space="preserve">INTERNAL REVENUE CODE </w:t>
      </w:r>
      <w:r>
        <w:rPr>
          <w:rFonts w:cs="WP TypographicSymbols" w:ascii="WP TypographicSymbols" w:hAnsi="WP TypographicSymbols"/>
          <w:b/>
        </w:rPr>
        <w:t>'</w:t>
      </w:r>
      <w:r>
        <w:rPr>
          <w:b/>
        </w:rPr>
        <w:t xml:space="preserve">  414(n)</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Dusty Burke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Vinson &amp; Elkins L.L.P.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WHAT IS THE “LEASED EMPLOYEE RULE?”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Section 414(n) of the Internal Revenue Code of 1986 (the “Code”) provides that a nonemployee who performs services for an organization and meets the definition of a “leased employee” will be treated as an employee of that organization for purposes of testing compliance with certain Code provisions relating to qualified retirement plans and welfare plans.  That is, leased employees of the employer are counted as if they were the employer’s common law employees when running certain nondiscrimination tests for the employer’s welfare plans and qualified plans.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leased employee rule also requires that if the employer later hires an individual who was a former leased employee (even if he did not work 1,500 hours in any year to meet the technical definition of “leased employee”), that employee must be given credit for all past service for purposes of the employer’s benefit plans.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WHAT IS THE DEFINITION OF A “LEASED EMPLOYEE?”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 “leased employee” is any person who is not a common law employee of a recipient employer and who performs services for the employer if the following conditions are met: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services are performed under an “agreement” between the recipient employer and a leasing organization.  The “agreement” may be oral or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services are performed on a “substantially full-time basis” for a period of at least one year.  Services are performed on a “substantially full-time basis” if there 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The performance of at least 1,500 hours of service for the recipient employer during any consecutive 12-month period;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The performance of a number of hours of service at least equal to 75% of the average number of hours customarily performed by an employee of the recipient employer in the particular position.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For years prior to 1997, the services are of a type “historically performed” by employees in the field of business of the recipient employer.  Services are considered to be of a type “historically performed” by employees in the recipient employer’s business field if it is not unusual for those services to be performed in the United States by employees of organizations in that field.</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For years after 1996, the services are performed under “primary direction or control” by the recipient employer.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Thus independent contractors, contract employees, and “temp-to-perms” are potential leased employees.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WHAT IS “PRIMARY DIRECTION OR CONTROL” FOR PURPOSES OF IDENTIFYING LEASED EMPLOYEES?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t>
      </w:r>
      <w:r>
        <w:rPr/>
        <w:t xml:space="preserve">Primary direction or control” depends on the facts and circumstances.  Generally, primary direction or control means that the recipient employer exercises the majority of direction or control over the individual.  Some of the factors considered </w:t>
      </w:r>
      <w:r>
        <w:rPr>
          <w:i/>
        </w:rPr>
        <w:t>relevant</w:t>
      </w:r>
      <w:r>
        <w:rPr/>
        <w:t xml:space="preserve"> in determining whether the recipient employer excises primary direction or control are: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Whether the individual is required to comply with instructions of the recipient employer about when, where, and how to perform the services;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Whether the services must be performed by a particular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Whether the individual is a “professional” (</w:t>
      </w:r>
      <w:r>
        <w:rPr>
          <w:i/>
        </w:rPr>
        <w:t>see</w:t>
      </w:r>
      <w:r>
        <w:rPr/>
        <w:t xml:space="preserve">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Whether the individual is subject to the “supervision” (</w:t>
      </w:r>
      <w:r>
        <w:rPr>
          <w:i/>
        </w:rPr>
        <w:t>see</w:t>
      </w:r>
      <w:r>
        <w:rPr/>
        <w:t xml:space="preserve"> below) of the recipient employer;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Whether the individual must perform services in the order or sequence set by the recipient employer.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Some of the factors that are </w:t>
      </w:r>
      <w:r>
        <w:rPr>
          <w:i/>
        </w:rPr>
        <w:t>irrelevant</w:t>
      </w:r>
      <w:r>
        <w:rPr/>
        <w:t xml:space="preserve"> in determining whether the recipient employer exercises “primary direction or control” are: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Whether the recipient employer has the right to hire or fire the individual;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Whether the individual works for others.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t>
      </w:r>
      <w:r>
        <w:rPr/>
        <w:t xml:space="preserve">Supervision” of the individual can be a deciding factor in determining primary direction or control.  Direct supervision of the individual by the recipient employer generally means that the recipient employer </w:t>
      </w:r>
      <w:r>
        <w:rPr>
          <w:i/>
        </w:rPr>
        <w:t>has</w:t>
      </w:r>
      <w:r>
        <w:rPr/>
        <w:t xml:space="preserve"> primary direction or control.  For example, clerical and similar support staff generally are under the direct supervision of the recipient employer and, therefore, under the recipient employer’s primary direction or control.  Supervision by the individual’s common law employer (i.e., the leasing organization) on the other hand generally means that the recipient employer </w:t>
      </w:r>
      <w:r>
        <w:rPr>
          <w:i/>
        </w:rPr>
        <w:t>does not have</w:t>
      </w:r>
      <w:r>
        <w:rPr/>
        <w:t xml:space="preserve"> primary direction or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Professionals who “regularly make use of their own judgment and discretion on matters of importance in the performance of their services and are guided by professional, legal, or industry standards” generally will </w:t>
      </w:r>
      <w:r>
        <w:rPr>
          <w:i/>
        </w:rPr>
        <w:t>not</w:t>
      </w:r>
      <w:r>
        <w:rPr/>
        <w:t xml:space="preserve"> be under the recipient employer’s primary direction or control.  These include both professionals who are employed by a common law employer and “outside” professionals.  Examples of these professionals are: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attorneys</w:t>
        <w:tab/>
        <w:tab/>
        <w:tab/>
        <w:t>computer programmers</w:t>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accountants</w:t>
        <w:tab/>
        <w:tab/>
        <w:tab/>
        <w:t>systems analysts</w:t>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actuaries</w:t>
        <w:tab/>
        <w:tab/>
        <w:tab/>
        <w:t>engineers</w:t>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doctors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 definition, a leased employee is not a common law employee, yet the “primary direction or control” test to determine leased employee status is very similar to the test employed by the Internal Revenue Service to determine common law employee status.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MUST LEASED EMPLOYEES BE COVERED BY THE RECIPIENT’S QUALIFIED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The leased employee rule does not require that a qualified plan cover leased employees.  As permitted by Code </w:t>
      </w:r>
      <w:r>
        <w:rPr>
          <w:rFonts w:cs="WP TypographicSymbols" w:ascii="WP TypographicSymbols" w:hAnsi="WP TypographicSymbols"/>
        </w:rPr>
        <w:t>'</w:t>
      </w:r>
      <w:r>
        <w:rPr/>
        <w:t xml:space="preserve"> 414(n), the plan of the recipient employer may specifically exclude leased employees from plan participation.  (In fact, because leased employees are by definition not common law employees, there is some question as to whether leased employees may participate in the recipient employer’s qualified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Although leased employees may be excluded from an employer’s benefit plans, if a leased employee (or an individual who is a potential leased employee) is recharacterized as a common law employee by a court, the individual would have to be given coverage under an employer’s benefit plan (retroactive to the date of performance of service as a common law employee) if the plan provided coverage to common law employees.  Therefore, if an employer desires to exclude leased employees, or individuals the employer classifies as leased employees, from its benefit plans, careful drafting is necessary to take into account the possibility of a later recharacterization of the employment status of any individual the employer treats as a leased employee.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HOW DOES THE LEASED EMPLOYEE RULE AFFECT A QUALIFIED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leased employees must be counted as if they were employees when running the “nondiscriminatory coverage” test that applies to a qualified plan.  That test generally requires that 70% of all the employer’s nonhighly compensated employees be covered under the plan.  Because the employer’s leased employees typically are nonhighly compensated employees (and are not covered under the plan), leased employees generally will adversely affect the results of this nondiscrimination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 significant and costly effect on a qualified plan results from the Code </w:t>
      </w:r>
      <w:r>
        <w:rPr>
          <w:rFonts w:cs="WP TypographicSymbols" w:ascii="WP TypographicSymbols" w:hAnsi="WP TypographicSymbols"/>
        </w:rPr>
        <w:t>'</w:t>
      </w:r>
      <w:r>
        <w:rPr/>
        <w:t xml:space="preserve"> 414(n) requirement that any leased employee (or potential leased employee) who is later hired by the employer must be given eligibility and vesting service credit for all prior service for the employer as a leased employee </w:t>
      </w:r>
      <w:r>
        <w:rPr>
          <w:rFonts w:cs="WP TypographicSymbols" w:ascii="WP TypographicSymbols" w:hAnsi="WP TypographicSymbols"/>
        </w:rPr>
        <w:t>B</w:t>
      </w:r>
      <w:r>
        <w:rPr/>
        <w:t xml:space="preserve"> even if he did not work 1,500 hours in any prior year to qualify as a true “leased employee.”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WHAT ARE THE PENALTIES FOR FAILURE TO COMPLY WITH THE LEASED EMPLOYEE RULE?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If an employer fails to comply with the leased employee rule (e.g., inadvertently fails to grant prior service credit to a rehired leased employee) or the plan fails to pass the coverage test when counting the excluded leased employees, the employer’s qualified plan may be disqualified.  Unless the employer obtains some other negotiated sanction with the Internal Revenue Service through an IRS correction program, disqualification would have the following consequences: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earnings in the plan trust would be taxed for all periods of the disqualification (plus applicable penalties and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employer’s deductions for its contributions to the plan for all years of disqualification would be disallowed (plus applicable penalties and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contributions would be taxable to the employees (to the extent vested) for all years of disqualification (plus applicable penalties and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keepNext w:val="true"/>
        <w:keepLines/>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If a rehired leased employee was not given required past service credit, the employer would have to contribute to the plan (1) the amount the employee would have contributed during the period the employee was not permitted to participate (determined by multiplying the employee’s compensation during that period by the ADP percentage for the same period), (2) the amount the employer would have correspondingly matched during that period, if any, and (3) in the case of any such employee who terminated employment with the employer when he was not fully vested, any additional amount needed to make up any deficiency resulting from failing to consider the employee’s past service when calculating his vested interest.</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ARE ANY EMPLOYERS EXEMPT FROM THE LEASED EMPLOYEE REQUIREMENTS?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If an employer who utilizes the services of nonemployees can qualify under the “recordkeeping exception” or under the “safe harbor plan exception,” the employer is exempt, wholly or partially, from the leased employee rule.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WHAT IS THE “RECORDKEEPING EXCEPTION?”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If the employer meets the requirements for the recordkeeping exception to the leased employee rule, the employer (1) does not have to track whether individuals are “leased employees” and (2) does not have to treat any individual as a leased employee unless that individual provides satisfactory evidence of entitlement to be so treated.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The employer qualifies for recordkeeping relief if </w:t>
      </w:r>
      <w:r>
        <w:rPr>
          <w:i/>
        </w:rPr>
        <w:t>all</w:t>
      </w:r>
      <w:r>
        <w:rPr/>
        <w:t xml:space="preserve"> of the following requirements are met: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WP TypographicSymbols" w:ascii="WP TypographicSymbols" w:hAnsi="WP TypographicSymbols"/>
        </w:rPr>
        <w:t>$</w:t>
      </w:r>
      <w:r>
        <w:rPr/>
        <w:tab/>
        <w:t>All the employer’s qualified plans specifically exclude leased employees from participation;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WP TypographicSymbols" w:ascii="WP TypographicSymbols" w:hAnsi="WP TypographicSymbols"/>
        </w:rPr>
        <w:t>$</w:t>
      </w:r>
      <w:r>
        <w:rPr/>
        <w:tab/>
        <w:t xml:space="preserve">The employer has no “top-heavy plans” (under Code </w:t>
      </w:r>
      <w:r>
        <w:rPr>
          <w:rFonts w:cs="WP TypographicSymbols" w:ascii="WP TypographicSymbols" w:hAnsi="WP TypographicSymbols"/>
        </w:rPr>
        <w:t>'</w:t>
      </w:r>
      <w:r>
        <w:rPr/>
        <w:t xml:space="preserve"> 416);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WP TypographicSymbols" w:ascii="WP TypographicSymbols" w:hAnsi="WP TypographicSymbols"/>
        </w:rPr>
        <w:t>$</w:t>
      </w:r>
      <w:r>
        <w:rPr/>
        <w:tab/>
        <w:t>The employer uses the services of nonemployees only for an “insignificant percentage” (as defined below) of its total workload;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WP TypographicSymbols" w:ascii="WP TypographicSymbols" w:hAnsi="WP TypographicSymbols"/>
        </w:rPr>
        <w:t>$</w:t>
      </w:r>
      <w:r>
        <w:rPr/>
        <w:tab/>
        <w:t>The above three requirements are met for the current plan year and for all preceding plan years beginning with January 1, 1984, except that for plan years prior to January 1, 1987, the employer need only establish that none of its qualified plans was top heavy.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employer will be deemed to use the services of nonemployees for an “insignificant percentage” of  its total workload if the number of “leased persons” (as defined below) performing services for the employer (determined on a controlled group basis) during the plan year is less than 5% of the “number of nonhighly compensated employees performing substantial services” (as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 individual is a “leased person” if all of the following conditions are met by such individual (</w:t>
      </w:r>
      <w:r>
        <w:rPr>
          <w:i/>
        </w:rPr>
        <w:t>see</w:t>
      </w:r>
      <w:r>
        <w:rPr/>
        <w:t xml:space="preserve"> attached chart):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keepNext w:val="true"/>
        <w:keepLines/>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He performs services for the employer other than as a common law employee under an arrangement and in a capacity that would cause him to be a leased employee but for the service requirement (</w:t>
      </w:r>
      <w:r>
        <w:rPr>
          <w:i/>
        </w:rPr>
        <w:t>see</w:t>
      </w:r>
      <w:r>
        <w:rPr/>
        <w:t xml:space="preserve"> discussion of the definition of a “leased employee” above);</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He is credited with at least 1,500 hours of service for the employer </w:t>
      </w:r>
      <w:r>
        <w:rPr>
          <w:i/>
        </w:rPr>
        <w:t>during the plan year</w:t>
      </w:r>
      <w:r>
        <w:rPr/>
        <w:t>, considering both service as an employee and service as a nonemployee (the employer may rely on records maintained by the leasing organization, unless the employer has reason to believe the records are inaccurate, or a statistically valid sample performed by an independent third party may be used);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He either (i) is </w:t>
      </w:r>
      <w:r>
        <w:rPr>
          <w:i/>
        </w:rPr>
        <w:t>not</w:t>
      </w:r>
      <w:r>
        <w:rPr/>
        <w:t xml:space="preserve"> covered under any of the employer’s qualified plans or (ii) performs at least 501 hours of service for the employer during the plan year as a nonemployee.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“number of nonhighly compensated employees performing substantial services” for the employer may be deemed to be equal to the number of nonhighly compensated employees covered by the employer’s qualified plans (other than those covered nonhighly compensated employees performing services as nonemployees).  This number can be obtained from the plan’s Form 5500.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WHAT IS THE “SAFE HARBOR PLAN” EXCEPTION?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An individual who would otherwise be treated as a leased employee under Code </w:t>
      </w:r>
      <w:r>
        <w:rPr>
          <w:rFonts w:cs="WP TypographicSymbols" w:ascii="WP TypographicSymbols" w:hAnsi="WP TypographicSymbols"/>
        </w:rPr>
        <w:t>'</w:t>
      </w:r>
      <w:r>
        <w:rPr/>
        <w:t xml:space="preserve"> 414(n) will not be so treated for purposes of a recipient employer’s qualified plans if (1) he is a participant in a “safe harbor” retirement plan maintained by the leasing organization </w:t>
      </w:r>
      <w:r>
        <w:rPr>
          <w:i/>
        </w:rPr>
        <w:t>and</w:t>
      </w:r>
      <w:r>
        <w:rPr/>
        <w:t xml:space="preserve"> (2) the number of leased employees of the recipient employer does not make up more than 20% of the recipient’s “rank and file work force.”  A leased employee who is covered by a safe harbor plan, however, must still be taken into account for purposes of the recipient organization’s welfare plans.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 order to qualify as a “safe harbor plan,” the plan maintained by the leasing organization must meet all of the following requirements: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The safe harbor plan must be a “money purchase plan.”  A money purchase plan is a defined contribution plan where the employer’s contribution is determined by a specified formula, usually a percentage of the compensation of covered employees or a flat dollar amount.  It differs from a profit sharing plan in that annual contributions cannot be based on an indefinite, e.g., discretionary, formula.  A money purchase plan, unless it is a pre-ERISA money purchase plan, may not have a qualified cash or deferred arrangement under Code </w:t>
      </w:r>
      <w:r>
        <w:rPr>
          <w:rFonts w:cs="WP TypographicSymbols" w:ascii="WP TypographicSymbols" w:hAnsi="WP TypographicSymbols"/>
        </w:rPr>
        <w:t>'</w:t>
      </w:r>
      <w:r>
        <w:rPr/>
        <w:t> 401(k).  Any employee contributions must be made on an after-tax basis.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keepNext w:val="true"/>
        <w:keepLines/>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The safe harbor plan must be a “qualified plan” within the meaning of Code </w:t>
      </w:r>
      <w:r>
        <w:rPr>
          <w:rFonts w:cs="WP TypographicSymbols" w:ascii="WP TypographicSymbols" w:hAnsi="WP TypographicSymbols"/>
        </w:rPr>
        <w:t>'</w:t>
      </w:r>
      <w:r>
        <w:rPr/>
        <w:t xml:space="preserve"> 401(a).  Therefore, the plan must satisfy, inter alia, the minimum coverage rules of Code </w:t>
      </w:r>
      <w:r>
        <w:rPr>
          <w:rFonts w:cs="WP TypographicSymbols" w:ascii="WP TypographicSymbols" w:hAnsi="WP TypographicSymbols"/>
        </w:rPr>
        <w:t>'</w:t>
      </w:r>
      <w:r>
        <w:rPr/>
        <w:t xml:space="preserve"> 410(b) (when considering all the employees in the leasing organization’s controlled group) and Code </w:t>
      </w:r>
      <w:r>
        <w:rPr>
          <w:rFonts w:cs="WP TypographicSymbols" w:ascii="WP TypographicSymbols" w:hAnsi="WP TypographicSymbols"/>
        </w:rPr>
        <w:t>'</w:t>
      </w:r>
      <w:r>
        <w:rPr/>
        <w:t xml:space="preserve"> 401(a).</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keepLines/>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Each employee of the leasing organization must become a participant in the safe harbor plan on the day he first becomes an employee of the leasing organization, irrespective of whether such employee has become a “leased employee” of the recipient organization on that date, except that the participation requirement does not apply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Employees who perform substantially all (85% or more) of their services for the leasing organization (rather than for recipients);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 xml:space="preserve">Employees whose total “compensation” (Code </w:t>
      </w:r>
      <w:r>
        <w:rPr>
          <w:rFonts w:cs="WP TypographicSymbols" w:ascii="WP TypographicSymbols" w:hAnsi="WP TypographicSymbols"/>
        </w:rPr>
        <w:t>'</w:t>
      </w:r>
      <w:r>
        <w:rPr/>
        <w:t xml:space="preserve"> 415 compensation, with the addition of elective deferrals under a 401(k) plan, a tax-sheltered annuity salary reduction agreement, and a cafeteria plan) from the leasing organization is less than $1,000 during the plan year and during each of the three preceding plan years.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safe harbor plan must provide for full and immediate vesting of contributions and benefits.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Amounts must be contributed by the employer (leasing organization) on behalf of the employee at a rate that is not less than 10% of the employee’s “compensation” (Code </w:t>
      </w:r>
      <w:r>
        <w:rPr>
          <w:rFonts w:cs="WP TypographicSymbols" w:ascii="WP TypographicSymbols" w:hAnsi="WP TypographicSymbols"/>
        </w:rPr>
        <w:t>'</w:t>
      </w:r>
      <w:r>
        <w:rPr/>
        <w:t xml:space="preserve"> 415 compensation, with the addition of elective deferrals under a 401(k) plan, a tax-sheltered annuity salary reduction agreement, and a cafeteria plan)  the year.  The 10% contribution may not be reduced by integration with social security.  Each employee covered under the safe harbor plan must receive the required allocation regardless of the number of hours of service credited to the employee for the year, regardless of whether the employee is employed by the leasing organization on any specified date during the year, and regardless of the employee’s 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In addition to meeting the above requirements of a “safe harbor plan,” leased employees must not constitute more than 20% of the recipient employer’s “rank and file” work force.  If more than 20% of the recipient’s rank and file work force consists of leased employees, each leased employee is to be treated as an employee of the recipient, regardless of the existence of a safe harbor plan. The recipient’s rank and file work force consists of all employees who are not highly compensated employees (as defined in Code </w:t>
      </w:r>
      <w:r>
        <w:rPr>
          <w:rFonts w:cs="WP TypographicSymbols" w:ascii="WP TypographicSymbols" w:hAnsi="WP TypographicSymbols"/>
        </w:rPr>
        <w:t>'</w:t>
      </w:r>
      <w:r>
        <w:rPr/>
        <w:t> 414(q)) and who are either: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Common law employees of the recipient who have performed services for the recipient (or for the recipient and “persons related to the recipient”) on a “substantially full-time basis” for a period of at least one year.  “Substantially full-time basis” is determined under the same rules used to determine whether a leased employee has satisfied the substantially full-time basis requirement, i.e., 1500 hours in any consecutive 12-month period or 75% of the average number of hours customarily performed by an employee of the recipient in the particular employment position in any consecutive 12-month period.  A person is “related to” the recipient if the relationship would result in the disallowance of losses under Code </w:t>
      </w:r>
      <w:r>
        <w:rPr>
          <w:rFonts w:cs="WP TypographicSymbols" w:ascii="WP TypographicSymbols" w:hAnsi="WP TypographicSymbols"/>
        </w:rPr>
        <w:t>'</w:t>
      </w:r>
      <w:r>
        <w:rPr/>
        <w:t xml:space="preserve"> 267 (with respect to losses from sales or exchanges between related taxpayers) or Code </w:t>
      </w:r>
      <w:r>
        <w:rPr>
          <w:rFonts w:cs="WP TypographicSymbols" w:ascii="WP TypographicSymbols" w:hAnsi="WP TypographicSymbols"/>
        </w:rPr>
        <w:t>'</w:t>
      </w:r>
      <w:r>
        <w:rPr/>
        <w:t> 707(b) (with respect to losses from sales or exchanges between a partnership and certain partners);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tyle14"/>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Leased employees with respect to the recipient (determined without regard to the exclusion permitted by the safe harbor plan exception).  For purposes of the 20% rule, the term “leased employee” includes any person who performs services for the recipient both as a nonemployee and as an employee, and who would be a leased employee if all such services were performed as a nonemployee.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fldChar w:fldCharType="begin"/>
      </w:r>
      <w:r>
        <w:rPr>
          <w:sz w:val="14"/>
        </w:rPr>
        <w:instrText xml:space="preserve"> FILENAME </w:instrText>
      </w:r>
      <w:r>
        <w:rPr>
          <w:sz w:val="14"/>
        </w:rPr>
        <w:fldChar w:fldCharType="separate"/>
      </w:r>
      <w:r>
        <w:rPr>
          <w:sz w:val="14"/>
        </w:rPr>
        <w:t>Leased_Employee_Rule___Internal_Revenue_Code_Section_414_n_.DOC</w:t>
      </w:r>
      <w:r>
        <w:rPr>
          <w:sz w:val="14"/>
        </w:rPr>
        <w:fldChar w:fldCharType="end"/>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57150" distB="57150" distL="57150" distR="57150" simplePos="0" locked="0" layoutInCell="0" allowOverlap="1" relativeHeight="2">
                <wp:simplePos x="0" y="0"/>
                <wp:positionH relativeFrom="margin">
                  <wp:posOffset>67310</wp:posOffset>
                </wp:positionH>
                <wp:positionV relativeFrom="page">
                  <wp:posOffset>915035</wp:posOffset>
                </wp:positionV>
                <wp:extent cx="5962650" cy="6962775"/>
                <wp:effectExtent l="0" t="0" r="0" b="0"/>
                <wp:wrapSquare wrapText="bothSides"/>
                <wp:docPr id="1" name="Frame1"/>
                <a:graphic xmlns:a="http://schemas.openxmlformats.org/drawingml/2006/main">
                  <a:graphicData uri="http://schemas.microsoft.com/office/word/2010/wordprocessingShape">
                    <wps:wsp>
                      <wps:cNvSpPr txBox="1"/>
                      <wps:spPr>
                        <a:xfrm>
                          <a:off x="0" y="0"/>
                          <a:ext cx="5962650" cy="6962775"/>
                        </a:xfrm>
                        <a:prstGeom prst="rect"/>
                        <a:solidFill>
                          <a:srgbClr val="FFFFFF">
                            <a:alpha val="0"/>
                          </a:srgbClr>
                        </a:solidFill>
                        <a:ln w="9525">
                          <a:solidFill>
                            <a:srgbClr val="FFFFFF"/>
                          </a:solidFill>
                        </a:ln>
                      </wps:spPr>
                      <wps:txbx>
                        <w:txbxContent>
                          <w:p>
                            <w:pPr>
                              <w:pStyle w:val="Normal"/>
                              <w:rPr>
                                <w:sz w:val="20"/>
                              </w:rPr>
                            </w:pPr>
                            <w:r>
                              <w:rPr>
                                <w:sz w:val="20"/>
                              </w:rPr>
                              <w:object w:dxaOrig="12960" w:dyaOrig="9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67.85pt;height:548pt" filled="f" o:ole="">
                                  <v:imagedata r:id="rId3" o:title=""/>
                                </v:shape>
                                <o:OLEObject Type="Embed" ProgID="" ShapeID="ole_rId2" DrawAspect="Content" ObjectID="_1071837486" r:id="rId2"/>
                              </w:object>
                            </w:r>
                          </w:p>
                        </w:txbxContent>
                      </wps:txbx>
                      <wps:bodyPr anchor="t" lIns="0" tIns="0" rIns="0" bIns="0">
                        <a:noAutofit/>
                      </wps:bodyPr>
                    </wps:wsp>
                  </a:graphicData>
                </a:graphic>
              </wp:anchor>
            </w:drawing>
          </mc:Choice>
          <mc:Fallback>
            <w:pict>
              <v:rect fillcolor="#FFFFFF" strokecolor="#FFFFFF" strokeweight="0pt" style="position:absolute;rotation:-0;width:469.5pt;height:548.25pt;mso-wrap-distance-left:4.5pt;mso-wrap-distance-right:4.5pt;mso-wrap-distance-top:4.5pt;mso-wrap-distance-bottom:4.5pt;margin-top:72.05pt;mso-position-vertical-relative:page;margin-left:5.3pt;mso-position-horizontal-relative:margin">
                <v:fill opacity="0f"/>
                <v:textbox inset="0in,0in,0in,0in">
                  <w:txbxContent>
                    <w:p>
                      <w:pPr>
                        <w:pStyle w:val="Normal"/>
                        <w:rPr>
                          <w:sz w:val="20"/>
                        </w:rPr>
                      </w:pPr>
                      <w:r>
                        <w:rPr>
                          <w:sz w:val="20"/>
                        </w:rPr>
                        <w:object w:dxaOrig="12960" w:dyaOrig="9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67.85pt;height:548pt" filled="f" o:ole="">
                            <v:imagedata r:id="rId5" o:title=""/>
                          </v:shape>
                          <o:OLEObject Type="Embed" ProgID="" ShapeID="ole_rId4" DrawAspect="Content" ObjectID="_1553854166" r:id="rId4"/>
                        </w:object>
                      </w:r>
                    </w:p>
                  </w:txbxContent>
                </v:textbox>
                <w10:wrap type="square"/>
              </v:rect>
            </w:pict>
          </mc:Fallback>
        </mc:AlternateContent>
      </w:r>
    </w:p>
    <w:sectPr>
      <w:footerReference w:type="default" r:id="rId6"/>
      <w:footerReference w:type="first" r:id="rId7"/>
      <w:type w:val="nextPage"/>
      <w:pgSz w:w="12240" w:h="15840"/>
      <w:pgMar w:left="1440" w:right="1440" w:gutter="0" w:header="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w:t>
    </w:r>
    <w:r>
      <w:rPr/>
      <w:fldChar w:fldCharType="begin"/>
    </w:r>
    <w:r>
      <w:rPr/>
      <w:instrText xml:space="preserve"> PAGE </w:instrText>
    </w:r>
    <w:r>
      <w:rPr/>
      <w:fldChar w:fldCharType="separate"/>
    </w:r>
    <w:r>
      <w:rPr/>
      <w:t>8</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1440" w:hanging="720"/>
      </w:pPr>
      <w:rPr>
        <w:rFonts w:ascii="WP MathA" w:hAnsi="WP MathA" w:cs="WP MathA"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St1z0">
    <w:name w:val="WW8NumSt1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_"/>
    <w:basedOn w:val="Normal"/>
    <w:qFormat/>
    <w:pPr>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2001-03-15T11:33:00Z</dcterms:created>
  <dc:creator>Information Systems</dc:creator>
  <dc:description/>
  <dc:language>en-CA</dc:language>
  <cp:lastModifiedBy>V&amp;E</cp:lastModifiedBy>
  <cp:lastPrinted>1999-11-29T09:29:00Z</cp:lastPrinted>
  <dcterms:modified xsi:type="dcterms:W3CDTF">2001-03-15T11:33:00Z</dcterms:modified>
  <cp:revision>2</cp:revision>
  <dc:subject/>
  <dc:title>LEASED EMPLOYEE RULE</dc:title>
</cp:coreProperties>
</file>