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Attached is a memorandum from our real estate consultants describing the terms of an option under our lease. Based on their advice regarding the disadvantageous nature of the option, together with the softening of the real estate market and the available of alternative sublease space in our existing building, and after discussions at the Executive Committee, we have let this option expire. The expiration of the option does not mean that we will need to move from our existing space, but if we choose to stay in that space we will negotiate on an arms length basis, unencumbered by the terms of the option. The location of the building is ideal, which may make it attractive to stay in this building.</w:t>
      </w:r>
    </w:p>
    <w:p>
      <w:pPr>
        <w:pStyle w:val="Normal"/>
        <w:rPr/>
      </w:pPr>
      <w:r>
        <w:rPr/>
      </w:r>
    </w:p>
    <w:p>
      <w:pPr>
        <w:pStyle w:val="Normal"/>
        <w:rPr/>
      </w:pPr>
      <w:r>
        <w:rPr/>
        <w:t>The sublease space that has become available in the building is on several floors that are currently under lease to Lazard, Freres. Lazard is now looking to sublease these floors (floors 14-19) on a floor-by-floor basis. The floors are built out to a very high standard and are a much better utilization of the floor space than our existing space on the 27</w:t>
      </w:r>
      <w:r>
        <w:rPr>
          <w:vertAlign w:val="superscript"/>
        </w:rPr>
        <w:t>th</w:t>
      </w:r>
      <w:r>
        <w:rPr/>
        <w:t xml:space="preserve"> floor. Two floors, in particular, use the perimeter area to create individual offices, leaving the core of the building to support services such as a copy room, pantry and computer servers. Our existing space has several support functions on the perimeter and does not have an optimal number of offices, given the growth in the professional staff in recent years.</w:t>
      </w:r>
    </w:p>
    <w:p>
      <w:pPr>
        <w:pStyle w:val="Normal"/>
        <w:rPr/>
      </w:pPr>
      <w:r>
        <w:rPr/>
      </w:r>
    </w:p>
    <w:p>
      <w:pPr>
        <w:pStyle w:val="Normal"/>
        <w:rPr/>
      </w:pPr>
      <w:r>
        <w:rPr/>
        <w:t>Lazard is currently asking $58 per square foot on the sublease space, which our consultants advise is a very attractive price. The total square footage of the space is approximately 7,700 sq. ft., resulting in an annual rent of about $450,000. The term is for 11 years, which is perhaps a longer period than we might prefer, but would allow us to lock in rates for a significant period. The three-year plan presented to the Board last September, which was prepared on the basis that we would stay in our existing space, assumed that rent on New York office space commencing in 2002 would equal $468,000.</w:t>
      </w:r>
    </w:p>
    <w:p>
      <w:pPr>
        <w:pStyle w:val="Normal"/>
        <w:rPr/>
      </w:pPr>
      <w:r>
        <w:rPr/>
      </w:r>
    </w:p>
    <w:p>
      <w:pPr>
        <w:pStyle w:val="Normal"/>
        <w:rPr/>
      </w:pPr>
      <w:r>
        <w:rPr/>
        <w:t>We can discuss other aspects of the office space decision at the Board meeting.</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2001-03-29T17:27:00Z</dcterms:created>
  <dc:creator>Robert Pickel</dc:creator>
  <dc:description/>
  <dc:language>en-CA</dc:language>
  <cp:lastModifiedBy>CYNTHIA</cp:lastModifiedBy>
  <dcterms:modified xsi:type="dcterms:W3CDTF">2001-03-29T17:27:00Z</dcterms:modified>
  <cp:revision>2</cp:revision>
  <dc:subject/>
  <dc:title>Attached is a memorandum from our real estate consultants describing the terms of an option under our lease</dc:title>
</cp:coreProperties>
</file>