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Heading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 xml:space="preserve">Lease Matrix </w:t>
      </w:r>
      <w:r>
        <w:rPr>
          <w:rFonts w:cs="Arial Rounded MT Bold" w:ascii="Arial Rounded MT Bold" w:hAnsi="Arial Rounded MT Bold"/>
          <w:b w:val="false"/>
          <w:bCs/>
        </w:rPr>
        <w:t>(Pending EITF issuance)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/>
      </w:pPr>
      <w:r>
        <w:rPr/>
        <w:t xml:space="preserve">The following matrix is designed to help you determine if the lease classification is appropriate for your contract.  This is a </w:t>
      </w:r>
      <w:r>
        <w:rPr>
          <w:b/>
          <w:bCs/>
          <w:i/>
          <w:iCs/>
          <w:u w:val="single"/>
        </w:rPr>
        <w:t>generic application</w:t>
      </w:r>
      <w:r>
        <w:rPr/>
        <w:t xml:space="preserve"> of AA Interpretation (1-4) and may change upon issuance of EITF 00-T (</w:t>
      </w:r>
      <w:r>
        <w:rPr>
          <w:rFonts w:cs="Book Antiqua" w:ascii="Book Antiqua" w:hAnsi="Book Antiqua"/>
          <w:b/>
          <w:bCs/>
          <w:i/>
          <w:iCs/>
          <w:color w:val="000080"/>
        </w:rPr>
        <w:t>Determining When an Energy-Related Contract under EITF Issue No. 98-10, "Accounting for Contracts Involved in Energy Trading and Risk Management Activities" Is a Lease</w:t>
      </w:r>
      <w:r>
        <w:rPr/>
        <w:t xml:space="preserve">).  The timing of EITF 00-T issuance is uncertain.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Determining whether a Commodity Purchase Agreement is, in substance, a lease involves assessing whether the terms of such contract (a) allow the commodity purchaser the right to use, or control the ability of others to use, a specific generating facility </w:t>
      </w:r>
      <w:r>
        <w:rPr>
          <w:b/>
          <w:bCs/>
          <w:u w:val="single"/>
        </w:rPr>
        <w:t>and</w:t>
      </w:r>
      <w:r>
        <w:rPr/>
        <w:t xml:space="preserve"> (b) expose the purchaser to facility-specific risks and rewards.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note that in order to avoid lease classification, a contract must pass either one of the following two Buckets (in other words, your contract</w:t>
      </w:r>
      <w:r>
        <w:rPr>
          <w:b/>
          <w:bCs/>
        </w:rPr>
        <w:t xml:space="preserve"> “IS A LEASE” </w:t>
      </w:r>
      <w:r>
        <w:rPr/>
        <w:t xml:space="preserve">if you fail both).  </w:t>
      </w:r>
    </w:p>
    <w:p>
      <w:pPr>
        <w:pStyle w:val="Normal"/>
        <w:rPr/>
      </w:pPr>
      <w:r>
        <w:rPr/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98"/>
        <w:gridCol w:w="2250"/>
        <w:gridCol w:w="1890"/>
      </w:tblGrid>
      <w:tr>
        <w:trPr/>
        <w:tc>
          <w:tcPr>
            <w:tcW w:w="5598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3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4"/>
              <w:snapToGrid w:val="false"/>
              <w:ind w:hanging="0" w:start="0"/>
              <w:rPr>
                <w:color w:val="008000"/>
              </w:rPr>
            </w:pPr>
            <w:r>
              <w:rPr>
                <w:color w:val="008000"/>
              </w:rPr>
            </w:r>
          </w:p>
        </w:tc>
        <w:tc>
          <w:tcPr>
            <w:tcW w:w="18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DFDFDF" w:val="clear"/>
          </w:tcPr>
          <w:p>
            <w:pPr>
              <w:pStyle w:val="Heading5"/>
              <w:snapToGrid w:val="false"/>
              <w:ind w:hanging="0" w:start="0"/>
              <w:rPr>
                <w:color w:val="008000"/>
              </w:rPr>
            </w:pPr>
            <w:r>
              <w:rPr>
                <w:color w:val="008000"/>
              </w:rPr>
            </w:r>
          </w:p>
        </w:tc>
      </w:tr>
      <w:tr>
        <w:trPr/>
        <w:tc>
          <w:tcPr>
            <w:tcW w:w="559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Lease Matrix Buckets/Criteria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4"/>
              <w:ind w:hanging="0" w:start="0"/>
              <w:rPr>
                <w:rFonts w:ascii="Arial Rounded MT Bold" w:hAnsi="Arial Rounded MT Bold" w:cs="Arial Rounded MT Bold"/>
                <w:color w:val="008000"/>
                <w:sz w:val="22"/>
              </w:rPr>
            </w:pPr>
            <w:r>
              <w:rPr>
                <w:rFonts w:cs="Arial Rounded MT Bold" w:ascii="Arial Rounded MT Bold" w:hAnsi="Arial Rounded MT Bold"/>
                <w:color w:val="008000"/>
                <w:sz w:val="22"/>
              </w:rPr>
              <w:t>Pass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fill="DFDFDF" w:val="clear"/>
          </w:tcPr>
          <w:p>
            <w:pPr>
              <w:pStyle w:val="Heading5"/>
              <w:ind w:hanging="0" w:start="0"/>
              <w:rPr>
                <w:rFonts w:ascii="Arial Rounded MT Bold" w:hAnsi="Arial Rounded MT Bold" w:cs="Arial Rounded MT Bold"/>
                <w:sz w:val="22"/>
              </w:rPr>
            </w:pPr>
            <w:r>
              <w:rPr>
                <w:rFonts w:cs="Arial Rounded MT Bold" w:ascii="Arial Rounded MT Bold" w:hAnsi="Arial Rounded MT Bold"/>
                <w:sz w:val="22"/>
              </w:rPr>
              <w:t>Fail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Bucket 1: Right to use, or to control the ability of others to use, the specific generating facilities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(The presence of any one of these attributes will fail this Bucket)</w:t>
            </w:r>
          </w:p>
        </w:tc>
      </w:tr>
      <w:tr>
        <w:trPr>
          <w:trHeight w:val="215" w:hRule="atLeast"/>
        </w:trPr>
        <w:tc>
          <w:tcPr>
            <w:tcW w:w="55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operates the generating facility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6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>Yes</w:t>
            </w:r>
          </w:p>
        </w:tc>
      </w:tr>
      <w:tr>
        <w:trPr>
          <w:trHeight w:val="1124" w:hRule="atLeast"/>
        </w:trPr>
        <w:tc>
          <w:tcPr>
            <w:tcW w:w="5598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has the controlling interest (or blocking rights) in the plant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has the ability to hire or fire the operator of the generating facility (</w:t>
            </w:r>
            <w:r>
              <w:rPr>
                <w:rFonts w:cs="Arial" w:ascii="Arial" w:hAnsi="Arial"/>
                <w:b/>
                <w:bCs/>
                <w:sz w:val="18"/>
              </w:rPr>
              <w:t xml:space="preserve">ENE has </w:t>
            </w:r>
            <w:r>
              <w:rPr>
                <w:rFonts w:cs="Arial" w:ascii="Arial" w:hAnsi="Arial"/>
                <w:b/>
                <w:bCs/>
                <w:sz w:val="18"/>
                <w:u w:val="single"/>
              </w:rPr>
              <w:t>50%  OR MORE</w:t>
            </w:r>
            <w:r>
              <w:rPr>
                <w:rFonts w:cs="Arial" w:ascii="Arial" w:hAnsi="Arial"/>
                <w:b/>
                <w:bCs/>
                <w:sz w:val="18"/>
              </w:rPr>
              <w:t xml:space="preserve"> voting power</w:t>
            </w:r>
            <w:r>
              <w:rPr>
                <w:rFonts w:cs="Arial" w:ascii="Arial" w:hAnsi="Arial"/>
                <w:sz w:val="18"/>
              </w:rPr>
              <w:t>)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ENE sets or approves the operating policies and procedures of the generating facility (ENE </w:t>
            </w:r>
            <w:r>
              <w:rPr>
                <w:rFonts w:cs="Arial" w:ascii="Arial" w:hAnsi="Arial"/>
                <w:b/>
                <w:bCs/>
                <w:sz w:val="18"/>
              </w:rPr>
              <w:t xml:space="preserve">has </w:t>
            </w:r>
            <w:r>
              <w:rPr>
                <w:rFonts w:cs="Arial" w:ascii="Arial" w:hAnsi="Arial"/>
                <w:b/>
                <w:bCs/>
                <w:sz w:val="18"/>
                <w:u w:val="single"/>
              </w:rPr>
              <w:t>50%  OR MORE</w:t>
            </w:r>
            <w:r>
              <w:rPr>
                <w:rFonts w:cs="Arial" w:ascii="Arial" w:hAnsi="Arial"/>
                <w:sz w:val="18"/>
              </w:rPr>
              <w:t xml:space="preserve"> voting power)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/>
        <w:tc>
          <w:tcPr>
            <w:tcW w:w="5598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>
          <w:trHeight w:val="683" w:hRule="atLeast"/>
        </w:trPr>
        <w:tc>
          <w:tcPr>
            <w:tcW w:w="5598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effectively controls access to the generating facility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acquires more than 95% of total plant (nameplate) capacity (with a stated fixed quantity), or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ENE has the right of first refusal to take any “excess” power from the generating facility, or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cs="Arial" w:ascii="Arial" w:hAnsi="Arial"/>
                <w:sz w:val="18"/>
              </w:rPr>
              <w:t>The location of the generating facility is not in a liquid market. (e.g. No potential users (other than ENE) to take, or it’s not economically feasible for the plant to generate, the excess capacity)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>
          <w:trHeight w:val="530" w:hRule="atLeast"/>
        </w:trPr>
        <w:tc>
          <w:tcPr>
            <w:tcW w:w="5598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>
          <w:trHeight w:val="368" w:hRule="atLeast"/>
        </w:trPr>
        <w:tc>
          <w:tcPr>
            <w:tcW w:w="5598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cs="Arial" w:ascii="Arial" w:hAnsi="Arial"/>
                <w:color w:val="FF0000"/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DFDFDF" w:val="clear"/>
          </w:tcPr>
          <w:p>
            <w:pPr>
              <w:pStyle w:val="Heading8"/>
              <w:ind w:hanging="0" w:start="0"/>
              <w:rPr/>
            </w:pPr>
            <w:r>
              <w:rPr/>
              <w:t>Bucket 2: Exposure to facility-based risks and rewards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(The presence of any one of these attributes will fail this Bucket)</w:t>
            </w:r>
          </w:p>
        </w:tc>
      </w:tr>
      <w:tr>
        <w:trPr>
          <w:trHeight w:val="962" w:hRule="atLeast"/>
        </w:trPr>
        <w:tc>
          <w:tcPr>
            <w:tcW w:w="5598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is exposed to facility-based risks and rewards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The contract specifies the generating facility </w:t>
            </w:r>
            <w:r>
              <w:rPr>
                <w:rFonts w:cs="Arial" w:ascii="Arial" w:hAnsi="Arial"/>
                <w:b/>
                <w:bCs/>
                <w:sz w:val="18"/>
              </w:rPr>
              <w:t>and</w:t>
            </w:r>
            <w:r>
              <w:rPr>
                <w:rFonts w:cs="Arial" w:ascii="Arial" w:hAnsi="Arial"/>
                <w:sz w:val="18"/>
              </w:rPr>
              <w:t xml:space="preserve"> does not require the seller to pay ENE substantive damages (LD) in the event the seller does not perform under the contract, (i.e. non-performance, force majeure) or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cs="Arial" w:ascii="Arial" w:hAnsi="Arial"/>
                <w:sz w:val="18"/>
              </w:rPr>
              <w:t>The seller does not have the ability to pay LD in all reasonably possible scenarios.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/>
        <w:tc>
          <w:tcPr>
            <w:tcW w:w="5598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sz w:val="18"/>
              </w:rPr>
            </w:pPr>
            <w:r>
              <w:rPr>
                <w:rFonts w:cs="Arial Rounded MT Bold" w:ascii="Arial Rounded MT Bold" w:hAnsi="Arial Rounded MT Bold"/>
                <w:sz w:val="18"/>
              </w:rPr>
              <w:t xml:space="preserve">No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</w:r>
          </w:p>
          <w:p>
            <w:pPr>
              <w:pStyle w:val="Heading7"/>
              <w:ind w:hanging="0" w:start="0"/>
              <w:rPr>
                <w:rFonts w:ascii="Arial Rounded MT Bold" w:hAnsi="Arial Rounded MT Bold" w:cs="Arial Rounded MT Bold"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color w:val="FF0000"/>
                <w:sz w:val="18"/>
              </w:rPr>
              <w:t>Yes</w:t>
            </w:r>
          </w:p>
        </w:tc>
      </w:tr>
      <w:tr>
        <w:trPr>
          <w:trHeight w:val="431" w:hRule="atLeast"/>
        </w:trPr>
        <w:tc>
          <w:tcPr>
            <w:tcW w:w="559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ENE guarantees the future value of the generating facility or has a bargain purchase option to acquire the generating facility.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bCs/>
                <w:color w:val="008000"/>
                <w:sz w:val="18"/>
              </w:rPr>
            </w:pPr>
            <w:r>
              <w:rPr>
                <w:rFonts w:cs="Arial Rounded MT Bold" w:ascii="Arial Rounded MT Bold" w:hAnsi="Arial Rounded MT Bold"/>
                <w:b/>
                <w:bCs/>
                <w:color w:val="008000"/>
                <w:sz w:val="18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bCs/>
                <w:color w:val="008000"/>
                <w:sz w:val="18"/>
              </w:rPr>
            </w:pPr>
            <w:r>
              <w:rPr>
                <w:rFonts w:cs="Arial Rounded MT Bold" w:ascii="Arial Rounded MT Bold" w:hAnsi="Arial Rounded MT Bold"/>
                <w:b/>
                <w:bCs/>
                <w:color w:val="008000"/>
                <w:sz w:val="18"/>
              </w:rPr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bCs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b/>
                <w:bCs/>
                <w:color w:val="FF0000"/>
                <w:sz w:val="18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bCs/>
                <w:color w:val="FF0000"/>
                <w:sz w:val="18"/>
              </w:rPr>
            </w:pPr>
            <w:r>
              <w:rPr>
                <w:rFonts w:cs="Arial Rounded MT Bold" w:ascii="Arial Rounded MT Bold" w:hAnsi="Arial Rounded MT Bold"/>
                <w:b/>
                <w:bCs/>
                <w:color w:val="FF0000"/>
                <w:sz w:val="18"/>
              </w:rPr>
              <w:t>Yes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  <w:u w:val="single"/>
        </w:rPr>
        <w:t>Note</w:t>
      </w:r>
      <w:r>
        <w:rPr>
          <w:b/>
          <w:bCs/>
        </w:rPr>
        <w:t xml:space="preserve">:  </w:t>
      </w:r>
      <w:r>
        <w:rPr/>
        <w:t>If the transaction is a ‘Tolling arrangement” and does not include LD’s, the transaction will still be designated as a lease pending further EITF Interpretations.</w:t>
      </w:r>
    </w:p>
    <w:sectPr>
      <w:type w:val="nextPage"/>
      <w:pgSz w:w="12240" w:h="15840"/>
      <w:pgMar w:left="1260" w:right="1260" w:gutter="0" w:header="0" w:top="5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color w:val="0000FF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color w:val="FF000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FF0000"/>
      <w:sz w:val="16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bCs/>
      <w:color w:val="008000"/>
      <w:sz w:val="16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2001-04-09T11:30:00Z</dcterms:created>
  <dc:creator>mlian</dc:creator>
  <dc:description/>
  <dc:language>en-CA</dc:language>
  <cp:lastModifiedBy>hmanis2</cp:lastModifiedBy>
  <dcterms:modified xsi:type="dcterms:W3CDTF">2001-04-09T11:34:00Z</dcterms:modified>
  <cp:revision>5</cp:revision>
  <dc:subject/>
  <dc:title>1-4</dc:title>
</cp:coreProperties>
</file>