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g">
            <w:drawing>
              <wp:anchor behindDoc="1" distT="0" distB="0" distL="114935" distR="114935" simplePos="0" locked="0" layoutInCell="0" allowOverlap="1" relativeHeight="4">
                <wp:simplePos x="0" y="0"/>
                <wp:positionH relativeFrom="page">
                  <wp:posOffset>458470</wp:posOffset>
                </wp:positionH>
                <wp:positionV relativeFrom="page">
                  <wp:posOffset>4114800</wp:posOffset>
                </wp:positionV>
                <wp:extent cx="1859280" cy="1859280"/>
                <wp:effectExtent l="0" t="0" r="635" b="635"/>
                <wp:wrapNone/>
                <wp:docPr id="1" name=""/>
                <a:graphic xmlns:a="http://schemas.openxmlformats.org/drawingml/2006/main">
                  <a:graphicData uri="http://schemas.microsoft.com/office/word/2010/wordprocessingGroup">
                    <wpg:wgp>
                      <wpg:cNvGrpSpPr/>
                      <wpg:grpSpPr>
                        <a:xfrm>
                          <a:off x="0" y="0"/>
                          <a:ext cx="1859400" cy="1859400"/>
                          <a:chOff x="0" y="0"/>
                          <a:chExt cx="1859400" cy="1859400"/>
                        </a:xfrm>
                      </wpg:grpSpPr>
                      <wps:wsp>
                        <wps:cNvPr id="2" name=""/>
                        <wps:cNvSpPr/>
                        <wps:spPr>
                          <a:xfrm>
                            <a:off x="0" y="0"/>
                            <a:ext cx="1859400" cy="1859400"/>
                          </a:xfrm>
                          <a:prstGeom prst="ellipse">
                            <a:avLst/>
                          </a:prstGeom>
                          <a:solidFill>
                            <a:srgbClr val="f2f2f2"/>
                          </a:solidFill>
                          <a:ln w="0">
                            <a:noFill/>
                          </a:ln>
                        </wps:spPr>
                        <wps:style>
                          <a:lnRef idx="0"/>
                          <a:fillRef idx="0"/>
                          <a:effectRef idx="0"/>
                          <a:fontRef idx="minor"/>
                        </wps:style>
                        <wps:bodyPr/>
                      </wps:wsp>
                      <wps:wsp>
                        <wps:cNvPr id="3" name=""/>
                        <wps:cNvSpPr/>
                        <wps:spPr>
                          <a:xfrm>
                            <a:off x="617760" y="0"/>
                            <a:ext cx="597600" cy="185940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36.1pt;margin-top:324pt;width:146.4pt;height:146.4pt" coordorigin="722,6480" coordsize="2928,2928">
                <v:oval id="shape_0" fillcolor="#f2f2f2" stroked="f" o:allowincell="f" style="position:absolute;left:722;top:6480;width:2927;height:2927;mso-wrap-style:none;v-text-anchor:middle;mso-position-horizontal-relative:page;mso-position-vertical-relative:page">
                  <v:fill o:detectmouseclick="t" type="solid" color2="#0d0d0d"/>
                  <v:stroke color="#3465a4" joinstyle="round" endcap="flat"/>
                  <w10:wrap type="none"/>
                </v:oval>
                <v:rect id="shape_0" fillcolor="white" stroked="f" o:allowincell="f" style="position:absolute;left:1695;top:6480;width:940;height:2927;mso-wrap-style:none;v-text-anchor:middle;mso-position-horizontal-relative:page;mso-position-vertical-relative:page">
                  <v:fill o:detectmouseclick="t" type="solid" color2="black"/>
                  <v:stroke color="#3465a4" joinstyle="round" endcap="flat"/>
                  <w10:wrap type="none"/>
                </v:rect>
              </v:group>
            </w:pict>
          </mc:Fallback>
        </mc:AlternateContent>
        <mc:AlternateContent>
          <mc:Choice Requires="wps">
            <w:drawing>
              <wp:anchor behindDoc="1" distT="0" distB="0" distL="114935" distR="114935" simplePos="0" locked="0" layoutInCell="0" allowOverlap="1" relativeHeight="5">
                <wp:simplePos x="0" y="0"/>
                <wp:positionH relativeFrom="page">
                  <wp:posOffset>1695450</wp:posOffset>
                </wp:positionH>
                <wp:positionV relativeFrom="page">
                  <wp:posOffset>457200</wp:posOffset>
                </wp:positionV>
                <wp:extent cx="34925" cy="762000"/>
                <wp:effectExtent l="2540" t="1905" r="1270" b="1905"/>
                <wp:wrapNone/>
                <wp:docPr id="4" name=""/>
                <a:graphic xmlns:a="http://schemas.openxmlformats.org/drawingml/2006/main">
                  <a:graphicData uri="http://schemas.microsoft.com/office/word/2010/wordprocessingShape">
                    <wps:wsp>
                      <wps:cNvSpPr/>
                      <wps:spPr>
                        <a:xfrm>
                          <a:off x="0" y="0"/>
                          <a:ext cx="34920" cy="7621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133.5pt;margin-top:36pt;width:2.7pt;height:59.95pt;mso-wrap-style:none;v-text-anchor:middle;mso-position-horizontal-relative:page;mso-position-vertical-relative:page">
                <v:fill o:detectmouseclick="t" type="solid" color2="#202020"/>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6">
                <wp:simplePos x="0" y="0"/>
                <wp:positionH relativeFrom="page">
                  <wp:posOffset>5486400</wp:posOffset>
                </wp:positionH>
                <wp:positionV relativeFrom="page">
                  <wp:posOffset>1463040</wp:posOffset>
                </wp:positionV>
                <wp:extent cx="1676400" cy="34925"/>
                <wp:effectExtent l="1905" t="2540" r="1905" b="1270"/>
                <wp:wrapNone/>
                <wp:docPr id="5" name=""/>
                <a:graphic xmlns:a="http://schemas.openxmlformats.org/drawingml/2006/main">
                  <a:graphicData uri="http://schemas.microsoft.com/office/word/2010/wordprocessingShape">
                    <wps:wsp>
                      <wps:cNvSpPr/>
                      <wps:spPr>
                        <a:xfrm>
                          <a:off x="0" y="0"/>
                          <a:ext cx="1676520" cy="349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432pt;margin-top:115.2pt;width:131.95pt;height:2.7pt;mso-wrap-style:none;v-text-anchor:middle;mso-position-horizontal-relative:page;mso-position-vertical-relative:page">
                <v:fill o:detectmouseclick="t" type="solid" color2="#202020"/>
                <v:stroke color="white" weight="3240" joinstyle="miter" endcap="flat"/>
                <w10:wrap type="none"/>
              </v:rect>
            </w:pict>
          </mc:Fallback>
        </mc:AlternateContent>
      </w:r>
      <w:r>
        <w:rPr/>
        <w:t>Memorandum</w:t>
      </w:r>
    </w:p>
    <w:p>
      <w:pPr>
        <w:pStyle w:val="MessageHeaderFirst"/>
        <w:rPr/>
      </w:pPr>
      <w:r>
        <w:rPr>
          <w:rStyle w:val="MessageHeaderLabel"/>
          <w:spacing w:val="-20"/>
        </w:rPr>
        <w:t>T</w:t>
      </w:r>
      <w:r>
        <w:rPr>
          <w:rStyle w:val="MessageHeaderLabel"/>
        </w:rPr>
        <w:t>o:</w:t>
      </w:r>
      <w:r>
        <w:rPr/>
        <w:tab/>
        <w:t>Project Toucan Due Diligence Team</w:t>
      </w:r>
    </w:p>
    <w:p>
      <w:pPr>
        <w:pStyle w:val="MessageHeader"/>
        <w:rPr/>
      </w:pPr>
      <w:r>
        <w:rPr>
          <w:rStyle w:val="MessageHeaderLabel"/>
        </w:rPr>
        <w:t>From:</w:t>
      </w:r>
      <w:r>
        <w:rPr/>
        <w:tab/>
        <w:t>Kathy Neal, Manager -Human Resources</w:t>
      </w:r>
    </w:p>
    <w:p>
      <w:pPr>
        <w:pStyle w:val="MessageHeader"/>
        <w:rPr/>
      </w:pPr>
      <w:r>
        <w:rPr>
          <w:rStyle w:val="MessageHeaderLabel"/>
        </w:rPr>
        <w:t>Date:</w:t>
      </w:r>
      <w:r>
        <w:rPr/>
        <w:tab/>
        <w:t>November 1, 2000</w:t>
      </w:r>
    </w:p>
    <w:p>
      <w:pPr>
        <w:pStyle w:val="MessageHeaderLast"/>
        <w:rPr/>
      </w:pPr>
      <w:r>
        <w:rPr>
          <w:rStyle w:val="MessageHeaderLabel"/>
        </w:rPr>
        <w:t>Re:</w:t>
      </w:r>
      <w:r>
        <w:rPr/>
        <w:tab/>
        <w:t>Human Resource Project Findings</w:t>
      </w:r>
    </w:p>
    <w:p>
      <w:pPr>
        <w:pStyle w:val="Normal"/>
        <w:spacing w:lineRule="atLeast" w:line="240"/>
        <w:rPr>
          <w:rFonts w:ascii="Arial" w:hAnsi="Arial" w:cs="Arial"/>
          <w:color w:val="000000"/>
          <w:lang w:eastAsia="en-US"/>
        </w:rPr>
      </w:pPr>
      <w:r>
        <w:rPr>
          <w:rFonts w:cs="Arial" w:ascii="Arial" w:hAnsi="Arial"/>
          <w:color w:val="000000"/>
          <w:lang w:eastAsia="en-US"/>
        </w:rPr>
        <w:t>My findings are the following:</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t>General:</w:t>
      </w:r>
    </w:p>
    <w:p>
      <w:pPr>
        <w:pStyle w:val="Normal"/>
        <w:spacing w:lineRule="atLeast" w:line="240"/>
        <w:rPr>
          <w:rFonts w:ascii="Arial" w:hAnsi="Arial" w:cs="Arial"/>
          <w:color w:val="000000"/>
          <w:lang w:eastAsia="en-US"/>
        </w:rPr>
      </w:pPr>
      <w:r>
        <w:rPr>
          <w:rFonts w:cs="Arial" w:ascii="Arial" w:hAnsi="Arial"/>
          <w:color w:val="000000"/>
          <w:lang w:eastAsia="en-US"/>
        </w:rPr>
        <w:t>There are 350 employees (excluding the VP Charles Hodges) physically working at the Leaf River site in New August, Mississippi.  G-P employs these employees and their payroll is processed in SAP in Atlanta.   The site inputs actual time worked in a system that feeds to SAP.  All employees are paid bi-weekly and Thursday is the payday.  This is a 24 hours a day, seven days a week facility with a 12-hour shift schedule for some departments.  To keep this facility operating, contract employees are hired at certain times of the year.  Currently there are approximately 30 contractors working at this facility.  This is a union-free facility.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1"/>
        <w:rPr>
          <w:sz w:val="20"/>
        </w:rPr>
      </w:pPr>
      <w:r>
        <w:rPr>
          <w:sz w:val="20"/>
        </w:rPr>
        <w:t>Performance Management</w:t>
      </w:r>
    </w:p>
    <w:p>
      <w:pPr>
        <w:pStyle w:val="Normal"/>
        <w:spacing w:lineRule="atLeast" w:line="240"/>
        <w:rPr>
          <w:rFonts w:ascii="Arial" w:hAnsi="Arial" w:cs="Arial"/>
          <w:color w:val="000000"/>
          <w:lang w:eastAsia="en-US"/>
        </w:rPr>
      </w:pPr>
      <w:r>
        <w:rPr>
          <w:rFonts w:cs="Arial" w:ascii="Arial" w:hAnsi="Arial"/>
          <w:color w:val="000000"/>
          <w:lang w:eastAsia="en-US"/>
        </w:rPr>
        <w:t>Performance reviews are conducted once a year between the employee and the immediate supervisor.  The ratings are 1 through 5 with 5 being the highest.  The performance review rating is a factor for determining merits.  At the beginning of each year, a salary survey is conducted to determine the maximum percentage for merits.  There are approximately 16 mills that are included in this survey and they are blended with union and union-free mills.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t>Vacation:</w:t>
      </w:r>
    </w:p>
    <w:p>
      <w:pPr>
        <w:pStyle w:val="Normal"/>
        <w:spacing w:lineRule="atLeast" w:line="240"/>
        <w:rPr>
          <w:rFonts w:ascii="Arial" w:hAnsi="Arial" w:cs="Arial"/>
          <w:color w:val="000000"/>
          <w:lang w:eastAsia="en-US"/>
        </w:rPr>
      </w:pPr>
      <w:r>
        <w:rPr>
          <w:rFonts w:cs="Arial" w:ascii="Arial" w:hAnsi="Arial"/>
          <w:color w:val="000000"/>
          <w:lang w:eastAsia="en-US"/>
        </w:rPr>
        <w:t>Vacation days are as follows: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6 months service = 5 vacation days</w:t>
      </w:r>
    </w:p>
    <w:p>
      <w:pPr>
        <w:pStyle w:val="Normal"/>
        <w:spacing w:lineRule="atLeast" w:line="240"/>
        <w:rPr>
          <w:rFonts w:ascii="Arial" w:hAnsi="Arial" w:cs="Arial"/>
          <w:color w:val="000000"/>
          <w:lang w:eastAsia="en-US"/>
        </w:rPr>
      </w:pPr>
      <w:r>
        <w:rPr>
          <w:rFonts w:cs="Arial" w:ascii="Arial" w:hAnsi="Arial"/>
          <w:color w:val="000000"/>
          <w:lang w:eastAsia="en-US"/>
        </w:rPr>
        <w:t>1 year, but less than 5 years = 10 days of vacation</w:t>
      </w:r>
    </w:p>
    <w:p>
      <w:pPr>
        <w:pStyle w:val="Normal"/>
        <w:spacing w:lineRule="atLeast" w:line="240"/>
        <w:rPr>
          <w:rFonts w:ascii="Arial" w:hAnsi="Arial" w:cs="Arial"/>
          <w:color w:val="000000"/>
          <w:lang w:eastAsia="en-US"/>
        </w:rPr>
      </w:pPr>
      <w:r>
        <w:rPr>
          <w:rFonts w:cs="Arial" w:ascii="Arial" w:hAnsi="Arial"/>
          <w:color w:val="000000"/>
          <w:lang w:eastAsia="en-US"/>
        </w:rPr>
        <w:t>5 years, but less than 12 years = 15 days of vacation</w:t>
      </w:r>
    </w:p>
    <w:p>
      <w:pPr>
        <w:pStyle w:val="Normal"/>
        <w:spacing w:lineRule="atLeast" w:line="240"/>
        <w:rPr>
          <w:rFonts w:ascii="Arial" w:hAnsi="Arial" w:cs="Arial"/>
          <w:color w:val="000000"/>
          <w:lang w:eastAsia="en-US"/>
        </w:rPr>
      </w:pPr>
      <w:r>
        <w:rPr>
          <w:rFonts w:cs="Arial" w:ascii="Arial" w:hAnsi="Arial"/>
          <w:color w:val="000000"/>
          <w:lang w:eastAsia="en-US"/>
        </w:rPr>
        <w:t>12 years, but less than 18 years = 20 days of vacation</w:t>
      </w:r>
    </w:p>
    <w:p>
      <w:pPr>
        <w:pStyle w:val="Normal"/>
        <w:spacing w:lineRule="atLeast" w:line="240"/>
        <w:rPr>
          <w:rFonts w:ascii="Arial" w:hAnsi="Arial" w:cs="Arial"/>
          <w:color w:val="000000"/>
          <w:lang w:eastAsia="en-US"/>
        </w:rPr>
      </w:pPr>
      <w:r>
        <w:rPr>
          <w:rFonts w:cs="Arial" w:ascii="Arial" w:hAnsi="Arial"/>
          <w:color w:val="000000"/>
          <w:lang w:eastAsia="en-US"/>
        </w:rPr>
        <w:t>18 years or more = 25 days of vacation</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All vacation must be used within the calendar year to which it applies.  Any unused vacation is forfeited with the exceptions of technicians.  Technicians can receive pay instead of taking vacation, which is generally capped at two weeks.  If an exempt employee has a compelling business reason for not taking vacation during a calendar year, it may be paid off with the appropriate approval.  Upon termination for cause or resignation without two weeks' notice, employees will forfeit all vacation.</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2"/>
        <w:rPr>
          <w:b/>
        </w:rPr>
      </w:pPr>
      <w:r>
        <w:rPr>
          <w:b/>
        </w:rPr>
        <w:t>Bonus</w:t>
      </w:r>
    </w:p>
    <w:p>
      <w:pPr>
        <w:pStyle w:val="Normal"/>
        <w:spacing w:lineRule="atLeast" w:line="240"/>
        <w:rPr/>
      </w:pPr>
      <w:r>
        <w:rPr>
          <w:rFonts w:cs="Arial" w:ascii="Arial" w:hAnsi="Arial"/>
          <w:color w:val="000000"/>
          <w:lang w:eastAsia="en-US"/>
        </w:rPr>
        <w:t xml:space="preserve">There is a </w:t>
      </w:r>
      <w:r>
        <w:rPr>
          <w:rFonts w:cs="Arial" w:ascii="Arial" w:hAnsi="Arial"/>
          <w:b/>
          <w:color w:val="000000"/>
          <w:lang w:eastAsia="en-US"/>
        </w:rPr>
        <w:t>mill performance</w:t>
      </w:r>
      <w:r>
        <w:rPr>
          <w:rFonts w:cs="Arial" w:ascii="Arial" w:hAnsi="Arial"/>
          <w:color w:val="000000"/>
          <w:lang w:eastAsia="en-US"/>
        </w:rPr>
        <w:t xml:space="preserve"> bonus (Satellite Bonus Plan) plan that’s paid out in January of each year.  This bonus is paid to higher level employees and the payout amount is based on grade levels.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 xml:space="preserve">There is also a Gain Sharing Bonus plan for all regular full-time employees who are on payroll the first day and last day of each quarter.  Employees submit their ideas on feasibility, implementation, cost effectiveness, etc.   The Gain Sharing plan encourages maximum teamwork and employee involvement in improvements to the facility.  This plan has an uncapped percentage payout of the employee's adjusted W-2 earnings for a particular financial quarter with each employee receiving an equal percentage.  The employee must have W-2 earnings and have worked at least 75% of the scheduled time.  The payout percentage is calculated by comparing last years project performance with the present year.  </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Employees are paid with a separate check no later than the 1st day of the second month following the end of the gain sharing quarter.  Payments are considered compensation for tax purposes and for retirement, but not for other benefits based on salary.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If the employee terminates based on retirement, disability death or transfer to another G-P facility location, they will be eligible for a payout for that quarter.</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The most recent payouts for the last three years are as follows: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2"/>
        <w:rPr>
          <w:b/>
          <w:u w:val="single"/>
        </w:rPr>
      </w:pPr>
      <w:r>
        <w:rPr>
          <w:b/>
          <w:u w:val="single"/>
        </w:rPr>
        <w:t>YEAR</w:t>
        <w:tab/>
        <w:tab/>
        <w:t>1 QTR</w:t>
        <w:tab/>
        <w:tab/>
        <w:t>2 QTR</w:t>
        <w:tab/>
        <w:tab/>
        <w:t>3 QTR</w:t>
        <w:tab/>
        <w:tab/>
        <w:t>4 QTR</w:t>
      </w:r>
    </w:p>
    <w:p>
      <w:pPr>
        <w:pStyle w:val="Normal"/>
        <w:spacing w:lineRule="atLeast" w:line="240"/>
        <w:rPr>
          <w:rFonts w:ascii="Arial" w:hAnsi="Arial" w:cs="Arial"/>
          <w:color w:val="000000"/>
          <w:lang w:eastAsia="en-US"/>
        </w:rPr>
      </w:pPr>
      <w:r>
        <w:rPr>
          <w:rFonts w:cs="Arial" w:ascii="Arial" w:hAnsi="Arial"/>
          <w:color w:val="000000"/>
          <w:lang w:eastAsia="en-US"/>
        </w:rPr>
        <w:t>1997</w:t>
        <w:tab/>
        <w:tab/>
        <w:t>8.28%</w:t>
        <w:tab/>
        <w:tab/>
        <w:t>8.38%</w:t>
        <w:tab/>
        <w:tab/>
        <w:t>7.33%</w:t>
        <w:tab/>
        <w:tab/>
        <w:t>0.00%</w:t>
      </w:r>
    </w:p>
    <w:p>
      <w:pPr>
        <w:pStyle w:val="Normal"/>
        <w:spacing w:lineRule="atLeast" w:line="240"/>
        <w:rPr>
          <w:rFonts w:ascii="Arial" w:hAnsi="Arial" w:cs="Arial"/>
          <w:color w:val="000000"/>
          <w:lang w:eastAsia="en-US"/>
        </w:rPr>
      </w:pPr>
      <w:r>
        <w:rPr>
          <w:rFonts w:cs="Arial" w:ascii="Arial" w:hAnsi="Arial"/>
          <w:color w:val="000000"/>
          <w:lang w:eastAsia="en-US"/>
        </w:rPr>
        <w:t>1998</w:t>
        <w:tab/>
        <w:tab/>
        <w:t>3.86%</w:t>
        <w:tab/>
        <w:tab/>
        <w:t>6.61%</w:t>
        <w:tab/>
        <w:tab/>
        <w:t>12.17%</w:t>
        <w:tab/>
        <w:tab/>
        <w:t>9.87%</w:t>
      </w:r>
    </w:p>
    <w:p>
      <w:pPr>
        <w:pStyle w:val="Normal"/>
        <w:spacing w:lineRule="atLeast" w:line="240"/>
        <w:rPr>
          <w:rFonts w:ascii="Arial" w:hAnsi="Arial" w:cs="Arial"/>
          <w:color w:val="000000"/>
          <w:lang w:eastAsia="en-US"/>
        </w:rPr>
      </w:pPr>
      <w:r>
        <w:rPr>
          <w:rFonts w:cs="Arial" w:ascii="Arial" w:hAnsi="Arial"/>
          <w:color w:val="000000"/>
          <w:lang w:eastAsia="en-US"/>
        </w:rPr>
        <w:t>1999</w:t>
        <w:tab/>
        <w:tab/>
        <w:t>0.00%</w:t>
        <w:tab/>
        <w:tab/>
        <w:t>5.90%</w:t>
        <w:tab/>
        <w:tab/>
        <w:t>0.00%</w:t>
        <w:tab/>
        <w:tab/>
        <w:t>12.01%</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Executives are eligible to participate in both plans, but the Satellite Bonus Plan amount will be deducted from the Gain Sharing plan amount.</w:t>
      </w:r>
    </w:p>
    <w:p>
      <w:pPr>
        <w:pStyle w:val="Normal"/>
        <w:rPr>
          <w:rFonts w:ascii="Arial" w:hAnsi="Arial" w:cs="Arial"/>
          <w:color w:val="000000"/>
          <w:lang w:eastAsia="en-US"/>
        </w:rPr>
      </w:pPr>
      <w:r>
        <w:rPr>
          <w:rFonts w:cs="Arial" w:ascii="Arial" w:hAnsi="Arial"/>
          <w:color w:val="000000"/>
          <w:lang w:eastAsia="en-US"/>
        </w:rPr>
      </w:r>
    </w:p>
    <w:p>
      <w:pPr>
        <w:pStyle w:val="Heading3"/>
        <w:spacing w:lineRule="auto" w:line="240" w:before="0" w:after="0"/>
        <w:rPr>
          <w:rFonts w:ascii="Arial" w:hAnsi="Arial" w:cs="Arial"/>
          <w:b/>
          <w:i w:val="false"/>
          <w:i w:val="false"/>
        </w:rPr>
      </w:pPr>
      <w:r>
        <w:rPr>
          <w:rFonts w:cs="Arial" w:ascii="Arial" w:hAnsi="Arial"/>
          <w:b/>
          <w:i w:val="false"/>
        </w:rPr>
        <w:t>Sick</w:t>
      </w:r>
    </w:p>
    <w:p>
      <w:pPr>
        <w:pStyle w:val="Heading3"/>
        <w:spacing w:lineRule="auto" w:line="240" w:before="0" w:after="0"/>
        <w:rPr>
          <w:rFonts w:ascii="Arial" w:hAnsi="Arial" w:cs="Arial"/>
          <w:i w:val="false"/>
          <w:i w:val="false"/>
        </w:rPr>
      </w:pPr>
      <w:r>
        <w:rPr>
          <w:rFonts w:cs="Arial" w:ascii="Arial" w:hAnsi="Arial"/>
          <w:i w:val="false"/>
        </w:rPr>
        <w:t>There is not a day-to-day sick policy.  If an employee calls in sick for one day, it can be excused by his/her immediate supervisor and will be coded as “excused time off”.  The supervisor also has the right to ask this employee to take this time as vacation or code this time as “unexcused, no pay”.  Human Resources monitor sick for each department and if an employee’s sick time is 24 hours or more, it is reported to the immediate supervisor to monitor.  At this time, this method has not been abused and it seems to work well at this facility.</w:t>
      </w:r>
    </w:p>
    <w:p>
      <w:pPr>
        <w:pStyle w:val="BodyText"/>
        <w:rPr>
          <w:rFonts w:ascii="Arial" w:hAnsi="Arial" w:cs="Arial"/>
          <w:i/>
          <w:i/>
        </w:rPr>
      </w:pPr>
      <w:r>
        <w:rPr>
          <w:rFonts w:cs="Arial" w:ascii="Arial" w:hAnsi="Arial"/>
          <w:i/>
        </w:rPr>
      </w:r>
    </w:p>
    <w:p>
      <w:pPr>
        <w:pStyle w:val="BodyText"/>
        <w:rPr>
          <w:rFonts w:ascii="Arial" w:hAnsi="Arial" w:cs="Arial"/>
        </w:rPr>
      </w:pPr>
      <w:r>
        <w:rPr>
          <w:rFonts w:cs="Arial" w:ascii="Arial" w:hAnsi="Arial"/>
        </w:rPr>
        <w:t>All leaves are administered under FMLA.</w:t>
      </w:r>
    </w:p>
    <w:p>
      <w:pPr>
        <w:pStyle w:val="Closing"/>
        <w:spacing w:lineRule="auto" w:line="240"/>
        <w:rPr>
          <w:rFonts w:ascii="Arial" w:hAnsi="Arial" w:cs="Arial"/>
        </w:rPr>
      </w:pPr>
      <w:r>
        <w:rPr>
          <w:rFonts w:cs="Arial" w:ascii="Arial" w:hAnsi="Arial"/>
        </w:rPr>
      </w:r>
    </w:p>
    <w:p>
      <w:pPr>
        <w:pStyle w:val="Heading3"/>
        <w:spacing w:lineRule="auto" w:line="240" w:before="0" w:after="0"/>
        <w:rPr>
          <w:rFonts w:ascii="Arial" w:hAnsi="Arial" w:cs="Arial"/>
          <w:b/>
          <w:i w:val="false"/>
          <w:i w:val="false"/>
        </w:rPr>
      </w:pPr>
      <w:r>
        <w:rPr>
          <w:rFonts w:cs="Arial" w:ascii="Arial" w:hAnsi="Arial"/>
          <w:b/>
          <w:i w:val="false"/>
        </w:rPr>
        <w:t>Skill Base Pay</w:t>
      </w:r>
    </w:p>
    <w:p>
      <w:pPr>
        <w:pStyle w:val="Enclosure"/>
        <w:keepLines w:val="false"/>
        <w:spacing w:lineRule="auto" w:line="240" w:before="0" w:after="0"/>
        <w:rPr>
          <w:rFonts w:ascii="Arial" w:hAnsi="Arial" w:cs="Arial"/>
        </w:rPr>
      </w:pPr>
      <w:r>
        <w:rPr>
          <w:rFonts w:cs="Arial" w:ascii="Arial" w:hAnsi="Arial"/>
        </w:rPr>
        <w:t xml:space="preserve">All maintenance, production / support mill technicians are skill-based paid.  Skill levels vary within each skilled group with the levels ranging from Trainee to A+ with A+ being the highest level.  </w:t>
      </w:r>
    </w:p>
    <w:p>
      <w:pPr>
        <w:pStyle w:val="Normal"/>
        <w:rPr>
          <w:rFonts w:ascii="Arial" w:hAnsi="Arial" w:cs="Arial"/>
        </w:rPr>
      </w:pPr>
      <w:r>
        <w:rPr>
          <w:rFonts w:cs="Arial" w:ascii="Arial" w:hAnsi="Arial"/>
        </w:rPr>
      </w:r>
    </w:p>
    <w:p>
      <w:pPr>
        <w:pStyle w:val="Heading3"/>
        <w:spacing w:lineRule="auto" w:line="240" w:before="0" w:after="0"/>
        <w:rPr>
          <w:rFonts w:ascii="Arial" w:hAnsi="Arial" w:cs="Arial"/>
          <w:b/>
          <w:i w:val="false"/>
          <w:i w:val="false"/>
        </w:rPr>
      </w:pPr>
      <w:r>
        <w:rPr>
          <w:rFonts w:cs="Arial" w:ascii="Arial" w:hAnsi="Arial"/>
          <w:b/>
          <w:i w:val="false"/>
        </w:rPr>
        <w:t>Severance Pay</w:t>
      </w:r>
    </w:p>
    <w:p>
      <w:pPr>
        <w:pStyle w:val="Normal"/>
        <w:rPr>
          <w:rFonts w:ascii="Arial" w:hAnsi="Arial" w:cs="Arial"/>
        </w:rPr>
      </w:pPr>
      <w:r>
        <w:rPr>
          <w:rFonts w:cs="Arial" w:ascii="Arial" w:hAnsi="Arial"/>
        </w:rPr>
        <w:t>Severance pay is a lump-sum payment and is capped at 52 weeks.  Upon involuntary termination, an employee will receive 1 week for each year with the company and 1 additional week for each year above 15 years.  The company will also pay COBRA for a determined amount of time depending on the employee’s level at the time of termination.  Severance is paid based on business reorganization.  It will not be paid if an employee is terminated for performance or any other reason.</w:t>
      </w:r>
    </w:p>
    <w:p>
      <w:pPr>
        <w:pStyle w:val="Normal"/>
        <w:rPr>
          <w:rFonts w:ascii="Arial" w:hAnsi="Arial" w:cs="Arial"/>
        </w:rPr>
      </w:pPr>
      <w:r>
        <w:rPr>
          <w:rFonts w:cs="Arial" w:ascii="Arial" w:hAnsi="Arial"/>
        </w:rPr>
      </w:r>
    </w:p>
    <w:p>
      <w:pPr>
        <w:pStyle w:val="Heading3"/>
        <w:spacing w:lineRule="auto" w:line="240" w:before="0" w:after="0"/>
        <w:rPr>
          <w:rFonts w:ascii="Arial" w:hAnsi="Arial" w:cs="Arial"/>
          <w:b/>
          <w:i w:val="false"/>
          <w:i w:val="false"/>
        </w:rPr>
      </w:pPr>
      <w:r>
        <w:rPr>
          <w:rFonts w:cs="Arial" w:ascii="Arial" w:hAnsi="Arial"/>
          <w:b/>
          <w:i w:val="false"/>
        </w:rPr>
        <w:t>Educational Assistance Program</w:t>
      </w:r>
    </w:p>
    <w:p>
      <w:pPr>
        <w:pStyle w:val="Normal"/>
        <w:rPr>
          <w:rFonts w:ascii="Arial" w:hAnsi="Arial" w:cs="Arial"/>
        </w:rPr>
      </w:pPr>
      <w:r>
        <w:rPr>
          <w:rFonts w:cs="Arial" w:ascii="Arial" w:hAnsi="Arial"/>
        </w:rPr>
        <w:t>There are three programs, Executive MBA, Graduate and Undergraduate programs.</w:t>
      </w:r>
    </w:p>
    <w:p>
      <w:pPr>
        <w:pStyle w:val="Normal"/>
        <w:rPr>
          <w:rFonts w:ascii="Arial" w:hAnsi="Arial" w:cs="Arial"/>
        </w:rPr>
      </w:pPr>
      <w:r>
        <w:rPr>
          <w:rFonts w:cs="Arial" w:ascii="Arial" w:hAnsi="Arial"/>
        </w:rPr>
      </w:r>
    </w:p>
    <w:p>
      <w:pPr>
        <w:pStyle w:val="Normal"/>
        <w:rPr/>
      </w:pPr>
      <w:r>
        <w:rPr>
          <w:rFonts w:cs="Arial" w:ascii="Arial" w:hAnsi="Arial"/>
        </w:rPr>
        <w:t>The Executive MBA program is designed for executives nominated through succession planning.  The participant must be enrolled on a full-time basis in an Executive MBA Program.  Employees enrolled in an MBA Program on a part-time basis will be covered under the Graduate Program.  An employee is expected to work at least 3 years for the company after completing this program.  If an employee leaves prior to completing 3 years with the company, he/she must reimburse the company 100% any time during the 1</w:t>
      </w:r>
      <w:r>
        <w:rPr>
          <w:rFonts w:cs="Arial" w:ascii="Arial" w:hAnsi="Arial"/>
          <w:vertAlign w:val="superscript"/>
        </w:rPr>
        <w:t>st</w:t>
      </w:r>
      <w:r>
        <w:rPr>
          <w:rFonts w:cs="Arial" w:ascii="Arial" w:hAnsi="Arial"/>
        </w:rPr>
        <w:t xml:space="preserve"> year after graduation; 66% any time during the 2</w:t>
      </w:r>
      <w:r>
        <w:rPr>
          <w:rFonts w:cs="Arial" w:ascii="Arial" w:hAnsi="Arial"/>
          <w:vertAlign w:val="superscript"/>
        </w:rPr>
        <w:t>nd</w:t>
      </w:r>
      <w:r>
        <w:rPr>
          <w:rFonts w:cs="Arial" w:ascii="Arial" w:hAnsi="Arial"/>
        </w:rPr>
        <w:t xml:space="preserve"> year, 33% any time during the 3</w:t>
      </w:r>
      <w:r>
        <w:rPr>
          <w:rFonts w:cs="Arial" w:ascii="Arial" w:hAnsi="Arial"/>
          <w:vertAlign w:val="superscript"/>
        </w:rPr>
        <w:t>rd</w:t>
      </w:r>
      <w:r>
        <w:rPr>
          <w:rFonts w:cs="Arial" w:ascii="Arial" w:hAnsi="Arial"/>
        </w:rPr>
        <w:t xml:space="preserve"> year.</w:t>
      </w:r>
    </w:p>
    <w:p>
      <w:pPr>
        <w:pStyle w:val="Normal"/>
        <w:rPr>
          <w:rFonts w:ascii="Arial" w:hAnsi="Arial" w:cs="Arial"/>
        </w:rPr>
      </w:pPr>
      <w:r>
        <w:rPr>
          <w:rFonts w:cs="Arial" w:ascii="Arial" w:hAnsi="Arial"/>
        </w:rPr>
      </w:r>
    </w:p>
    <w:p>
      <w:pPr>
        <w:pStyle w:val="Enclosure"/>
        <w:keepLines w:val="false"/>
        <w:spacing w:lineRule="auto" w:line="240" w:before="0" w:after="0"/>
        <w:rPr>
          <w:rFonts w:ascii="Arial" w:hAnsi="Arial" w:cs="Arial"/>
        </w:rPr>
      </w:pPr>
      <w:r>
        <w:rPr>
          <w:rFonts w:cs="Arial" w:ascii="Arial" w:hAnsi="Arial"/>
        </w:rPr>
        <w:t>The Graduate and Undergraduate programs are capped at $5,250 per year for approved educational courses taken provided the employee receives a grade of C or better.  Grade A 100% of covered costs; B 90% and C 80%, a pass/fail class 100% for pass, no reimbursement for a failed class.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above are findings that should be compared to Enron’s policies if we are the successful bidder.</w:t>
      </w:r>
    </w:p>
    <w:p>
      <w:pPr>
        <w:pStyle w:val="Closing"/>
        <w:spacing w:lineRule="auto" w:line="240"/>
        <w:rPr>
          <w:rFonts w:ascii="Arial" w:hAnsi="Arial" w:cs="Arial"/>
        </w:rPr>
      </w:pPr>
      <w:r>
        <w:rPr>
          <w:rFonts w:cs="Arial" w:ascii="Arial" w:hAnsi="Arial"/>
        </w:rPr>
      </w:r>
    </w:p>
    <w:p>
      <w:pPr>
        <w:pStyle w:val="Normal"/>
        <w:rPr>
          <w:rFonts w:ascii="Arial" w:hAnsi="Arial" w:cs="Arial"/>
        </w:rPr>
      </w:pPr>
      <w:r>
        <w:rPr>
          <w:rFonts w:cs="Arial" w:ascii="Arial" w:hAnsi="Arial"/>
        </w:rPr>
        <w:t>Please note that additional information from Leaf River is forthcoming to define some of the above policies in more detail.</w:t>
      </w:r>
    </w:p>
    <w:p>
      <w:pPr>
        <w:pStyle w:val="Closing"/>
        <w:spacing w:lineRule="auto" w:line="240"/>
        <w:rPr/>
      </w:pPr>
      <w:r>
        <w:rPr/>
      </w:r>
      <w:r>
        <mc:AlternateContent>
          <mc:Choice Requires="wps">
            <w:drawing>
              <wp:anchor behindDoc="0" distT="118745" distB="0" distL="118745" distR="118745" simplePos="0" locked="0" layoutInCell="0" allowOverlap="1" relativeHeight="2">
                <wp:simplePos x="0" y="0"/>
                <wp:positionH relativeFrom="page">
                  <wp:posOffset>613410</wp:posOffset>
                </wp:positionH>
                <wp:positionV relativeFrom="page">
                  <wp:align>bottom</wp:align>
                </wp:positionV>
                <wp:extent cx="3282950" cy="1143000"/>
                <wp:effectExtent l="0" t="0" r="0" b="0"/>
                <wp:wrapSquare wrapText="bothSides"/>
                <wp:docPr id="6" name="Frame1"/>
                <a:graphic xmlns:a="http://schemas.openxmlformats.org/drawingml/2006/main">
                  <a:graphicData uri="http://schemas.microsoft.com/office/word/2010/wordprocessingShape">
                    <wps:wsp>
                      <wps:cNvSpPr txBox="1"/>
                      <wps:spPr>
                        <a:xfrm>
                          <a:off x="0" y="0"/>
                          <a:ext cx="3282950" cy="1143000"/>
                        </a:xfrm>
                        <a:prstGeom prst="rect"/>
                        <a:solidFill>
                          <a:srgbClr val="FFFFFF">
                            <a:alpha val="0"/>
                          </a:srgbClr>
                        </a:solidFill>
                      </wps:spPr>
                      <wps:txbx>
                        <w:txbxContent>
                          <w:p>
                            <w:pPr>
                              <w:pStyle w:val="Slogan"/>
                              <w:rPr/>
                            </w:pPr>
                            <w:r>
                              <w:rPr/>
                              <w:t>Confidential</w:t>
                            </w:r>
                          </w:p>
                        </w:txbxContent>
                      </wps:txbx>
                      <wps:bodyPr anchor="t" lIns="0" tIns="0" rIns="0" bIns="0">
                        <a:noAutofit/>
                      </wps:bodyPr>
                    </wps:wsp>
                  </a:graphicData>
                </a:graphic>
              </wp:anchor>
            </w:drawing>
          </mc:Choice>
          <mc:Fallback>
            <w:pict>
              <v:rect fillcolor="#FFFFFF" style="position:absolute;rotation:-0;width:258.5pt;height:90pt;mso-wrap-distance-left:9.35pt;mso-wrap-distance-right:9.35pt;mso-wrap-distance-top:9.35pt;mso-wrap-distance-bottom:0pt;margin-top:702pt;mso-position-vertical:bottom;mso-position-vertical-relative:page;margin-left:48.3pt;mso-position-horizontal-relative:page">
                <v:fill opacity="0f"/>
                <v:textbox inset="0in,0in,0in,0in">
                  <w:txbxContent>
                    <w:p>
                      <w:pPr>
                        <w:pStyle w:val="Slogan"/>
                        <w:rPr/>
                      </w:pPr>
                      <w:r>
                        <w:rPr/>
                        <w:t>Confidential</w:t>
                      </w:r>
                    </w:p>
                  </w:txbxContent>
                </v:textbox>
                <w10:wrap type="square"/>
              </v:rect>
            </w:pict>
          </mc:Fallback>
        </mc:AlternateContent>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3">
              <wp:simplePos x="0" y="0"/>
              <wp:positionH relativeFrom="page">
                <wp:posOffset>457200</wp:posOffset>
              </wp:positionH>
              <wp:positionV relativeFrom="paragraph">
                <wp:posOffset>635</wp:posOffset>
              </wp:positionV>
              <wp:extent cx="3502025" cy="609600"/>
              <wp:effectExtent l="635" t="0" r="0" b="0"/>
              <wp:wrapNone/>
              <wp:docPr id="7"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i w:val="false"/>
      </w:rPr>
      <w:fldChar w:fldCharType="begin"/>
    </w:r>
    <w:r>
      <w:rPr>
        <w:i w:val="false"/>
      </w:rPr>
      <w:instrText xml:space="preserve"> DATE \@"MMMM\ d', 'yyyy" </w:instrText>
    </w:r>
    <w:r>
      <w:rPr>
        <w:i w:val="false"/>
      </w:rPr>
      <w:fldChar w:fldCharType="separate"/>
    </w:r>
    <w:r>
      <w:rPr>
        <w:i w:val="false"/>
      </w:rPr>
      <w:t>September 28, 2025</w:t>
    </w:r>
    <w:r>
      <w:rPr>
        <w:i w:val="false"/>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FrameContents">
    <w:name w:val="Frame Contents"/>
    <w:basedOn w:val="Normal"/>
    <w:qFormat/>
    <w:pPr/>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2000-11-01T19:21:00Z</dcterms:created>
  <dc:creator>kneal</dc:creator>
  <dc:description/>
  <dc:language>en-CA</dc:language>
  <cp:lastModifiedBy>kneal</cp:lastModifiedBy>
  <cp:lastPrinted>2000-11-01T16:02:00Z</cp:lastPrinted>
  <dcterms:modified xsi:type="dcterms:W3CDTF">2000-11-01T19:54:00Z</dcterms:modified>
  <cp:revision>3</cp:revision>
  <dc:subject/>
  <dc:title>Memo</dc:title>
</cp:coreProperties>
</file>