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jc w:val="end"/>
        <w:rPr>
          <w:rFonts w:ascii="Arial Narrow" w:hAnsi="Arial Narrow" w:cs="Arial Narrow"/>
          <w:b w:val="false"/>
          <w:sz w:val="18"/>
          <w:u w:val="none"/>
        </w:rPr>
      </w:pPr>
      <w:r>
        <w:rPr>
          <w:rFonts w:cs="Arial Narrow" w:ascii="Arial Narrow" w:hAnsi="Arial Narrow"/>
          <w:b w:val="false"/>
          <w:sz w:val="18"/>
          <w:u w:val="none"/>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color w:val="FF0000"/>
        </w:rPr>
      </w:pPr>
      <w:r>
        <w:rPr/>
        <w:t>LE NORMAN PARTNERS, LLC</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 xml:space="preserve"> the Defaulting Party fails to establish, maintain, renew, substitute or increase the Performance Assurance 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(h)</w:t>
        <w:tab/>
        <w:t>the failure in the payment when due (whether at maturity, by acceleration, or otherwise) of any obligation in respect of borrowed money, in an aggregate amount in excess of $500,000 with respect to Counterparty, $100,000,000 with respect to ENA, or $100,000,000 with respect to ENA’s Credit Support Provider,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a proceeding is instituted against it, it remains undismissed for 30 days)."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Funded Debt</w:t>
      </w:r>
      <w:r>
        <w:rPr>
          <w:rFonts w:cs="Arial Narrow" w:ascii="Arial Narrow" w:hAnsi="Arial Narrow"/>
          <w:sz w:val="18"/>
        </w:rPr>
        <w:t>" means consolidated indebtedness of Counterparty which by its terms matures more than one year from the date as of which any calculation of Funded Debt is made.</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i/>
          <w:i/>
          <w:sz w:val="18"/>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ind w:start="360" w:end="0"/>
        <w:jc w:val="both"/>
        <w:rPr>
          <w:rFonts w:ascii="Arial Narrow" w:hAnsi="Arial Narrow" w:cs="Arial Narrow"/>
          <w:i/>
          <w:i/>
          <w:sz w:val="18"/>
        </w:rPr>
      </w:pPr>
      <w:r>
        <w:rPr>
          <w:rFonts w:cs="Arial Narrow" w:ascii="Arial Narrow" w:hAnsi="Arial Narrow"/>
          <w:i/>
          <w:sz w:val="18"/>
        </w:rPr>
      </w:r>
    </w:p>
    <w:p>
      <w:pPr>
        <w:pStyle w:val="Normal"/>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(a) with respect to Counterparty, it shall have any of the following occur at any time:  (i) the ratio of its Funded Debt to Net Worth is more than 3 to1, or (ii) its Net Worth falls below $9,000,000; or (b) with respect to ENA, its Credit Support Provider’s Credit Rating from S&amp;P is below “BBB-”.</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 xml:space="preserve">"10.  </w:t>
      </w:r>
      <w:r>
        <w:rPr>
          <w:rFonts w:cs="Arial Narrow" w:ascii="Arial Narrow" w:hAnsi="Arial Narrow"/>
          <w:sz w:val="18"/>
          <w:u w:val="single"/>
        </w:rPr>
        <w:t>Credit Support Agreements - Guaranty</w:t>
      </w:r>
      <w:r>
        <w:rPr>
          <w:rFonts w:cs="Arial Narrow" w:ascii="Arial Narrow" w:hAnsi="Arial Narrow"/>
          <w:sz w:val="18"/>
        </w:rPr>
        <w:t>.  On or before 5:00 p.m. (Houston time) on June 19, 2000, ENA shall cause to be delivered to Counterparty the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from its Credit Support Provider in favor of Counterparty in the form attached as Annex B-2."  </w:t>
      </w: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and further with respect to ENA, only if its Credit Support Provider’s annual consolidated financial statements are not available on “EDGAR” or its Credit Support Provider’s home page on the World Wide Web at www.enron.com;  (ii) as soon as available and in any event within sixty (60) days after the end of each of its (or in the case of ENA, Enron Corp.'s) first three fiscal quarters of its fiscal year, copies of its (or in the case of ENA, Enron Corp.'s) quarterly reports containing unaudited consolidated financial statements for such fiscal quarter prepared in accordance with GAAP, and further with respect to ENA, only if its Credit Support Provider’s quarterly unaudited consolidated financial statements are not available on “EDGAR” or its Credit Support Provider’s home page on the World Wide Web at www.enron.com; and (iii) such other publicly available financial information as the other party may reasonably request.”</w:t>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$10,000,000 and (ii) Counterparty, $1,000,000;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(k)</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(l)</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(m)</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(n)</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(o)</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spacing w:lineRule="auto" w:line="240"/>
        <w:rPr/>
      </w:pPr>
      <w:r>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either a substitute Letter of Credit or other substitute Performance Assurance, in each case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the Non-Exposed Party agrees to deliver substitute Performance Assurance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Exposed Party’s Rights and Remedies</w:t>
      </w:r>
      <w:r>
        <w:rPr>
          <w:rFonts w:cs="Arial Narrow" w:ascii="Arial Narrow" w:hAnsi="Arial Narrow"/>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4"/>
          <w:headerReference w:type="first" r:id="rId5"/>
          <w:footerReference w:type="default" r:id="rId6"/>
          <w:footerReference w:type="first" r:id="rId7"/>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rPr>
      </w:pPr>
      <w:r>
        <w:rPr>
          <w:rFonts w:cs="Arial Narrow" w:ascii="Arial Narrow" w:hAnsi="Arial Narrow"/>
          <w:sz w:val="18"/>
        </w:rPr>
        <w:t>[BANK SIGNATURE]</w:t>
      </w:r>
    </w:p>
    <w:p>
      <w:pPr>
        <w:sectPr>
          <w:headerReference w:type="default" r:id="rId8"/>
          <w:headerReference w:type="first" r:id="rId9"/>
          <w:footerReference w:type="default" r:id="rId10"/>
          <w:footerReference w:type="first" r:id="rId11"/>
          <w:type w:val="nextPage"/>
          <w:pgSz w:w="12240" w:h="15840"/>
          <w:pgMar w:left="1728" w:right="1728" w:gutter="0" w:header="720" w:top="1728" w:footer="720" w:bottom="172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rFonts w:ascii="Arial Narrow" w:hAnsi="Arial Narrow" w:cs="Arial Narrow"/>
          <w:sz w:val="18"/>
          <w:lang w:val="en-CA"/>
        </w:rPr>
      </w:pPr>
      <w:r>
        <w:rPr>
          <w:rFonts w:cs="Arial Narrow" w:ascii="Arial Narrow" w:hAnsi="Arial Narrow"/>
          <w:sz w:val="18"/>
          <w:lang w:val="en-CA"/>
        </w:rPr>
      </w:r>
    </w:p>
    <w:p>
      <w:pPr>
        <w:pStyle w:val="Normal"/>
        <w:ind w:end="180"/>
        <w:jc w:val="center"/>
        <w:rPr>
          <w:rFonts w:ascii="Arial Narrow" w:hAnsi="Arial Narrow" w:cs="Arial Narrow"/>
          <w:b/>
          <w:sz w:val="18"/>
        </w:rPr>
      </w:pPr>
      <w:r>
        <w:rPr>
          <w:rFonts w:cs="Arial Narrow" w:ascii="Arial Narrow" w:hAnsi="Arial Narrow"/>
          <w:b/>
          <w:sz w:val="18"/>
          <w:u w:val="single"/>
        </w:rPr>
        <w:t>ANNEX B-2</w:t>
      </w:r>
    </w:p>
    <w:p>
      <w:pPr>
        <w:pStyle w:val="Normal"/>
        <w:ind w:end="180"/>
        <w:jc w:val="center"/>
        <w:rPr>
          <w:rFonts w:ascii="Arial Narrow" w:hAnsi="Arial Narrow" w:cs="Arial Narrow"/>
          <w:b/>
          <w:sz w:val="18"/>
        </w:rPr>
      </w:pPr>
      <w:r>
        <w:rPr>
          <w:rFonts w:cs="Arial Narrow" w:ascii="Arial Narrow" w:hAnsi="Arial Narrow"/>
          <w:b/>
          <w:sz w:val="18"/>
        </w:rPr>
      </w:r>
    </w:p>
    <w:p>
      <w:pPr>
        <w:pStyle w:val="Normal"/>
        <w:ind w:end="180"/>
        <w:jc w:val="center"/>
        <w:rPr>
          <w:rFonts w:ascii="Arial Narrow" w:hAnsi="Arial Narrow" w:cs="Arial Narrow"/>
          <w:b/>
          <w:sz w:val="18"/>
        </w:rPr>
      </w:pPr>
      <w:r>
        <w:rPr>
          <w:rFonts w:cs="Arial Narrow" w:ascii="Arial Narrow" w:hAnsi="Arial Narrow"/>
          <w:b/>
          <w:sz w:val="18"/>
        </w:rPr>
        <w:t>ENRON CORP.</w:t>
      </w:r>
    </w:p>
    <w:p>
      <w:pPr>
        <w:pStyle w:val="Normal"/>
        <w:spacing w:lineRule="exact" w:line="240"/>
        <w:ind w:end="180"/>
        <w:jc w:val="center"/>
        <w:rPr>
          <w:rFonts w:ascii="Arial Narrow" w:hAnsi="Arial Narrow" w:cs="Arial Narrow"/>
          <w:b/>
          <w:sz w:val="18"/>
          <w:u w:val="single"/>
        </w:rPr>
      </w:pPr>
      <w:r>
        <w:rPr>
          <w:rFonts w:cs="Arial Narrow" w:ascii="Arial Narrow" w:hAnsi="Arial Narrow"/>
          <w:b/>
          <w:sz w:val="18"/>
          <w:u w:val="single"/>
        </w:rPr>
      </w:r>
    </w:p>
    <w:p>
      <w:pPr>
        <w:pStyle w:val="Normal"/>
        <w:spacing w:lineRule="exact" w:line="240"/>
        <w:ind w:end="180"/>
        <w:jc w:val="center"/>
        <w:rPr>
          <w:rFonts w:ascii="Arial Narrow" w:hAnsi="Arial Narrow" w:cs="Arial Narrow"/>
          <w:sz w:val="18"/>
        </w:rPr>
      </w:pPr>
      <w:r>
        <w:rPr>
          <w:rFonts w:cs="Arial Narrow" w:ascii="Arial Narrow" w:hAnsi="Arial Narrow"/>
          <w:sz w:val="18"/>
          <w:u w:val="single"/>
        </w:rPr>
        <w:t>Guaranty</w:t>
      </w:r>
    </w:p>
    <w:p>
      <w:pPr>
        <w:pStyle w:val="Normal"/>
        <w:spacing w:lineRule="exact" w:line="48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This Guaranty (the “Guaranty”), dated as of June 1, 2000, is made and entered into by </w:t>
      </w:r>
      <w:r>
        <w:rPr>
          <w:rFonts w:cs="Arial Narrow" w:ascii="Arial Narrow" w:hAnsi="Arial Narrow"/>
          <w:caps/>
          <w:sz w:val="18"/>
        </w:rPr>
        <w:t>Enron Corp.</w:t>
      </w:r>
      <w:r>
        <w:rPr>
          <w:rFonts w:cs="Arial Narrow" w:ascii="Arial Narrow" w:hAnsi="Arial Narrow"/>
          <w:sz w:val="18"/>
        </w:rPr>
        <w:t>, an Oregon corporation (“Guarantor”).</w:t>
      </w:r>
    </w:p>
    <w:p>
      <w:pPr>
        <w:pStyle w:val="Normal"/>
        <w:keepNext w:val="true"/>
        <w:spacing w:lineRule="exact" w:line="240" w:before="480" w:after="0"/>
        <w:jc w:val="center"/>
        <w:rPr>
          <w:rFonts w:ascii="Arial Narrow" w:hAnsi="Arial Narrow" w:cs="Arial Narrow"/>
          <w:b/>
          <w:caps/>
          <w:sz w:val="18"/>
        </w:rPr>
      </w:pPr>
      <w:r>
        <w:rPr>
          <w:rFonts w:cs="Arial Narrow" w:ascii="Arial Narrow" w:hAnsi="Arial Narrow"/>
          <w:b/>
          <w:caps/>
          <w:sz w:val="18"/>
        </w:rPr>
        <w:t>W I T N E S S E T H:</w:t>
      </w:r>
    </w:p>
    <w:p>
      <w:pPr>
        <w:pStyle w:val="Normal"/>
        <w:spacing w:lineRule="atLeast" w:line="240"/>
        <w:jc w:val="both"/>
        <w:rPr>
          <w:rFonts w:ascii="Arial Narrow" w:hAnsi="Arial Narrow" w:cs="Arial Narrow"/>
          <w:b/>
          <w:caps/>
          <w:sz w:val="18"/>
        </w:rPr>
      </w:pPr>
      <w:r>
        <w:rPr>
          <w:rFonts w:cs="Arial Narrow" w:ascii="Arial Narrow" w:hAnsi="Arial Narrow"/>
          <w:b/>
          <w:caps/>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 xml:space="preserve">WHEREAS, LE NORMAN PARTNERS, LLC, an Oklahoma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1.  </w:t>
      </w:r>
      <w:r>
        <w:rPr>
          <w:rFonts w:cs="Arial Narrow" w:ascii="Arial Narrow" w:hAnsi="Arial Narrow"/>
          <w:sz w:val="18"/>
          <w:u w:val="single"/>
        </w:rPr>
        <w:t>GUARANTY</w:t>
      </w:r>
      <w:r>
        <w:rPr>
          <w:rFonts w:cs="Arial Narrow" w:ascii="Arial Narrow" w:hAnsi="Arial Narrow"/>
          <w:sz w:val="18"/>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$15,000,000.</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2.  </w:t>
      </w:r>
      <w:r>
        <w:rPr>
          <w:rFonts w:cs="Arial Narrow" w:ascii="Arial Narrow" w:hAnsi="Arial Narrow"/>
          <w:sz w:val="18"/>
          <w:u w:val="single"/>
        </w:rPr>
        <w:t>DEMANDS AND NOTICE</w:t>
      </w:r>
      <w:r>
        <w:rPr>
          <w:rFonts w:cs="Arial Narrow" w:ascii="Arial Narrow" w:hAnsi="Arial Narrow"/>
          <w:sz w:val="18"/>
        </w:rPr>
        <w:t>.  Upon the occurrence and during the continuance of an Event of Default,</w:t>
      </w:r>
      <w:r>
        <w:rPr>
          <w:rFonts w:cs="Arial Narrow" w:ascii="Arial Narrow" w:hAnsi="Arial Narrow"/>
          <w:color w:val="FF0000"/>
          <w:sz w:val="18"/>
        </w:rPr>
        <w:t xml:space="preserve"> </w:t>
      </w:r>
      <w:r>
        <w:rPr>
          <w:rFonts w:cs="Arial Narrow" w:ascii="Arial Narrow" w:hAnsi="Arial Narrow"/>
          <w:sz w:val="18"/>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keepNext w:val="true"/>
        <w:spacing w:lineRule="atLeast" w:line="240"/>
        <w:ind w:firstLine="720" w:end="0"/>
        <w:jc w:val="both"/>
        <w:rPr/>
      </w:pPr>
      <w:r>
        <w:rPr>
          <w:rFonts w:cs="Arial Narrow" w:ascii="Arial Narrow" w:hAnsi="Arial Narrow"/>
          <w:sz w:val="18"/>
        </w:rPr>
        <w:t xml:space="preserve">3.  </w:t>
      </w:r>
      <w:r>
        <w:rPr>
          <w:rFonts w:cs="Arial Narrow" w:ascii="Arial Narrow" w:hAnsi="Arial Narrow"/>
          <w:sz w:val="18"/>
          <w:u w:val="single"/>
        </w:rPr>
        <w:t>REPRESENTATIONS AND WARRANTIES</w:t>
      </w:r>
      <w:r>
        <w:rPr>
          <w:rFonts w:cs="Arial Narrow" w:ascii="Arial Narrow" w:hAnsi="Arial Narrow"/>
          <w:sz w:val="18"/>
        </w:rPr>
        <w:t>.  Guarantor represents and warrants that:</w:t>
      </w:r>
    </w:p>
    <w:p>
      <w:pPr>
        <w:pStyle w:val="Normal"/>
        <w:keepNext w:val="true"/>
        <w:spacing w:lineRule="exact" w:line="240" w:before="240" w:after="0"/>
        <w:ind w:firstLine="630" w:start="810" w:end="0"/>
        <w:jc w:val="both"/>
        <w:rPr>
          <w:rFonts w:ascii="Arial Narrow" w:hAnsi="Arial Narrow" w:cs="Arial Narrow"/>
          <w:sz w:val="18"/>
        </w:rPr>
      </w:pPr>
      <w:r>
        <w:rPr>
          <w:rFonts w:cs="Arial Narrow" w:ascii="Arial Narrow" w:hAnsi="Arial Narrow"/>
          <w:sz w:val="18"/>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Arial Narrow" w:hAnsi="Arial Narrow" w:cs="Arial Narrow"/>
          <w:sz w:val="18"/>
        </w:rPr>
      </w:pPr>
      <w:r>
        <w:rPr>
          <w:rFonts w:cs="Arial Narrow" w:ascii="Arial Narrow" w:hAnsi="Arial Narrow"/>
          <w:sz w:val="18"/>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Arial Narrow" w:hAnsi="Arial Narrow" w:cs="Arial Narrow"/>
          <w:sz w:val="18"/>
        </w:rPr>
      </w:pPr>
      <w:r>
        <w:rPr>
          <w:rFonts w:cs="Arial Narrow" w:ascii="Arial Narrow" w:hAnsi="Arial Narrow"/>
          <w:sz w:val="18"/>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4.  </w:t>
      </w:r>
      <w:r>
        <w:rPr>
          <w:rFonts w:cs="Arial Narrow" w:ascii="Arial Narrow" w:hAnsi="Arial Narrow"/>
          <w:sz w:val="18"/>
          <w:u w:val="single"/>
        </w:rPr>
        <w:t>SETOFFS AND COUNTERCLAIMS</w:t>
      </w:r>
      <w:r>
        <w:rPr>
          <w:rFonts w:cs="Arial Narrow" w:ascii="Arial Narrow" w:hAnsi="Arial Narrow"/>
          <w:sz w:val="18"/>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5.  </w:t>
      </w:r>
      <w:r>
        <w:rPr>
          <w:rFonts w:cs="Arial Narrow" w:ascii="Arial Narrow" w:hAnsi="Arial Narrow"/>
          <w:sz w:val="18"/>
          <w:u w:val="single"/>
        </w:rPr>
        <w:t>AMENDMENT OF GUARANTY</w:t>
      </w:r>
      <w:r>
        <w:rPr>
          <w:rFonts w:cs="Arial Narrow" w:ascii="Arial Narrow" w:hAnsi="Arial Narrow"/>
          <w:sz w:val="18"/>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6.  </w:t>
      </w:r>
      <w:r>
        <w:rPr>
          <w:rFonts w:cs="Arial Narrow" w:ascii="Arial Narrow" w:hAnsi="Arial Narrow"/>
          <w:sz w:val="18"/>
          <w:u w:val="single"/>
        </w:rPr>
        <w:t>WAIVERS</w:t>
      </w:r>
      <w:r>
        <w:rPr>
          <w:rFonts w:cs="Arial Narrow" w:ascii="Arial Narrow" w:hAnsi="Arial Narrow"/>
          <w:sz w:val="18"/>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7.  </w:t>
      </w:r>
      <w:r>
        <w:rPr>
          <w:rFonts w:cs="Arial Narrow" w:ascii="Arial Narrow" w:hAnsi="Arial Narrow"/>
          <w:sz w:val="18"/>
          <w:u w:val="single"/>
        </w:rPr>
        <w:t>NOTICE</w:t>
      </w:r>
      <w:r>
        <w:rPr>
          <w:rFonts w:cs="Arial Narrow" w:ascii="Arial Narrow" w:hAnsi="Arial Narrow"/>
          <w:sz w:val="18"/>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Arial Narrow" w:hAnsi="Arial Narrow" w:cs="Arial Narrow"/>
          <w:sz w:val="18"/>
        </w:rPr>
      </w:pPr>
      <w:r>
        <w:rPr>
          <w:rFonts w:cs="Arial Narrow" w:ascii="Arial Narrow" w:hAnsi="Arial Narrow"/>
          <w:sz w:val="18"/>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rFonts w:ascii="Arial Narrow" w:hAnsi="Arial Narrow" w:cs="Arial Narrow"/>
                <w:color w:val="000000"/>
                <w:sz w:val="18"/>
              </w:rPr>
            </w:pPr>
            <w:r>
              <w:rPr>
                <w:rFonts w:cs="Arial Narrow" w:ascii="Arial Narrow" w:hAnsi="Arial Narrow"/>
                <w:color w:val="000000"/>
                <w:sz w:val="18"/>
              </w:rPr>
              <w:t>To Counterparty:</w:t>
            </w:r>
          </w:p>
        </w:tc>
        <w:tc>
          <w:tcPr>
            <w:tcW w:w="3492"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rPr>
            </w:pPr>
            <w:r>
              <w:rPr>
                <w:rFonts w:cs="Arial Narrow" w:ascii="Arial Narrow" w:hAnsi="Arial Narrow"/>
                <w:color w:val="000000"/>
                <w:sz w:val="18"/>
              </w:rPr>
              <w:t>Le Norman Partners, LLC</w:t>
            </w:r>
          </w:p>
        </w:tc>
        <w:tc>
          <w:tcPr>
            <w:tcW w:w="1618" w:type="dxa"/>
            <w:tcBorders/>
          </w:tcPr>
          <w:p>
            <w:pPr>
              <w:pStyle w:val="Normal"/>
              <w:keepNext w:val="true"/>
              <w:keepLines/>
              <w:spacing w:lineRule="atLeast" w:line="240"/>
              <w:rPr>
                <w:rFonts w:ascii="Arial Narrow" w:hAnsi="Arial Narrow" w:cs="Arial Narrow"/>
                <w:color w:val="000000"/>
                <w:sz w:val="18"/>
              </w:rPr>
            </w:pPr>
            <w:r>
              <w:rPr>
                <w:rFonts w:cs="Arial Narrow" w:ascii="Arial Narrow" w:hAnsi="Arial Narrow"/>
                <w:color w:val="000000"/>
                <w:sz w:val="18"/>
              </w:rPr>
              <w:t>To Guarantor:</w:t>
            </w:r>
          </w:p>
        </w:tc>
        <w:tc>
          <w:tcPr>
            <w:tcW w:w="353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rPr>
            </w:pPr>
            <w:r>
              <w:rPr>
                <w:rFonts w:cs="Arial Narrow" w:ascii="Arial Narrow" w:hAnsi="Arial Narrow"/>
                <w:color w:val="000000"/>
                <w:sz w:val="18"/>
              </w:rPr>
              <w:t>Enron Corp.</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492"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rPr>
            </w:pPr>
            <w:r>
              <w:rPr>
                <w:rFonts w:cs="Arial Narrow" w:ascii="Arial Narrow" w:hAnsi="Arial Narrow"/>
                <w:color w:val="000000"/>
                <w:sz w:val="18"/>
              </w:rPr>
              <w:t>5500 West Plano Parkway, Suite 200</w:t>
            </w:r>
          </w:p>
        </w:tc>
        <w:tc>
          <w:tcPr>
            <w:tcW w:w="161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53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rPr>
            </w:pPr>
            <w:r>
              <w:rPr>
                <w:rFonts w:cs="Arial Narrow" w:ascii="Arial Narrow" w:hAnsi="Arial Narrow"/>
                <w:color w:val="000000"/>
                <w:sz w:val="18"/>
              </w:rPr>
              <w:t>1400 Smith Street</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492"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rPr>
            </w:pPr>
            <w:r>
              <w:rPr>
                <w:rFonts w:cs="Arial Narrow" w:ascii="Arial Narrow" w:hAnsi="Arial Narrow"/>
                <w:color w:val="000000"/>
                <w:sz w:val="18"/>
              </w:rPr>
              <w:t>Plano, Texas 75093</w:t>
            </w:r>
          </w:p>
        </w:tc>
        <w:tc>
          <w:tcPr>
            <w:tcW w:w="161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53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rPr>
            </w:pPr>
            <w:r>
              <w:rPr>
                <w:rFonts w:cs="Arial Narrow" w:ascii="Arial Narrow" w:hAnsi="Arial Narrow"/>
                <w:color w:val="000000"/>
                <w:sz w:val="18"/>
              </w:rPr>
              <w:t>Houston, Texas  77002</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492"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u w:val="single"/>
              </w:rPr>
            </w:pPr>
            <w:r>
              <w:rPr>
                <w:rFonts w:cs="Arial Narrow" w:ascii="Arial Narrow" w:hAnsi="Arial Narrow"/>
                <w:color w:val="000000"/>
                <w:sz w:val="18"/>
              </w:rPr>
              <w:t>Attn.:  Dickie Hunter, Chief Finanial Officer</w:t>
            </w:r>
          </w:p>
          <w:p>
            <w:pPr>
              <w:pStyle w:val="Normal"/>
              <w:keepNext w:val="true"/>
              <w:keepLines/>
              <w:tabs>
                <w:tab w:val="clear" w:pos="720"/>
                <w:tab w:val="left" w:pos="3132" w:leader="none"/>
              </w:tabs>
              <w:spacing w:lineRule="atLeast" w:line="240"/>
              <w:rPr>
                <w:rFonts w:ascii="Arial Narrow" w:hAnsi="Arial Narrow" w:cs="Arial Narrow"/>
                <w:color w:val="000000"/>
                <w:sz w:val="18"/>
                <w:u w:val="single"/>
              </w:rPr>
            </w:pPr>
            <w:r>
              <w:rPr>
                <w:rFonts w:cs="Arial Narrow" w:ascii="Arial Narrow" w:hAnsi="Arial Narrow"/>
                <w:color w:val="000000"/>
                <w:sz w:val="18"/>
                <w:u w:val="single"/>
              </w:rPr>
            </w:r>
          </w:p>
        </w:tc>
        <w:tc>
          <w:tcPr>
            <w:tcW w:w="161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53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rPr>
            </w:pPr>
            <w:r>
              <w:rPr>
                <w:rFonts w:cs="Arial Narrow" w:ascii="Arial Narrow" w:hAnsi="Arial Narrow"/>
                <w:color w:val="000000"/>
                <w:sz w:val="18"/>
              </w:rPr>
              <w:t>Attn.:  Vice President, Finance and Treasurer</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492"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rPr>
            </w:pPr>
            <w:r>
              <w:rPr>
                <w:rFonts w:cs="Arial Narrow" w:ascii="Arial Narrow" w:hAnsi="Arial Narrow"/>
                <w:color w:val="000000"/>
                <w:sz w:val="18"/>
              </w:rPr>
              <w:t>Fax No.:  (972) 380-9570</w:t>
            </w:r>
          </w:p>
        </w:tc>
        <w:tc>
          <w:tcPr>
            <w:tcW w:w="161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53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rPr>
            </w:pPr>
            <w:r>
              <w:rPr>
                <w:rFonts w:cs="Arial Narrow" w:ascii="Arial Narrow" w:hAnsi="Arial Narrow"/>
                <w:color w:val="000000"/>
                <w:sz w:val="18"/>
              </w:rPr>
              <w:t>Fax No.:  (713) 646-3422</w:t>
            </w:r>
          </w:p>
        </w:tc>
      </w:tr>
    </w:tbl>
    <w:p>
      <w:pPr>
        <w:pStyle w:val="Normal"/>
        <w:tabs>
          <w:tab w:val="clear" w:pos="720"/>
          <w:tab w:val="left" w:pos="2880" w:leader="none"/>
          <w:tab w:val="left" w:pos="6480" w:leader="none"/>
        </w:tabs>
        <w:spacing w:lineRule="exact" w:line="240"/>
        <w:ind w:start="720" w:end="0"/>
        <w:jc w:val="both"/>
        <w:rPr>
          <w:rFonts w:ascii="Arial Narrow" w:hAnsi="Arial Narrow" w:cs="Arial Narrow"/>
          <w:sz w:val="18"/>
        </w:rPr>
      </w:pPr>
      <w:r>
        <w:rPr>
          <w:rFonts w:cs="Arial Narrow" w:ascii="Arial Narrow" w:hAnsi="Arial Narrow"/>
          <w:sz w:val="18"/>
        </w:rPr>
      </w:r>
    </w:p>
    <w:p>
      <w:pPr>
        <w:pStyle w:val="BodyText"/>
        <w:tabs>
          <w:tab w:val="clear" w:pos="720"/>
        </w:tabs>
        <w:spacing w:lineRule="atLeast" w:line="240"/>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8.  </w:t>
      </w:r>
      <w:r>
        <w:rPr>
          <w:rFonts w:cs="Arial Narrow" w:ascii="Arial Narrow" w:hAnsi="Arial Narrow"/>
          <w:sz w:val="18"/>
          <w:u w:val="single"/>
        </w:rPr>
        <w:t>MISCELLANEOUS</w:t>
      </w:r>
      <w:r>
        <w:rPr>
          <w:rFonts w:cs="Arial Narrow" w:ascii="Arial Narrow" w:hAnsi="Arial Narrow"/>
          <w:sz w:val="18"/>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IN WITNESS WHEREOF, the Guarantor has executed this Guaranty on </w:t>
        <w:tab/>
      </w:r>
      <w:r>
        <w:rPr>
          <w:rFonts w:cs="Arial Narrow" w:ascii="Arial Narrow" w:hAnsi="Arial Narrow"/>
          <w:sz w:val="18"/>
          <w:u w:val="single"/>
        </w:rPr>
        <w:tab/>
      </w:r>
      <w:r>
        <w:rPr>
          <w:rFonts w:cs="Arial Narrow" w:ascii="Arial Narrow" w:hAnsi="Arial Narrow"/>
          <w:sz w:val="18"/>
        </w:rPr>
        <w:t>, 2000, but it is effective as of the date first above written.</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start="5040" w:end="0"/>
        <w:jc w:val="both"/>
        <w:rPr>
          <w:rFonts w:ascii="Arial Narrow" w:hAnsi="Arial Narrow" w:cs="Arial Narrow"/>
          <w:b/>
          <w:sz w:val="18"/>
        </w:rPr>
      </w:pPr>
      <w:r>
        <w:rPr>
          <w:rFonts w:cs="Arial Narrow" w:ascii="Arial Narrow" w:hAnsi="Arial Narrow"/>
          <w:b/>
          <w:sz w:val="18"/>
        </w:rPr>
        <w:t>ENRON CORP.</w:t>
      </w:r>
    </w:p>
    <w:p>
      <w:pPr>
        <w:pStyle w:val="Normal"/>
        <w:spacing w:lineRule="atLeast" w:line="240"/>
        <w:ind w:start="5040" w:end="0"/>
        <w:jc w:val="both"/>
        <w:rPr>
          <w:rFonts w:ascii="Arial Narrow" w:hAnsi="Arial Narrow" w:cs="Arial Narrow"/>
          <w:b/>
          <w:sz w:val="18"/>
        </w:rPr>
      </w:pPr>
      <w:r>
        <w:rPr>
          <w:rFonts w:cs="Arial Narrow" w:ascii="Arial Narrow" w:hAnsi="Arial Narrow"/>
          <w:b/>
          <w:sz w:val="18"/>
        </w:rPr>
      </w:r>
    </w:p>
    <w:p>
      <w:pPr>
        <w:pStyle w:val="Normal"/>
        <w:spacing w:lineRule="atLeast" w:line="240"/>
        <w:ind w:start="5040" w:end="0"/>
        <w:jc w:val="both"/>
        <w:rPr>
          <w:rFonts w:ascii="Arial Narrow" w:hAnsi="Arial Narrow" w:cs="Arial Narrow"/>
          <w:b/>
          <w:sz w:val="18"/>
        </w:rPr>
      </w:pPr>
      <w:r>
        <w:rPr>
          <w:rFonts w:cs="Arial Narrow" w:ascii="Arial Narrow" w:hAnsi="Arial Narrow"/>
          <w:b/>
          <w:sz w:val="18"/>
        </w:rPr>
      </w:r>
    </w:p>
    <w:p>
      <w:pPr>
        <w:pStyle w:val="Normal"/>
        <w:spacing w:lineRule="atLeast" w:line="240"/>
        <w:ind w:start="5040" w:end="0"/>
        <w:jc w:val="both"/>
        <w:rPr>
          <w:rFonts w:ascii="Arial Narrow" w:hAnsi="Arial Narrow" w:cs="Arial Narrow"/>
          <w:sz w:val="18"/>
        </w:rPr>
      </w:pPr>
      <w:r>
        <w:rPr>
          <w:rFonts w:cs="Arial Narrow" w:ascii="Arial Narrow" w:hAnsi="Arial Narrow"/>
          <w:sz w:val="18"/>
        </w:rPr>
        <w:t xml:space="preserve">By:  </w:t>
      </w:r>
      <w:r>
        <w:rPr>
          <w:rFonts w:cs="Arial Narrow" w:ascii="Arial Narrow" w:hAnsi="Arial Narrow"/>
          <w:sz w:val="18"/>
          <w:u w:val="single"/>
        </w:rPr>
        <w:tab/>
        <w:tab/>
        <w:tab/>
        <w:tab/>
        <w:tab/>
      </w:r>
    </w:p>
    <w:p>
      <w:pPr>
        <w:pStyle w:val="Normal"/>
        <w:spacing w:lineRule="atLeast" w:line="240"/>
        <w:ind w:start="5040" w:end="0"/>
        <w:jc w:val="both"/>
        <w:rPr>
          <w:rFonts w:ascii="Arial Narrow" w:hAnsi="Arial Narrow" w:cs="Arial Narrow"/>
          <w:sz w:val="18"/>
        </w:rPr>
      </w:pPr>
      <w:r>
        <w:rPr>
          <w:rFonts w:cs="Arial Narrow" w:ascii="Arial Narrow" w:hAnsi="Arial Narrow"/>
          <w:sz w:val="18"/>
        </w:rPr>
        <w:t xml:space="preserve">Name:  </w:t>
      </w:r>
      <w:r>
        <w:rPr>
          <w:rFonts w:cs="Arial Narrow" w:ascii="Arial Narrow" w:hAnsi="Arial Narrow"/>
          <w:sz w:val="18"/>
          <w:u w:val="single"/>
        </w:rPr>
        <w:tab/>
        <w:tab/>
        <w:tab/>
        <w:tab/>
        <w:tab/>
      </w:r>
    </w:p>
    <w:p>
      <w:pPr>
        <w:pStyle w:val="Normal"/>
        <w:spacing w:lineRule="atLeast" w:line="240"/>
        <w:ind w:start="5040" w:end="0"/>
        <w:jc w:val="both"/>
        <w:rPr>
          <w:rFonts w:ascii="Arial Narrow" w:hAnsi="Arial Narrow" w:cs="Arial Narrow"/>
          <w:sz w:val="18"/>
        </w:rPr>
      </w:pPr>
      <w:r>
        <w:rPr>
          <w:rFonts w:cs="Arial Narrow" w:ascii="Arial Narrow" w:hAnsi="Arial Narrow"/>
          <w:sz w:val="18"/>
        </w:rPr>
        <w:t xml:space="preserve">Title:  </w:t>
      </w:r>
      <w:r>
        <w:rPr>
          <w:rFonts w:cs="Arial Narrow" w:ascii="Arial Narrow" w:hAnsi="Arial Narrow"/>
          <w:sz w:val="18"/>
          <w:u w:val="single"/>
        </w:rPr>
        <w:tab/>
        <w:tab/>
        <w:tab/>
        <w:tab/>
        <w:tab/>
      </w:r>
    </w:p>
    <w:p>
      <w:p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Header"/>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headerReference w:type="default" r:id="rId12"/>
      <w:headerReference w:type="first" r:id="rId13"/>
      <w:footerReference w:type="default" r:id="rId14"/>
      <w:footerReference w:type="first" r:id="rId15"/>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jc w:val="center"/>
      <w:rPr>
        <w:rFonts w:ascii="Arial Narrow" w:hAnsi="Arial Narrow" w:cs="Arial Narrow"/>
        <w:sz w:val="18"/>
      </w:rPr>
    </w:pPr>
    <w:r>
      <w:rPr>
        <w:rFonts w:cs="Arial Narrow" w:ascii="Arial Narrow" w:hAnsi="Arial Narrow"/>
        <w:sz w:val="18"/>
      </w:rPr>
      <w:t>Annex B</w:t>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2</w:t>
    </w:r>
    <w:r>
      <w:rPr>
        <w:rStyle w:val="PageNumbe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6"/>
      </w:rPr>
    </w:pPr>
    <w:r>
      <w:rPr/>
    </w:r>
  </w:p>
  <w:p>
    <w:pPr>
      <w:pStyle w:val="Footer"/>
      <w:jc w:val="center"/>
      <w:rPr>
        <w:rFonts w:ascii="Arial Narrow" w:hAnsi="Arial Narrow" w:cs="Arial Narrow"/>
        <w:sz w:val="18"/>
      </w:rPr>
    </w:pPr>
    <w:r>
      <w:rPr>
        <w:rStyle w:val="PageNumber"/>
        <w:rFonts w:cs="Arial Narrow" w:ascii="Arial Narrow" w:hAnsi="Arial Narrow"/>
        <w:sz w:val="18"/>
      </w:rPr>
      <w:t>Annex B-1</w:t>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6"/>
      </w:rPr>
    </w:pPr>
    <w:r>
      <w:rPr/>
    </w:r>
  </w:p>
  <w:p>
    <w:pPr>
      <w:pStyle w:val="Footer"/>
      <w:jc w:val="center"/>
      <w:rPr/>
    </w:pPr>
    <w:r>
      <w:rPr>
        <w:rStyle w:val="PageNumber"/>
        <w:rFonts w:cs="Arial Narrow" w:ascii="Arial Narrow" w:hAnsi="Arial Narrow"/>
        <w:sz w:val="18"/>
      </w:rPr>
      <w:t>Annex B-1</w:t>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6"/>
      </w:rPr>
    </w:pPr>
    <w:r>
      <w:rPr/>
    </w:r>
  </w:p>
  <w:p>
    <w:pPr>
      <w:pStyle w:val="Footer"/>
      <w:jc w:val="center"/>
      <w:rPr/>
    </w:pPr>
    <w:r>
      <w:rPr>
        <w:rStyle w:val="PageNumber"/>
        <w:rFonts w:cs="Arial Narrow" w:ascii="Arial Narrow" w:hAnsi="Arial Narrow"/>
        <w:sz w:val="18"/>
      </w:rPr>
      <w:t>Annex B-1</w:t>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9</w:t>
    </w:r>
    <w:r>
      <w:rPr>
        <w:rStyle w:val="PageNumber"/>
        <w:sz w:val="18"/>
        <w:rFonts w:cs="Arial Narrow" w:ascii="Arial Narrow" w:hAnsi="Arial Narrow"/>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2000-06-05T13:49:00Z</dcterms:created>
  <dc:creator>mheard</dc:creator>
  <dc:description/>
  <dc:language>en-CA</dc:language>
  <cp:lastModifiedBy>Souad Mahmassani</cp:lastModifiedBy>
  <cp:lastPrinted>2000-06-12T10:59:00Z</cp:lastPrinted>
  <dcterms:modified xsi:type="dcterms:W3CDTF">2000-06-27T13:23:00Z</dcterms:modified>
  <cp:revision>24</cp:revision>
  <dc:subject/>
  <dc:title>DRAFT OF 10/15/99</dc:title>
</cp:coreProperties>
</file>