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ind w:firstLine="360" w:end="0"/>
        <w:rPr>
          <w:i/>
          <w:i/>
          <w:iCs/>
          <w:color w:val="000000"/>
          <w:sz w:val="28"/>
          <w:szCs w:val="20"/>
        </w:rPr>
      </w:pPr>
      <w:r>
        <w:rPr>
          <w:i/>
          <w:iCs/>
          <w:color w:val="000000"/>
          <w:sz w:val="28"/>
          <w:szCs w:val="20"/>
        </w:rPr>
        <w:t>TO:</w:t>
        <w:tab/>
        <w:t>Ken Lay</w:t>
      </w:r>
    </w:p>
    <w:p>
      <w:pPr>
        <w:pStyle w:val="Normal"/>
        <w:autoSpaceDE w:val="false"/>
        <w:ind w:firstLine="360" w:end="0"/>
        <w:rPr>
          <w:i/>
          <w:i/>
          <w:iCs/>
          <w:color w:val="000000"/>
          <w:sz w:val="28"/>
          <w:szCs w:val="20"/>
        </w:rPr>
      </w:pPr>
      <w:r>
        <w:rPr>
          <w:i/>
          <w:iCs/>
          <w:color w:val="000000"/>
          <w:sz w:val="28"/>
          <w:szCs w:val="20"/>
        </w:rPr>
        <w:t>FROM:</w:t>
        <w:tab/>
        <w:t>Marchris Robinson (713-853-3342)</w:t>
      </w:r>
    </w:p>
    <w:p>
      <w:pPr>
        <w:pStyle w:val="Normal"/>
        <w:autoSpaceDE w:val="false"/>
        <w:ind w:firstLine="360" w:end="0"/>
        <w:rPr>
          <w:i/>
          <w:i/>
          <w:iCs/>
          <w:color w:val="000000"/>
          <w:sz w:val="28"/>
          <w:szCs w:val="20"/>
        </w:rPr>
      </w:pPr>
      <w:r>
        <w:rPr>
          <w:i/>
          <w:iCs/>
          <w:color w:val="000000"/>
          <w:sz w:val="28"/>
          <w:szCs w:val="20"/>
        </w:rPr>
        <w:tab/>
        <w:tab/>
        <w:t>Jim Steffes (713-853-7673)</w:t>
      </w:r>
    </w:p>
    <w:p>
      <w:pPr>
        <w:pStyle w:val="Normal"/>
        <w:autoSpaceDE w:val="false"/>
        <w:ind w:firstLine="360" w:end="0"/>
        <w:rPr>
          <w:i/>
          <w:i/>
          <w:iCs/>
          <w:color w:val="000000"/>
          <w:sz w:val="28"/>
          <w:szCs w:val="20"/>
        </w:rPr>
      </w:pPr>
      <w:r>
        <w:rPr>
          <w:i/>
          <w:iCs/>
          <w:color w:val="000000"/>
          <w:sz w:val="28"/>
          <w:szCs w:val="20"/>
        </w:rPr>
        <w:t>DATE:</w:t>
        <w:tab/>
        <w:t>April 16, 2001</w:t>
      </w:r>
    </w:p>
    <w:p>
      <w:pPr>
        <w:pStyle w:val="Normal"/>
        <w:autoSpaceDE w:val="false"/>
        <w:ind w:firstLine="360" w:end="0"/>
        <w:rPr>
          <w:i/>
          <w:i/>
          <w:iCs/>
          <w:color w:val="000000"/>
          <w:sz w:val="28"/>
          <w:szCs w:val="20"/>
        </w:rPr>
      </w:pPr>
      <w:r>
        <w:rPr>
          <w:i/>
          <w:iCs/>
          <w:color w:val="000000"/>
          <w:sz w:val="28"/>
          <w:szCs w:val="20"/>
        </w:rPr>
        <w:t>RE:</w:t>
        <w:tab/>
        <w:t>Florida Summary</w:t>
      </w:r>
    </w:p>
    <w:p>
      <w:pPr>
        <w:pStyle w:val="Normal"/>
        <w:autoSpaceDE w:val="false"/>
        <w:ind w:firstLine="360" w:end="0"/>
        <w:rPr>
          <w:b/>
          <w:bCs/>
          <w:i/>
          <w:i/>
          <w:iCs/>
          <w:color w:val="000000"/>
          <w:sz w:val="28"/>
          <w:szCs w:val="20"/>
          <w:u w:val="single"/>
        </w:rPr>
      </w:pPr>
      <w:r>
        <w:rPr>
          <w:b/>
          <w:bCs/>
          <w:i/>
          <w:iCs/>
          <w:color w:val="000000"/>
          <w:sz w:val="28"/>
          <w:szCs w:val="20"/>
          <w:u w:val="single"/>
        </w:rPr>
      </w:r>
    </w:p>
    <w:p>
      <w:pPr>
        <w:pStyle w:val="Normal"/>
        <w:autoSpaceDE w:val="false"/>
        <w:ind w:firstLine="360" w:end="0"/>
        <w:rPr>
          <w:b/>
          <w:bCs/>
          <w:color w:val="000000"/>
          <w:sz w:val="28"/>
          <w:szCs w:val="20"/>
        </w:rPr>
      </w:pPr>
      <w:r>
        <w:rPr>
          <w:b/>
          <w:bCs/>
          <w:color w:val="000000"/>
          <w:sz w:val="28"/>
          <w:szCs w:val="20"/>
        </w:rPr>
        <w:t>To reach Governor Bush, please call his office at 850-488-1809.</w:t>
      </w:r>
    </w:p>
    <w:p>
      <w:pPr>
        <w:pStyle w:val="Normal"/>
        <w:autoSpaceDE w:val="false"/>
        <w:ind w:firstLine="360" w:end="0"/>
        <w:rPr>
          <w:b/>
          <w:bCs/>
          <w:color w:val="000000"/>
          <w:sz w:val="28"/>
          <w:szCs w:val="20"/>
          <w:u w:val="single"/>
        </w:rPr>
      </w:pPr>
      <w:r>
        <w:rPr>
          <w:b/>
          <w:bCs/>
          <w:color w:val="000000"/>
          <w:sz w:val="28"/>
          <w:szCs w:val="20"/>
          <w:u w:val="single"/>
        </w:rPr>
      </w:r>
    </w:p>
    <w:p>
      <w:pPr>
        <w:pStyle w:val="Normal"/>
        <w:autoSpaceDE w:val="false"/>
        <w:ind w:firstLine="360" w:end="0"/>
        <w:rPr>
          <w:b/>
          <w:bCs/>
          <w:color w:val="000000"/>
          <w:sz w:val="28"/>
          <w:szCs w:val="20"/>
          <w:u w:val="single"/>
        </w:rPr>
      </w:pPr>
      <w:r>
        <w:rPr>
          <w:b/>
          <w:bCs/>
          <w:color w:val="000000"/>
          <w:sz w:val="28"/>
          <w:szCs w:val="20"/>
          <w:u w:val="single"/>
        </w:rPr>
      </w:r>
    </w:p>
    <w:p>
      <w:pPr>
        <w:pStyle w:val="Normal"/>
        <w:autoSpaceDE w:val="false"/>
        <w:ind w:firstLine="360" w:end="0"/>
        <w:rPr>
          <w:b/>
          <w:bCs/>
          <w:color w:val="000000"/>
          <w:sz w:val="28"/>
          <w:szCs w:val="20"/>
          <w:u w:val="single"/>
        </w:rPr>
      </w:pPr>
      <w:r>
        <w:rPr>
          <w:b/>
          <w:bCs/>
          <w:color w:val="000000"/>
          <w:sz w:val="28"/>
          <w:szCs w:val="20"/>
          <w:u w:val="single"/>
        </w:rPr>
        <w:t>Background</w:t>
      </w:r>
    </w:p>
    <w:p>
      <w:pPr>
        <w:pStyle w:val="BodyTextIndent2"/>
        <w:rPr>
          <w:b/>
          <w:bCs/>
          <w:color w:val="000000"/>
          <w:sz w:val="28"/>
          <w:szCs w:val="20"/>
          <w:u w:val="single"/>
        </w:rPr>
      </w:pPr>
      <w:r>
        <w:rPr>
          <w:b/>
          <w:bCs/>
          <w:color w:val="000000"/>
          <w:sz w:val="28"/>
          <w:szCs w:val="20"/>
          <w:u w:val="single"/>
        </w:rPr>
      </w:r>
    </w:p>
    <w:p>
      <w:pPr>
        <w:pStyle w:val="BodyTextIndent2"/>
        <w:rPr/>
      </w:pPr>
      <w:r>
        <w:rPr/>
        <w:t xml:space="preserve">Florida law does not allow the development of merchant combined-cycle power plants.  Florida siting law requires a certificate of need to build a plant over 75 MW that has a steam component (only certificated Utilities can obtain this CCN).  </w:t>
      </w:r>
    </w:p>
    <w:p>
      <w:pPr>
        <w:pStyle w:val="Normal"/>
        <w:rPr>
          <w:sz w:val="28"/>
          <w:u w:val="single"/>
        </w:rPr>
      </w:pPr>
      <w:r>
        <w:rPr>
          <w:sz w:val="28"/>
          <w:u w:val="single"/>
        </w:rPr>
      </w:r>
    </w:p>
    <w:p>
      <w:pPr>
        <w:pStyle w:val="Normal"/>
        <w:autoSpaceDE w:val="false"/>
        <w:ind w:start="360" w:end="0"/>
        <w:rPr>
          <w:color w:val="000000"/>
          <w:sz w:val="28"/>
          <w:szCs w:val="20"/>
        </w:rPr>
      </w:pPr>
      <w:r>
        <w:rPr>
          <w:color w:val="000000"/>
          <w:sz w:val="28"/>
          <w:szCs w:val="20"/>
        </w:rPr>
        <w:t>No retail electricity customer has direct access to competitive suppliers in Florida.</w:t>
      </w:r>
    </w:p>
    <w:p>
      <w:pPr>
        <w:pStyle w:val="Normal"/>
        <w:autoSpaceDE w:val="false"/>
        <w:rPr>
          <w:color w:val="000000"/>
          <w:sz w:val="28"/>
          <w:szCs w:val="20"/>
        </w:rPr>
      </w:pPr>
      <w:r>
        <w:rPr>
          <w:color w:val="000000"/>
          <w:sz w:val="28"/>
          <w:szCs w:val="20"/>
        </w:rPr>
      </w:r>
    </w:p>
    <w:p>
      <w:pPr>
        <w:pStyle w:val="BodyTextIndent"/>
        <w:autoSpaceDE w:val="true"/>
        <w:rPr>
          <w:rFonts w:ascii="Times New Roman" w:hAnsi="Times New Roman" w:cs="Times New Roman"/>
          <w:sz w:val="28"/>
        </w:rPr>
      </w:pPr>
      <w:r>
        <w:rPr>
          <w:rFonts w:cs="Times New Roman" w:ascii="Times New Roman" w:hAnsi="Times New Roman"/>
          <w:sz w:val="28"/>
        </w:rPr>
        <w:t>Deregulation of retail natural gas sales in Florida began 1-2 years ago. Residents not yet included in that deregulation.</w:t>
      </w:r>
    </w:p>
    <w:p>
      <w:pPr>
        <w:pStyle w:val="Normal"/>
        <w:rPr>
          <w:rFonts w:ascii="Times New Roman" w:hAnsi="Times New Roman" w:cs="Times New Roman"/>
          <w:sz w:val="28"/>
          <w:u w:val="single"/>
        </w:rPr>
      </w:pPr>
      <w:r>
        <w:rPr>
          <w:rFonts w:cs="Times New Roman"/>
          <w:sz w:val="28"/>
          <w:u w:val="single"/>
        </w:rPr>
      </w:r>
    </w:p>
    <w:p>
      <w:pPr>
        <w:pStyle w:val="Normal"/>
        <w:autoSpaceDE w:val="false"/>
        <w:ind w:firstLine="360" w:end="0"/>
        <w:rPr>
          <w:b/>
          <w:bCs/>
          <w:color w:val="000000"/>
          <w:sz w:val="28"/>
          <w:szCs w:val="20"/>
          <w:u w:val="single"/>
        </w:rPr>
      </w:pPr>
      <w:r>
        <w:rPr>
          <w:b/>
          <w:bCs/>
          <w:color w:val="000000"/>
          <w:sz w:val="28"/>
          <w:szCs w:val="20"/>
          <w:u w:val="single"/>
        </w:rPr>
        <w:t>How did we get here?</w:t>
      </w:r>
    </w:p>
    <w:p>
      <w:pPr>
        <w:pStyle w:val="Normal"/>
        <w:autoSpaceDE w:val="false"/>
        <w:ind w:firstLine="360" w:end="0"/>
        <w:rPr>
          <w:b/>
          <w:bCs/>
          <w:color w:val="000000"/>
          <w:sz w:val="28"/>
          <w:szCs w:val="20"/>
          <w:u w:val="single"/>
        </w:rPr>
      </w:pPr>
      <w:r>
        <w:rPr>
          <w:b/>
          <w:bCs/>
          <w:color w:val="000000"/>
          <w:sz w:val="28"/>
          <w:szCs w:val="20"/>
          <w:u w:val="single"/>
        </w:rPr>
      </w:r>
    </w:p>
    <w:p>
      <w:pPr>
        <w:pStyle w:val="Normal"/>
        <w:autoSpaceDE w:val="false"/>
        <w:ind w:start="360" w:end="0"/>
        <w:rPr>
          <w:color w:val="000000"/>
          <w:sz w:val="28"/>
          <w:szCs w:val="20"/>
        </w:rPr>
      </w:pPr>
      <w:r>
        <w:rPr>
          <w:color w:val="000000"/>
          <w:sz w:val="28"/>
          <w:szCs w:val="20"/>
        </w:rPr>
        <w:t xml:space="preserve">On March 22, 1999, the Florida Public Service Commission (“FPSC”) granted a petition for determination of need for the Duke project in New Smyrna, the first application for merchant plant status in Florida (by a vote of 3-2).  </w:t>
      </w:r>
    </w:p>
    <w:p>
      <w:pPr>
        <w:pStyle w:val="Normal"/>
        <w:autoSpaceDE w:val="false"/>
        <w:rPr>
          <w:color w:val="000000"/>
          <w:sz w:val="28"/>
          <w:szCs w:val="20"/>
        </w:rPr>
      </w:pPr>
      <w:r>
        <w:rPr>
          <w:color w:val="000000"/>
          <w:sz w:val="28"/>
          <w:szCs w:val="20"/>
        </w:rPr>
        <w:t xml:space="preserve">      </w:t>
      </w:r>
    </w:p>
    <w:p>
      <w:pPr>
        <w:pStyle w:val="Normal"/>
        <w:autoSpaceDE w:val="false"/>
        <w:ind w:start="360" w:end="0"/>
        <w:rPr>
          <w:sz w:val="28"/>
        </w:rPr>
      </w:pPr>
      <w:r>
        <w:rPr>
          <w:sz w:val="28"/>
        </w:rPr>
        <w:t xml:space="preserve">The three major Florida IOUs (FP&amp;L, FPC, and TECO) appealed the FPSC decision on the grounds that Duke was not a proper applicant because Duke was not a regulated utility with an obligation to serve retail customers in Florida. </w:t>
      </w:r>
    </w:p>
    <w:p>
      <w:pPr>
        <w:pStyle w:val="Normal"/>
        <w:autoSpaceDE w:val="false"/>
        <w:ind w:start="360" w:end="0"/>
        <w:rPr>
          <w:sz w:val="28"/>
        </w:rPr>
      </w:pPr>
      <w:r>
        <w:rPr>
          <w:sz w:val="28"/>
        </w:rPr>
      </w:r>
    </w:p>
    <w:p>
      <w:pPr>
        <w:pStyle w:val="Normal"/>
        <w:autoSpaceDE w:val="false"/>
        <w:ind w:start="360" w:end="0"/>
        <w:rPr/>
      </w:pPr>
      <w:r>
        <w:rPr>
          <w:sz w:val="28"/>
        </w:rPr>
        <w:t xml:space="preserve">The Florida Supreme Court agreed and reversed the FPSC’s decision holding that the FPSC exceeded its authority in granting the determination of need (the </w:t>
      </w:r>
      <w:r>
        <w:rPr>
          <w:color w:val="000000"/>
          <w:sz w:val="28"/>
          <w:szCs w:val="20"/>
        </w:rPr>
        <w:t xml:space="preserve">Duke / New Smyrna Court Case).  [The </w:t>
      </w:r>
      <w:r>
        <w:rPr>
          <w:sz w:val="28"/>
        </w:rPr>
        <w:t>Opinion was issued April 20 2000. A revised opinion was issued September 28, 2000 that did not materially change opinion.]</w:t>
      </w:r>
    </w:p>
    <w:p>
      <w:pPr>
        <w:pStyle w:val="BodyTextIndent"/>
        <w:rPr>
          <w:rFonts w:ascii="Times New Roman" w:hAnsi="Times New Roman" w:cs="Times New Roman"/>
          <w:sz w:val="28"/>
        </w:rPr>
      </w:pPr>
      <w:r>
        <w:rPr>
          <w:rFonts w:cs="Times New Roman" w:ascii="Times New Roman" w:hAnsi="Times New Roman"/>
          <w:sz w:val="28"/>
        </w:rPr>
      </w:r>
    </w:p>
    <w:p>
      <w:pPr>
        <w:pStyle w:val="BodyTextIndent"/>
        <w:rPr>
          <w:rFonts w:ascii="Times New Roman" w:hAnsi="Times New Roman" w:cs="Times New Roman"/>
          <w:sz w:val="28"/>
        </w:rPr>
      </w:pPr>
      <w:r>
        <w:rPr>
          <w:rFonts w:cs="Times New Roman" w:ascii="Times New Roman" w:hAnsi="Times New Roman"/>
          <w:sz w:val="28"/>
        </w:rPr>
        <w:t>The Florida Court decision has effectively stopped all combined-cycle natural gas-fired merchant plant development.</w:t>
      </w:r>
    </w:p>
    <w:p>
      <w:pPr>
        <w:pStyle w:val="Normal"/>
        <w:rPr>
          <w:rFonts w:ascii="Times New Roman" w:hAnsi="Times New Roman" w:cs="Times New Roman"/>
          <w:sz w:val="28"/>
          <w:u w:val="single"/>
        </w:rPr>
      </w:pPr>
      <w:r>
        <w:rPr>
          <w:rFonts w:cs="Times New Roman"/>
          <w:sz w:val="28"/>
          <w:u w:val="single"/>
        </w:rPr>
      </w:r>
    </w:p>
    <w:p>
      <w:pPr>
        <w:pStyle w:val="Normal"/>
        <w:rPr>
          <w:b/>
          <w:bCs/>
          <w:sz w:val="28"/>
        </w:rPr>
      </w:pPr>
      <w:r>
        <w:rPr>
          <w:b/>
          <w:bCs/>
          <w:sz w:val="28"/>
          <w:u w:val="single"/>
        </w:rPr>
        <w:t>What happened in the 2000 Legislature?</w:t>
      </w:r>
    </w:p>
    <w:p>
      <w:pPr>
        <w:pStyle w:val="Normal"/>
        <w:rPr>
          <w:b/>
          <w:bCs/>
          <w:sz w:val="28"/>
        </w:rPr>
      </w:pPr>
      <w:r>
        <w:rPr>
          <w:b/>
          <w:bCs/>
          <w:sz w:val="28"/>
        </w:rPr>
      </w:r>
    </w:p>
    <w:p>
      <w:pPr>
        <w:pStyle w:val="Normal"/>
        <w:numPr>
          <w:ilvl w:val="0"/>
          <w:numId w:val="2"/>
        </w:numPr>
        <w:rPr>
          <w:sz w:val="28"/>
        </w:rPr>
      </w:pPr>
      <w:r>
        <w:rPr>
          <w:sz w:val="28"/>
        </w:rPr>
        <w:t>Senator Lee, a substantive committee chairman, sought to establish a commission to study restructuring in Florida. Senator Lee's legislation did not pass. Opposition from the IOUs was very strong, as predicted.</w:t>
      </w:r>
    </w:p>
    <w:p>
      <w:pPr>
        <w:pStyle w:val="Normal"/>
        <w:ind w:start="360" w:end="0"/>
        <w:rPr>
          <w:sz w:val="28"/>
        </w:rPr>
      </w:pPr>
      <w:r>
        <w:rPr>
          <w:sz w:val="28"/>
        </w:rPr>
        <w:t xml:space="preserve"> </w:t>
      </w:r>
    </w:p>
    <w:p>
      <w:pPr>
        <w:pStyle w:val="Normal"/>
        <w:numPr>
          <w:ilvl w:val="0"/>
          <w:numId w:val="2"/>
        </w:numPr>
        <w:rPr>
          <w:sz w:val="28"/>
        </w:rPr>
      </w:pPr>
      <w:r>
        <w:rPr>
          <w:sz w:val="28"/>
        </w:rPr>
        <w:t xml:space="preserve">Governor Bush responded by establishing, through Executive Order, the Energy 2020 Study Commission. </w:t>
      </w:r>
    </w:p>
    <w:p>
      <w:pPr>
        <w:pStyle w:val="Normal"/>
        <w:rPr>
          <w:sz w:val="28"/>
        </w:rPr>
      </w:pPr>
      <w:r>
        <w:rPr>
          <w:sz w:val="28"/>
        </w:rPr>
      </w:r>
    </w:p>
    <w:p>
      <w:pPr>
        <w:pStyle w:val="Normal"/>
        <w:numPr>
          <w:ilvl w:val="0"/>
          <w:numId w:val="2"/>
        </w:numPr>
        <w:rPr>
          <w:sz w:val="28"/>
        </w:rPr>
      </w:pPr>
      <w:r>
        <w:rPr>
          <w:sz w:val="28"/>
        </w:rPr>
        <w:t>The Energy 2020 Study Commission was established to "determine what Florida's electric energy needs will be over the next 20 years and how best to supply those needs in an efficient, affordable, and reliable manner, while ensuring adequate electric reserves".  The Study Commission must issue its final report no later than December 1, 2001.</w:t>
      </w:r>
    </w:p>
    <w:p>
      <w:pPr>
        <w:pStyle w:val="Normal"/>
        <w:rPr>
          <w:b/>
          <w:bCs/>
          <w:sz w:val="28"/>
          <w:u w:val="single"/>
        </w:rPr>
      </w:pPr>
      <w:r>
        <w:rPr>
          <w:b/>
          <w:bCs/>
          <w:sz w:val="28"/>
          <w:u w:val="single"/>
        </w:rPr>
      </w:r>
    </w:p>
    <w:p>
      <w:pPr>
        <w:pStyle w:val="Normal"/>
        <w:rPr/>
      </w:pPr>
      <w:r>
        <w:rPr>
          <w:b/>
          <w:bCs/>
          <w:sz w:val="28"/>
          <w:u w:val="single"/>
        </w:rPr>
        <w:t>What is happening in the 2001 Legislature</w:t>
      </w:r>
      <w:r>
        <w:rPr>
          <w:b/>
          <w:bCs/>
          <w:sz w:val="28"/>
        </w:rPr>
        <w:t>?</w:t>
      </w:r>
    </w:p>
    <w:p>
      <w:pPr>
        <w:pStyle w:val="Normal"/>
        <w:rPr>
          <w:b/>
          <w:bCs/>
          <w:sz w:val="28"/>
        </w:rPr>
      </w:pPr>
      <w:r>
        <w:rPr>
          <w:b/>
          <w:bCs/>
          <w:sz w:val="28"/>
        </w:rPr>
      </w:r>
    </w:p>
    <w:p>
      <w:pPr>
        <w:pStyle w:val="Normal"/>
        <w:numPr>
          <w:ilvl w:val="0"/>
          <w:numId w:val="2"/>
        </w:numPr>
        <w:rPr>
          <w:sz w:val="28"/>
        </w:rPr>
      </w:pPr>
      <w:r>
        <w:rPr>
          <w:sz w:val="28"/>
        </w:rPr>
        <w:t>The 2020 Commission has developed favorable interim recommendations regarding wholesale restructuring, including removing the prohibition on merchant power plants.  They have one more year to consider retail restructuring and other energy matters.</w:t>
      </w:r>
    </w:p>
    <w:p>
      <w:pPr>
        <w:pStyle w:val="Normal"/>
        <w:rPr>
          <w:sz w:val="28"/>
        </w:rPr>
      </w:pPr>
      <w:r>
        <w:rPr>
          <w:sz w:val="28"/>
        </w:rPr>
      </w:r>
    </w:p>
    <w:p>
      <w:pPr>
        <w:pStyle w:val="Normal"/>
        <w:numPr>
          <w:ilvl w:val="0"/>
          <w:numId w:val="4"/>
        </w:numPr>
        <w:rPr>
          <w:sz w:val="28"/>
        </w:rPr>
      </w:pPr>
      <w:r>
        <w:rPr>
          <w:sz w:val="28"/>
        </w:rPr>
        <w:t xml:space="preserve">The 2020 recommendation were the basis for proposed legislation. Both the IOUs and IPPs supported the 2020 recommendations and legislation based on the Study.  </w:t>
      </w:r>
    </w:p>
    <w:p>
      <w:pPr>
        <w:pStyle w:val="Normal"/>
        <w:rPr>
          <w:sz w:val="28"/>
        </w:rPr>
      </w:pPr>
      <w:r>
        <w:rPr>
          <w:sz w:val="28"/>
        </w:rPr>
      </w:r>
    </w:p>
    <w:p>
      <w:pPr>
        <w:pStyle w:val="Normal"/>
        <w:numPr>
          <w:ilvl w:val="0"/>
          <w:numId w:val="4"/>
        </w:numPr>
        <w:rPr>
          <w:sz w:val="28"/>
        </w:rPr>
      </w:pPr>
      <w:r>
        <w:rPr>
          <w:sz w:val="28"/>
        </w:rPr>
        <w:t>The proposed bill provides for an end to the restriction on merchant power plants (with slight oversight from the Florida PSC on merchant generators).  The bill also provides for the transfer of IOU generation to competitive affiliates at book value.  The residual distribution utility would have the ability to buy from the competitive generation affiliate for 5 years at cost-based rates.  The bill does not address any issues with retail competition.</w:t>
      </w:r>
    </w:p>
    <w:p>
      <w:pPr>
        <w:pStyle w:val="Normal"/>
        <w:rPr>
          <w:sz w:val="28"/>
        </w:rPr>
      </w:pPr>
      <w:r>
        <w:rPr>
          <w:sz w:val="28"/>
        </w:rPr>
      </w:r>
    </w:p>
    <w:p>
      <w:pPr>
        <w:pStyle w:val="Normal"/>
        <w:numPr>
          <w:ilvl w:val="0"/>
          <w:numId w:val="4"/>
        </w:numPr>
        <w:rPr>
          <w:sz w:val="28"/>
        </w:rPr>
      </w:pPr>
      <w:r>
        <w:rPr>
          <w:sz w:val="28"/>
        </w:rPr>
        <w:t>Even with such broad support, both Governor Bush and the legislative leadership adopted a neutral stance on the legislation. Without the Governor’s leadership, the Republican-led legislature will not act on what they perceive to be a difficult political issue.</w:t>
      </w:r>
    </w:p>
    <w:p>
      <w:pPr>
        <w:pStyle w:val="Normal"/>
        <w:rPr>
          <w:sz w:val="28"/>
        </w:rPr>
      </w:pPr>
      <w:r>
        <w:rPr>
          <w:sz w:val="28"/>
        </w:rPr>
      </w:r>
    </w:p>
    <w:p>
      <w:pPr>
        <w:pStyle w:val="Normal"/>
        <w:numPr>
          <w:ilvl w:val="0"/>
          <w:numId w:val="4"/>
        </w:numPr>
        <w:rPr>
          <w:sz w:val="28"/>
        </w:rPr>
      </w:pPr>
      <w:r>
        <w:rPr>
          <w:sz w:val="28"/>
        </w:rPr>
        <w:t>Both the Governor and the legislature were dissuaded in their support for the restructuring by the public reaction to the “California problem.”   The Florida PSC continues to state that reliability problems are not an issue given the reserve margins on generation capacity (the reserve margin is currently established at 20% pursuant to a Settlement filed by the IOUs before the FPSC, although at least 5% of that reserve margin is interruptible load and not power plants).</w:t>
      </w:r>
    </w:p>
    <w:p>
      <w:pPr>
        <w:pStyle w:val="Normal"/>
        <w:rPr>
          <w:sz w:val="28"/>
        </w:rPr>
      </w:pPr>
      <w:r>
        <w:rPr>
          <w:sz w:val="28"/>
        </w:rPr>
      </w:r>
    </w:p>
    <w:p>
      <w:pPr>
        <w:pStyle w:val="Normal"/>
        <w:rPr/>
      </w:pPr>
      <w:r>
        <w:rPr>
          <w:b/>
          <w:bCs/>
          <w:sz w:val="28"/>
          <w:u w:val="single"/>
        </w:rPr>
        <w:t>What may happen in the 2002 Legislature</w:t>
      </w:r>
      <w:r>
        <w:rPr>
          <w:b/>
          <w:bCs/>
          <w:sz w:val="28"/>
        </w:rPr>
        <w:t>?</w:t>
      </w:r>
    </w:p>
    <w:p>
      <w:pPr>
        <w:pStyle w:val="Normal"/>
        <w:rPr>
          <w:b/>
          <w:bCs/>
          <w:sz w:val="28"/>
        </w:rPr>
      </w:pPr>
      <w:r>
        <w:rPr>
          <w:b/>
          <w:bCs/>
          <w:sz w:val="28"/>
        </w:rPr>
      </w:r>
    </w:p>
    <w:p>
      <w:pPr>
        <w:pStyle w:val="Normal"/>
        <w:numPr>
          <w:ilvl w:val="0"/>
          <w:numId w:val="3"/>
        </w:numPr>
        <w:rPr>
          <w:b/>
          <w:bCs/>
          <w:sz w:val="28"/>
        </w:rPr>
      </w:pPr>
      <w:r>
        <w:rPr>
          <w:sz w:val="28"/>
        </w:rPr>
        <w:t>In 2002, Florida's legislators will face both reapportionment and a November election. Passing anything will be difficult in that environment.</w:t>
      </w:r>
    </w:p>
    <w:p>
      <w:pPr>
        <w:pStyle w:val="Normal"/>
        <w:rPr>
          <w:b/>
          <w:bCs/>
          <w:sz w:val="28"/>
        </w:rPr>
      </w:pPr>
      <w:r>
        <w:rPr>
          <w:b/>
          <w:bCs/>
          <w:sz w:val="28"/>
        </w:rPr>
      </w:r>
    </w:p>
    <w:p>
      <w:pPr>
        <w:pStyle w:val="Normal"/>
        <w:rPr>
          <w:b/>
          <w:bCs/>
          <w:sz w:val="28"/>
          <w:u w:val="single"/>
        </w:rPr>
      </w:pPr>
      <w:r>
        <w:rPr>
          <w:b/>
          <w:bCs/>
          <w:sz w:val="28"/>
          <w:u w:val="single"/>
        </w:rPr>
        <w:t>Our Request:</w:t>
      </w:r>
    </w:p>
    <w:p>
      <w:pPr>
        <w:pStyle w:val="Normal"/>
        <w:ind w:start="435" w:end="0"/>
        <w:rPr>
          <w:b/>
          <w:bCs/>
          <w:sz w:val="28"/>
          <w:u w:val="single"/>
        </w:rPr>
      </w:pPr>
      <w:r>
        <w:rPr>
          <w:b/>
          <w:bCs/>
          <w:sz w:val="28"/>
          <w:u w:val="single"/>
        </w:rPr>
      </w:r>
    </w:p>
    <w:p>
      <w:pPr>
        <w:pStyle w:val="Normal"/>
        <w:numPr>
          <w:ilvl w:val="0"/>
          <w:numId w:val="3"/>
        </w:numPr>
        <w:rPr>
          <w:b/>
          <w:bCs/>
          <w:sz w:val="28"/>
        </w:rPr>
      </w:pPr>
      <w:r>
        <w:rPr>
          <w:sz w:val="28"/>
        </w:rPr>
        <w:t>Now is the time for the Governor to work toward ending the restriction on the construction of efficient natural gas-fired generation plants in Florida.</w:t>
      </w:r>
    </w:p>
    <w:p>
      <w:pPr>
        <w:pStyle w:val="Normal"/>
        <w:ind w:start="75" w:end="0"/>
        <w:rPr>
          <w:b/>
          <w:bCs/>
          <w:sz w:val="28"/>
        </w:rPr>
      </w:pPr>
      <w:r>
        <w:rPr>
          <w:b/>
          <w:bCs/>
          <w:sz w:val="28"/>
        </w:rPr>
      </w:r>
    </w:p>
    <w:p>
      <w:pPr>
        <w:pStyle w:val="Normal"/>
        <w:numPr>
          <w:ilvl w:val="0"/>
          <w:numId w:val="3"/>
        </w:numPr>
        <w:rPr>
          <w:b/>
          <w:bCs/>
          <w:sz w:val="28"/>
        </w:rPr>
      </w:pPr>
      <w:r>
        <w:rPr>
          <w:sz w:val="28"/>
        </w:rPr>
        <w:t>Merchant generation makes tremendous sense for Florida – companies are building and investing millions of $ at the risk of their shareholders and not paid for by Florida consumers.</w:t>
      </w:r>
      <w:r>
        <w:rPr>
          <w:b/>
          <w:bCs/>
          <w:sz w:val="28"/>
        </w:rPr>
        <w:t xml:space="preserve"> </w:t>
      </w:r>
    </w:p>
    <w:p>
      <w:pPr>
        <w:pStyle w:val="Normal"/>
        <w:ind w:start="435" w:end="0"/>
        <w:rPr>
          <w:b/>
          <w:bCs/>
          <w:sz w:val="28"/>
        </w:rPr>
      </w:pPr>
      <w:r>
        <w:rPr>
          <w:b/>
          <w:bCs/>
          <w:sz w:val="28"/>
        </w:rPr>
      </w:r>
    </w:p>
    <w:p>
      <w:pPr>
        <w:pStyle w:val="Normal"/>
        <w:numPr>
          <w:ilvl w:val="0"/>
          <w:numId w:val="3"/>
        </w:numPr>
        <w:rPr>
          <w:b/>
          <w:bCs/>
          <w:sz w:val="28"/>
        </w:rPr>
      </w:pPr>
      <w:r>
        <w:rPr>
          <w:sz w:val="28"/>
        </w:rPr>
        <w:t>Whether by encouraging the 2020 legislation, or by other appropriate legislation, Governor Bush's assistance is needed now. (Note – the IOUs will most likely oppose any legislation that removes the merchant generation restriction without providing for Utility generation transfer.)</w:t>
      </w:r>
    </w:p>
    <w:p>
      <w:pPr>
        <w:pStyle w:val="Normal"/>
        <w:rPr>
          <w:b/>
          <w:bCs/>
          <w:sz w:val="28"/>
        </w:rPr>
      </w:pPr>
      <w:r>
        <w:rPr>
          <w:b/>
          <w:bCs/>
          <w:sz w:val="28"/>
        </w:rPr>
      </w:r>
    </w:p>
    <w:p>
      <w:pPr>
        <w:pStyle w:val="Normal"/>
        <w:numPr>
          <w:ilvl w:val="0"/>
          <w:numId w:val="3"/>
        </w:numPr>
        <w:rPr>
          <w:b/>
          <w:bCs/>
          <w:sz w:val="28"/>
        </w:rPr>
      </w:pPr>
      <w:r>
        <w:rPr>
          <w:sz w:val="28"/>
        </w:rPr>
        <w:t>Of course, Florida needs to move ahead with retail competition in the near term, although the focus now must be on getting the wholesale market moving ahead.</w:t>
      </w:r>
    </w:p>
    <w:p>
      <w:pPr>
        <w:pStyle w:val="Normal"/>
        <w:rPr>
          <w:b/>
          <w:bCs/>
          <w:sz w:val="28"/>
        </w:rPr>
      </w:pPr>
      <w:r>
        <w:rPr>
          <w:b/>
          <w:bCs/>
          <w:sz w:val="28"/>
        </w:rPr>
      </w:r>
    </w:p>
    <w:p>
      <w:pPr>
        <w:pStyle w:val="Normal"/>
        <w:rPr>
          <w:b/>
          <w:bCs/>
          <w:sz w:val="28"/>
          <w:u w:val="single"/>
        </w:rPr>
      </w:pPr>
      <w:r>
        <w:rPr>
          <w:b/>
          <w:bCs/>
          <w:sz w:val="28"/>
          <w:u w:val="single"/>
        </w:rPr>
        <w:t>Why Now:</w:t>
      </w:r>
    </w:p>
    <w:p>
      <w:pPr>
        <w:pStyle w:val="Normal"/>
        <w:rPr>
          <w:b/>
          <w:bCs/>
          <w:sz w:val="28"/>
          <w:u w:val="single"/>
        </w:rPr>
      </w:pPr>
      <w:r>
        <w:rPr>
          <w:b/>
          <w:bCs/>
          <w:sz w:val="28"/>
          <w:u w:val="single"/>
        </w:rPr>
      </w:r>
    </w:p>
    <w:p>
      <w:pPr>
        <w:pStyle w:val="Normal"/>
        <w:numPr>
          <w:ilvl w:val="0"/>
          <w:numId w:val="2"/>
        </w:numPr>
        <w:autoSpaceDE w:val="false"/>
        <w:rPr>
          <w:sz w:val="28"/>
          <w:szCs w:val="17"/>
        </w:rPr>
      </w:pPr>
      <w:r>
        <w:rPr>
          <w:sz w:val="28"/>
          <w:szCs w:val="17"/>
        </w:rPr>
        <w:t>The problems in California and the West may worsen over the summer making it more difficult to pass needed legislation in Florida next year.</w:t>
      </w:r>
    </w:p>
    <w:p>
      <w:pPr>
        <w:pStyle w:val="Normal"/>
        <w:autoSpaceDE w:val="false"/>
        <w:ind w:start="360" w:end="0"/>
        <w:rPr>
          <w:sz w:val="28"/>
          <w:szCs w:val="17"/>
        </w:rPr>
      </w:pPr>
      <w:r>
        <w:rPr>
          <w:sz w:val="28"/>
          <w:szCs w:val="17"/>
        </w:rPr>
      </w:r>
    </w:p>
    <w:p>
      <w:pPr>
        <w:pStyle w:val="Normal"/>
        <w:numPr>
          <w:ilvl w:val="0"/>
          <w:numId w:val="2"/>
        </w:numPr>
        <w:autoSpaceDE w:val="false"/>
        <w:rPr>
          <w:sz w:val="28"/>
          <w:szCs w:val="17"/>
        </w:rPr>
      </w:pPr>
      <w:r>
        <w:rPr>
          <w:sz w:val="28"/>
          <w:szCs w:val="17"/>
        </w:rPr>
        <w:t xml:space="preserve">It takes two key reforms to create a viable and competitive wholesale market – transmission open access and merchant generation.  FERC has approved the creation of a Regional Transmission Organization (“RTO”) in Florida called “Grid Florida”.  Grid Florida is being designed to operate in a non-discriminatory manner.  By passing a merchant generation bill in 2001, the second key element to the establishment of a viable wholesale market will occur.  If legislation is postponed, the competitive wholesale market will not develop.  This will be cited by enemies of competition as further evidence of the inefficiency of competition in electric generation and transmission.  </w:t>
      </w:r>
    </w:p>
    <w:p>
      <w:pPr>
        <w:pStyle w:val="Normal"/>
        <w:autoSpaceDE w:val="false"/>
        <w:rPr>
          <w:sz w:val="28"/>
          <w:szCs w:val="17"/>
        </w:rPr>
      </w:pPr>
      <w:r>
        <w:rPr>
          <w:sz w:val="28"/>
          <w:szCs w:val="17"/>
        </w:rPr>
      </w:r>
    </w:p>
    <w:p>
      <w:pPr>
        <w:pStyle w:val="Normal"/>
        <w:numPr>
          <w:ilvl w:val="0"/>
          <w:numId w:val="3"/>
        </w:numPr>
        <w:rPr>
          <w:sz w:val="28"/>
        </w:rPr>
      </w:pPr>
      <w:r>
        <w:rPr>
          <w:sz w:val="28"/>
        </w:rPr>
        <w:t>Enron is attempting to build several “peaking” plants in South Florida. Opposition in the local communities has been fierce, particularly from the environmental community. Any help that the Governor can provide in those communities would be of enormous benefit, not just to Enron, but also to the consumers of electricity. This is particularly true if we have cold winters or hot summers while we await competition.</w:t>
      </w:r>
    </w:p>
    <w:p>
      <w:pPr>
        <w:pStyle w:val="Normal"/>
        <w:ind w:start="435" w:end="0"/>
        <w:rPr>
          <w:sz w:val="28"/>
        </w:rPr>
      </w:pPr>
      <w:r>
        <w:rPr>
          <w:sz w:val="28"/>
        </w:rPr>
      </w:r>
    </w:p>
    <w:p>
      <w:pPr>
        <w:pStyle w:val="Normal"/>
        <w:numPr>
          <w:ilvl w:val="0"/>
          <w:numId w:val="3"/>
        </w:numPr>
        <w:rPr>
          <w:sz w:val="28"/>
        </w:rPr>
      </w:pPr>
      <w:r>
        <w:rPr>
          <w:sz w:val="28"/>
        </w:rPr>
        <w:t>As our experience in South Florida has made plain, streamlining the power plant siting process is essential if power plants are to be built on a reasonable schedule. Perhaps this element of the 2020 proposal can be implemented even if the remainder is not.</w:t>
      </w:r>
    </w:p>
    <w:p>
      <w:pPr>
        <w:pStyle w:val="Normal"/>
        <w:rPr>
          <w:sz w:val="28"/>
        </w:rPr>
      </w:pPr>
      <w:r>
        <w:rPr>
          <w:sz w:val="28"/>
        </w:rPr>
      </w:r>
    </w:p>
    <w:p>
      <w:pPr>
        <w:pStyle w:val="Normal"/>
        <w:rPr>
          <w:b/>
          <w:bCs/>
          <w:sz w:val="28"/>
          <w:u w:val="single"/>
        </w:rPr>
      </w:pPr>
      <w:r>
        <w:rPr>
          <w:b/>
          <w:bCs/>
          <w:sz w:val="28"/>
          <w:u w:val="single"/>
        </w:rPr>
        <w:t>Enron’s commitment to Florida:</w:t>
      </w:r>
    </w:p>
    <w:p>
      <w:pPr>
        <w:pStyle w:val="Normal"/>
        <w:rPr>
          <w:b/>
          <w:bCs/>
          <w:sz w:val="28"/>
          <w:u w:val="single"/>
        </w:rPr>
      </w:pPr>
      <w:r>
        <w:rPr>
          <w:b/>
          <w:bCs/>
          <w:sz w:val="28"/>
          <w:u w:val="single"/>
        </w:rPr>
      </w:r>
    </w:p>
    <w:p>
      <w:pPr>
        <w:pStyle w:val="Normal"/>
        <w:numPr>
          <w:ilvl w:val="0"/>
          <w:numId w:val="2"/>
        </w:numPr>
        <w:autoSpaceDE w:val="false"/>
        <w:rPr>
          <w:sz w:val="28"/>
          <w:szCs w:val="17"/>
        </w:rPr>
      </w:pPr>
      <w:r>
        <w:rPr>
          <w:sz w:val="28"/>
          <w:szCs w:val="17"/>
        </w:rPr>
        <w:t>Enron will continue to try to build peaking power plants to supply Florida’s consumers. We welcome the Governor’s interest in these efforts.</w:t>
      </w:r>
    </w:p>
    <w:p>
      <w:pPr>
        <w:pStyle w:val="Normal"/>
        <w:autoSpaceDE w:val="false"/>
        <w:rPr>
          <w:sz w:val="28"/>
          <w:szCs w:val="17"/>
        </w:rPr>
      </w:pPr>
      <w:r>
        <w:rPr>
          <w:sz w:val="28"/>
          <w:szCs w:val="17"/>
        </w:rPr>
      </w:r>
    </w:p>
    <w:p>
      <w:pPr>
        <w:pStyle w:val="Normal"/>
        <w:numPr>
          <w:ilvl w:val="0"/>
          <w:numId w:val="2"/>
        </w:numPr>
        <w:autoSpaceDE w:val="false"/>
        <w:rPr>
          <w:sz w:val="28"/>
          <w:szCs w:val="17"/>
        </w:rPr>
      </w:pPr>
      <w:r>
        <w:rPr>
          <w:sz w:val="28"/>
          <w:szCs w:val="17"/>
        </w:rPr>
        <w:t xml:space="preserve">Enron stands ready to work on privatizing Florida’s state-owned generation facilities (primarily standby back-up at hospitals, etc). In addition, Enron would be happy to work on outsourcing the energy needs of the state’s facilities.  </w:t>
      </w:r>
    </w:p>
    <w:p>
      <w:pPr>
        <w:pStyle w:val="Normal"/>
        <w:autoSpaceDE w:val="false"/>
        <w:rPr>
          <w:sz w:val="28"/>
          <w:szCs w:val="17"/>
        </w:rPr>
      </w:pPr>
      <w:r>
        <w:rPr>
          <w:sz w:val="28"/>
          <w:szCs w:val="17"/>
        </w:rPr>
      </w:r>
    </w:p>
    <w:p>
      <w:pPr>
        <w:pStyle w:val="Normal"/>
        <w:numPr>
          <w:ilvl w:val="0"/>
          <w:numId w:val="2"/>
        </w:numPr>
        <w:autoSpaceDE w:val="false"/>
        <w:rPr>
          <w:sz w:val="28"/>
          <w:szCs w:val="17"/>
        </w:rPr>
      </w:pPr>
      <w:r>
        <w:rPr>
          <w:sz w:val="28"/>
          <w:szCs w:val="17"/>
        </w:rPr>
        <w:t xml:space="preserve">Enron is committed to ensuring the availability of natural gas supply to Florida.  Enron is proposing to build a facility in Freeport, Bahamas to convert LNG into gas and send it to Florida via an underwater pipeline (entering in Port Everglades).  This not only provides more natural gas to Florida but it provides an alternate route that contributes to fuel supply reliability. The Governor’s support will be essential to this enormous project.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jc w:val="center"/>
      <w:rPr/>
    </w:pPr>
    <w:r>
      <w:rPr/>
      <w:t>FLORIDA SUMMARY</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95"/>
        </w:tabs>
        <w:ind w:start="795"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u w:val="single"/>
    </w:rPr>
  </w:style>
  <w:style w:type="character" w:styleId="WW8Num1z0">
    <w:name w:val="WW8Num1z0"/>
    <w:qFormat/>
    <w:rPr>
      <w:rFonts w:ascii="Symbol" w:hAnsi="Symbol" w:cs="Symbol"/>
    </w:rPr>
  </w:style>
  <w:style w:type="character" w:styleId="WW8Num1z1">
    <w:name w:val="WW8Num1z1"/>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autoSpaceDE w:val="false"/>
      <w:ind w:hanging="0" w:start="360" w:end="0"/>
    </w:pPr>
    <w:rPr>
      <w:rFonts w:ascii="Courier New" w:hAnsi="Courier New" w:cs="Courier New"/>
      <w:color w:val="000000"/>
      <w:sz w:val="20"/>
      <w:szCs w:val="20"/>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autoSpaceDE w:val="false"/>
      <w:ind w:hanging="0" w:start="360" w:end="0"/>
    </w:pPr>
    <w:rPr>
      <w:color w:val="000000"/>
      <w:sz w:val="28"/>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2001-04-16T21:58:00Z</dcterms:created>
  <dc:creator>BILL</dc:creator>
  <dc:description/>
  <dc:language>en-CA</dc:language>
  <cp:lastModifiedBy>jsteffe</cp:lastModifiedBy>
  <cp:lastPrinted>2001-04-16T20:44:00Z</cp:lastPrinted>
  <dcterms:modified xsi:type="dcterms:W3CDTF">2001-04-16T23:14:00Z</dcterms:modified>
  <cp:revision>5</cp:revision>
  <dc:subject/>
  <dc:title>Last year's Legislative Session:</dc:title>
</cp:coreProperties>
</file>