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ind w:hanging="0" w:start="0"/>
        <w:rPr/>
      </w:pPr>
      <w:r>
        <w:rPr/>
        <w:t>MEMORANDUM</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TO:</w:t>
        <w:tab/>
        <w:tab/>
        <w:t>Ken Lay</w:t>
      </w:r>
    </w:p>
    <w:p>
      <w:pPr>
        <w:pStyle w:val="Normal"/>
        <w:rPr>
          <w:rFonts w:ascii="Arial" w:hAnsi="Arial" w:cs="Arial"/>
          <w:sz w:val="22"/>
        </w:rPr>
      </w:pPr>
      <w:r>
        <w:rPr>
          <w:rFonts w:cs="Arial" w:ascii="Arial" w:hAnsi="Arial"/>
          <w:sz w:val="22"/>
        </w:rPr>
        <w:t>FROM:</w:t>
        <w:tab/>
        <w:tab/>
        <w:t>Linda Robertson</w:t>
      </w:r>
    </w:p>
    <w:p>
      <w:pPr>
        <w:pStyle w:val="Normal"/>
        <w:rPr>
          <w:rFonts w:ascii="Arial" w:hAnsi="Arial" w:cs="Arial"/>
          <w:sz w:val="22"/>
        </w:rPr>
      </w:pPr>
      <w:r>
        <w:rPr>
          <w:rFonts w:cs="Arial" w:ascii="Arial" w:hAnsi="Arial"/>
          <w:sz w:val="22"/>
        </w:rPr>
        <w:tab/>
        <w:tab/>
        <w:t>Ed Coats</w:t>
      </w:r>
    </w:p>
    <w:p>
      <w:pPr>
        <w:pStyle w:val="Normal"/>
        <w:ind w:firstLine="720" w:start="720" w:end="0"/>
        <w:rPr>
          <w:rFonts w:ascii="Arial" w:hAnsi="Arial" w:cs="Arial"/>
          <w:sz w:val="22"/>
        </w:rPr>
      </w:pPr>
      <w:r>
        <w:rPr>
          <w:rFonts w:cs="Arial" w:ascii="Arial" w:hAnsi="Arial"/>
          <w:sz w:val="22"/>
        </w:rPr>
        <w:t>Chris Long</w:t>
      </w:r>
    </w:p>
    <w:p>
      <w:pPr>
        <w:pStyle w:val="Normal"/>
        <w:rPr>
          <w:rFonts w:ascii="Arial" w:hAnsi="Arial" w:cs="Arial"/>
          <w:sz w:val="22"/>
        </w:rPr>
      </w:pPr>
      <w:r>
        <w:rPr>
          <w:rFonts w:cs="Arial" w:ascii="Arial" w:hAnsi="Arial"/>
          <w:sz w:val="22"/>
        </w:rPr>
        <w:t>DATE:</w:t>
        <w:tab/>
        <w:tab/>
        <w:t>February 6, 2001</w:t>
      </w:r>
    </w:p>
    <w:p>
      <w:pPr>
        <w:pStyle w:val="Normal"/>
        <w:rPr>
          <w:rFonts w:ascii="Arial" w:hAnsi="Arial" w:cs="Arial"/>
          <w:sz w:val="22"/>
        </w:rPr>
      </w:pPr>
      <w:r>
        <w:rPr>
          <w:rFonts w:cs="Arial" w:ascii="Arial" w:hAnsi="Arial"/>
          <w:sz w:val="22"/>
        </w:rPr>
        <w:t>RE:</w:t>
        <w:tab/>
        <w:tab/>
      </w:r>
      <w:r>
        <w:rPr>
          <w:rFonts w:cs="Arial" w:ascii="Arial" w:hAnsi="Arial"/>
          <w:b/>
          <w:bCs/>
          <w:sz w:val="22"/>
          <w:u w:val="single"/>
        </w:rPr>
        <w:t xml:space="preserve">Ken Lay’s 2/7/01 Meeting with President Bush on Tax Issues </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 xml:space="preserve">The Bush administration is still formulating the tax package to be unveiled on Thursday, February 8.  According to Administration spokesmen, including press comments this weekend by Larry Lindsey, the package will total $1.6 trillion over the next 10 years and mostly contains individual income changes.  </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The package is likely to have several main components.  It would:</w:t>
      </w:r>
    </w:p>
    <w:p>
      <w:pPr>
        <w:pStyle w:val="Normal"/>
        <w:rPr>
          <w:rFonts w:ascii="Arial" w:hAnsi="Arial" w:cs="Arial"/>
          <w:sz w:val="22"/>
        </w:rPr>
      </w:pPr>
      <w:r>
        <w:rPr>
          <w:rFonts w:cs="Arial" w:ascii="Arial" w:hAnsi="Arial"/>
          <w:sz w:val="22"/>
        </w:rPr>
      </w:r>
    </w:p>
    <w:p>
      <w:pPr>
        <w:pStyle w:val="Normal"/>
        <w:numPr>
          <w:ilvl w:val="0"/>
          <w:numId w:val="3"/>
        </w:numPr>
        <w:rPr>
          <w:rFonts w:ascii="Arial" w:hAnsi="Arial" w:cs="Arial"/>
          <w:sz w:val="22"/>
        </w:rPr>
      </w:pPr>
      <w:r>
        <w:rPr>
          <w:rFonts w:cs="Arial" w:ascii="Arial" w:hAnsi="Arial"/>
          <w:sz w:val="22"/>
        </w:rPr>
        <w:t>Merge the five current individual income tax rate brackets of 15, 28, 36 and 39.6 percent into four lower brackets of 10, 15, 25 and 33 percent (retroactive to January 1, 2001).</w:t>
      </w:r>
    </w:p>
    <w:p>
      <w:pPr>
        <w:pStyle w:val="Normal"/>
        <w:numPr>
          <w:ilvl w:val="0"/>
          <w:numId w:val="3"/>
        </w:numPr>
        <w:rPr>
          <w:rFonts w:ascii="Arial" w:hAnsi="Arial" w:cs="Arial"/>
          <w:sz w:val="22"/>
        </w:rPr>
      </w:pPr>
      <w:r>
        <w:rPr>
          <w:rFonts w:cs="Arial" w:ascii="Arial" w:hAnsi="Arial"/>
          <w:sz w:val="22"/>
        </w:rPr>
        <w:t>Largely repeal the marriage tax penalty.</w:t>
      </w:r>
    </w:p>
    <w:p>
      <w:pPr>
        <w:pStyle w:val="Normal"/>
        <w:numPr>
          <w:ilvl w:val="0"/>
          <w:numId w:val="3"/>
        </w:numPr>
        <w:rPr>
          <w:rFonts w:ascii="Arial" w:hAnsi="Arial" w:cs="Arial"/>
          <w:sz w:val="22"/>
        </w:rPr>
      </w:pPr>
      <w:r>
        <w:rPr>
          <w:rFonts w:cs="Arial" w:ascii="Arial" w:hAnsi="Arial"/>
          <w:sz w:val="22"/>
        </w:rPr>
        <w:t>Repeal the federal estate tax.</w:t>
      </w:r>
    </w:p>
    <w:p>
      <w:pPr>
        <w:pStyle w:val="Normal"/>
        <w:numPr>
          <w:ilvl w:val="0"/>
          <w:numId w:val="3"/>
        </w:numPr>
        <w:rPr>
          <w:rFonts w:ascii="Arial" w:hAnsi="Arial" w:cs="Arial"/>
          <w:sz w:val="22"/>
        </w:rPr>
      </w:pPr>
      <w:r>
        <w:rPr>
          <w:rFonts w:cs="Arial" w:ascii="Arial" w:hAnsi="Arial"/>
          <w:sz w:val="22"/>
        </w:rPr>
        <w:t>Double the $500-per-child credit to $1,000 and boost phase-out limits so families making up to $200,0000 per year qualify.</w:t>
      </w:r>
    </w:p>
    <w:p>
      <w:pPr>
        <w:pStyle w:val="Normal"/>
        <w:numPr>
          <w:ilvl w:val="0"/>
          <w:numId w:val="3"/>
        </w:numPr>
        <w:rPr>
          <w:rFonts w:ascii="Arial" w:hAnsi="Arial" w:cs="Arial"/>
          <w:sz w:val="22"/>
        </w:rPr>
      </w:pPr>
      <w:r>
        <w:rPr>
          <w:rFonts w:cs="Arial" w:ascii="Arial" w:hAnsi="Arial"/>
          <w:sz w:val="22"/>
        </w:rPr>
        <w:t>Permanently extend the Research and Development (R&amp;D) tax credit.</w:t>
      </w:r>
    </w:p>
    <w:p>
      <w:pPr>
        <w:pStyle w:val="Normal"/>
        <w:numPr>
          <w:ilvl w:val="0"/>
          <w:numId w:val="3"/>
        </w:numPr>
        <w:rPr>
          <w:rFonts w:ascii="Arial" w:hAnsi="Arial" w:cs="Arial"/>
          <w:sz w:val="22"/>
        </w:rPr>
      </w:pPr>
      <w:r>
        <w:rPr>
          <w:rFonts w:cs="Arial" w:ascii="Arial" w:hAnsi="Arial"/>
          <w:sz w:val="22"/>
        </w:rPr>
        <w:t>Allow the charitable deduction for non-itemizers.</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The President will attempt to push through this plan as one of his top legislative priorities and many pundits expect final action this summer.  The President today said that he does not want to see the package weighted down with other provisions.  What is noticeable is that the plan does virtually nothing for the corporate community, except its R&amp;D tax provisions.</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 xml:space="preserve">Since the election, the corporate community has been lobbying the Bush-Cheney transition team to broaden his package to include corporate tax relief.  In a recent letter to Mr. Bush, Robert N. Burt, chairman of FMC Corp., Chicago, argued corporations should get $320 billion of the total tax cut.  He was writing on behalf of the Business Roundtable, a group of some 200 of the largest American companies.  To date, the President has rejected this approach.  Thus, if you personally raise corporate tax relief in this meeting you may be perceived as “off message” by the Administration.  </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Currently, ACCF, NAM and other business trade groups are coordinating it response so that the business community speaks with one voice on the need for corporate tax relief.  Their argument will be: (1) corporate tax cuts are essential for economic expansion and job growth; and (2) corporate tax cuts must be the focus of the tax package (whether it be the first or second tax bill or combination).  One approach the President may take is to persuade the business community to hold off on business tax provisions during the first tax bill.  Some observers believe that the Administration may argue that they intend to submit a second tax bill later this year oriented toward the business community.  To accept this strategy, the business community would be taking a very large gamble on issues which, in many instances, have gone unaddressed for five to 10 years.</w:t>
      </w:r>
    </w:p>
    <w:p>
      <w:pPr>
        <w:pStyle w:val="Normal"/>
        <w:rPr>
          <w:rFonts w:ascii="Arial" w:hAnsi="Arial" w:cs="Arial"/>
          <w:sz w:val="22"/>
        </w:rPr>
      </w:pPr>
      <w:r>
        <w:rPr>
          <w:rFonts w:cs="Arial" w:ascii="Arial" w:hAnsi="Arial"/>
          <w:sz w:val="22"/>
        </w:rPr>
      </w:r>
    </w:p>
    <w:p>
      <w:pPr>
        <w:sectPr>
          <w:footerReference w:type="default" r:id="rId2"/>
          <w:footerReference w:type="first" r:id="rId3"/>
          <w:type w:val="nextPage"/>
          <w:pgSz w:w="12240" w:h="15840"/>
          <w:pgMar w:left="1800" w:right="1800" w:gutter="0" w:header="0" w:top="1440" w:footer="720" w:bottom="1440"/>
          <w:pgNumType w:fmt="decimal"/>
          <w:formProt w:val="false"/>
          <w:titlePg/>
          <w:textDirection w:val="lrTb"/>
          <w:docGrid w:type="default" w:linePitch="360" w:charSpace="0"/>
        </w:sectPr>
      </w:pPr>
    </w:p>
    <w:p>
      <w:pPr>
        <w:pStyle w:val="Normal"/>
        <w:rPr>
          <w:rFonts w:ascii="Arial" w:hAnsi="Arial" w:cs="Arial"/>
          <w:sz w:val="22"/>
        </w:rPr>
      </w:pPr>
      <w:r>
        <w:rPr>
          <w:rFonts w:cs="Arial" w:ascii="Arial" w:hAnsi="Arial"/>
          <w:sz w:val="22"/>
        </w:rPr>
        <w:t>There are several political and economic arguments the President is likely to hear during the tax debate from opponents:</w:t>
      </w:r>
    </w:p>
    <w:p>
      <w:pPr>
        <w:pStyle w:val="Normal"/>
        <w:rPr>
          <w:rFonts w:ascii="Arial" w:hAnsi="Arial" w:cs="Arial"/>
          <w:sz w:val="22"/>
        </w:rPr>
      </w:pPr>
      <w:r>
        <w:rPr>
          <w:rFonts w:cs="Arial" w:ascii="Arial" w:hAnsi="Arial"/>
          <w:sz w:val="22"/>
        </w:rPr>
      </w:r>
    </w:p>
    <w:p>
      <w:pPr>
        <w:pStyle w:val="Normal"/>
        <w:numPr>
          <w:ilvl w:val="0"/>
          <w:numId w:val="5"/>
        </w:numPr>
        <w:rPr>
          <w:rFonts w:ascii="Arial" w:hAnsi="Arial" w:cs="Arial"/>
          <w:sz w:val="22"/>
        </w:rPr>
      </w:pPr>
      <w:r>
        <w:rPr>
          <w:rFonts w:cs="Arial" w:ascii="Arial" w:hAnsi="Arial"/>
          <w:sz w:val="22"/>
        </w:rPr>
        <w:t>The $1.6 billion price tag is too expensive.  Democrats are expected to come together largely behind a tax package in the $800 or $900 billion range.</w:t>
      </w:r>
    </w:p>
    <w:p>
      <w:pPr>
        <w:pStyle w:val="Normal"/>
        <w:numPr>
          <w:ilvl w:val="0"/>
          <w:numId w:val="5"/>
        </w:numPr>
        <w:rPr>
          <w:rFonts w:ascii="Arial" w:hAnsi="Arial" w:cs="Arial"/>
          <w:sz w:val="22"/>
        </w:rPr>
      </w:pPr>
      <w:r>
        <w:rPr>
          <w:rFonts w:cs="Arial" w:ascii="Arial" w:hAnsi="Arial"/>
          <w:sz w:val="22"/>
        </w:rPr>
        <w:t>The package should contain long overdue FICA tax relief given that 75% or more Americans pay more in FICA tax than individual income tax.  Democrats will likely structure their substitute package around some sort of FICA credit.</w:t>
      </w:r>
    </w:p>
    <w:p>
      <w:pPr>
        <w:pStyle w:val="Normal"/>
        <w:numPr>
          <w:ilvl w:val="0"/>
          <w:numId w:val="5"/>
        </w:numPr>
        <w:rPr>
          <w:rFonts w:ascii="Arial" w:hAnsi="Arial" w:cs="Arial"/>
          <w:sz w:val="22"/>
        </w:rPr>
      </w:pPr>
      <w:r>
        <w:rPr>
          <w:rFonts w:cs="Arial" w:ascii="Arial" w:hAnsi="Arial"/>
          <w:sz w:val="22"/>
        </w:rPr>
        <w:t>The package favors the wealthy.  This is Senator Daschle’s “Lexus v. Muffler” argument.</w:t>
      </w:r>
    </w:p>
    <w:p>
      <w:pPr>
        <w:pStyle w:val="Normal"/>
        <w:numPr>
          <w:ilvl w:val="0"/>
          <w:numId w:val="5"/>
        </w:numPr>
        <w:rPr>
          <w:rFonts w:ascii="Arial" w:hAnsi="Arial" w:cs="Arial"/>
          <w:sz w:val="22"/>
        </w:rPr>
      </w:pPr>
      <w:r>
        <w:rPr>
          <w:rFonts w:cs="Arial" w:ascii="Arial" w:hAnsi="Arial"/>
          <w:sz w:val="22"/>
        </w:rPr>
        <w:t xml:space="preserve">Individual income tax relief will not stimulate the economy.  Mechanisms to make the tax cut retroactive are not administratively feasible.  </w:t>
      </w:r>
    </w:p>
    <w:p>
      <w:pPr>
        <w:pStyle w:val="Normal"/>
        <w:numPr>
          <w:ilvl w:val="0"/>
          <w:numId w:val="5"/>
        </w:numPr>
        <w:rPr>
          <w:rFonts w:ascii="Arial" w:hAnsi="Arial" w:cs="Arial"/>
          <w:sz w:val="22"/>
        </w:rPr>
      </w:pPr>
      <w:r>
        <w:rPr>
          <w:rFonts w:cs="Arial" w:ascii="Arial" w:hAnsi="Arial"/>
          <w:sz w:val="22"/>
        </w:rPr>
        <w:t>The package does not contain business tax relief.  Given that some in the business community have argued for relief of $320 billion, Democrats may put business tax relief in their substitute in order to “out bid” the President.</w:t>
      </w:r>
    </w:p>
    <w:p>
      <w:pPr>
        <w:pStyle w:val="Normal"/>
        <w:ind w:start="360" w:end="0"/>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Enron’s 2001 tax priorities are attached (for internal information and review only).  Given Enron’s strong earnings performance over the last year, we could be criticized for pushing tax cuts that benefit Enron.  Thus, the message from Enron to the President should focus on the overall economic benefits of corporate tax relief and the need for tax changes to enhance global competitiveness:</w:t>
      </w:r>
    </w:p>
    <w:p>
      <w:pPr>
        <w:pStyle w:val="Normal"/>
        <w:rPr>
          <w:rFonts w:ascii="Arial" w:hAnsi="Arial" w:cs="Arial"/>
          <w:sz w:val="22"/>
        </w:rPr>
      </w:pPr>
      <w:r>
        <w:rPr>
          <w:rFonts w:cs="Arial" w:ascii="Arial" w:hAnsi="Arial"/>
          <w:sz w:val="22"/>
        </w:rPr>
      </w:r>
    </w:p>
    <w:p>
      <w:pPr>
        <w:pStyle w:val="Normal"/>
        <w:numPr>
          <w:ilvl w:val="0"/>
          <w:numId w:val="4"/>
        </w:numPr>
        <w:rPr>
          <w:rFonts w:ascii="Arial" w:hAnsi="Arial" w:cs="Arial"/>
          <w:sz w:val="22"/>
        </w:rPr>
      </w:pPr>
      <w:r>
        <w:rPr>
          <w:rFonts w:cs="Arial" w:ascii="Arial" w:hAnsi="Arial"/>
          <w:sz w:val="22"/>
        </w:rPr>
        <w:t xml:space="preserve">Economic growth and the creation on new high-wage, high-skilled jobs will be created by business.  However, business needs tax incentives to make investments required for this job growth.   </w:t>
      </w:r>
    </w:p>
    <w:p>
      <w:pPr>
        <w:pStyle w:val="Normal"/>
        <w:rPr>
          <w:rFonts w:ascii="Arial" w:hAnsi="Arial" w:cs="Arial"/>
          <w:sz w:val="22"/>
        </w:rPr>
      </w:pPr>
      <w:r>
        <w:rPr>
          <w:rFonts w:cs="Arial" w:ascii="Arial" w:hAnsi="Arial"/>
          <w:sz w:val="22"/>
        </w:rPr>
      </w:r>
    </w:p>
    <w:p>
      <w:pPr>
        <w:pStyle w:val="Normal"/>
        <w:numPr>
          <w:ilvl w:val="0"/>
          <w:numId w:val="4"/>
        </w:numPr>
        <w:rPr>
          <w:rFonts w:ascii="Arial" w:hAnsi="Arial" w:cs="Arial"/>
          <w:sz w:val="22"/>
        </w:rPr>
      </w:pPr>
      <w:r>
        <w:rPr>
          <w:rFonts w:cs="Arial" w:ascii="Arial" w:hAnsi="Arial"/>
          <w:sz w:val="22"/>
        </w:rPr>
        <w:t xml:space="preserve">Business innovation has driven economic growth over the last decade.  Individual tax cuts are politically popular, but economic growth is driven by business.  With a possible recession, tax benefits should bolster corporations and individuals. </w:t>
      </w:r>
    </w:p>
    <w:p>
      <w:pPr>
        <w:pStyle w:val="Normal"/>
        <w:rPr>
          <w:rFonts w:ascii="Arial" w:hAnsi="Arial" w:cs="Arial"/>
          <w:sz w:val="22"/>
        </w:rPr>
      </w:pPr>
      <w:r>
        <w:rPr>
          <w:rFonts w:cs="Arial" w:ascii="Arial" w:hAnsi="Arial"/>
          <w:sz w:val="22"/>
        </w:rPr>
      </w:r>
    </w:p>
    <w:p>
      <w:pPr>
        <w:pStyle w:val="BodyText"/>
        <w:rPr>
          <w:rFonts w:cs="Arial"/>
          <w:u w:val="single"/>
        </w:rPr>
      </w:pPr>
      <w:r>
        <w:rPr>
          <w:rFonts w:cs="Arial"/>
          <w:u w:val="single"/>
        </w:rPr>
        <w:t>Business Tax Issues that Should be included in President Bush’s Tax Package:</w:t>
      </w:r>
    </w:p>
    <w:p>
      <w:pPr>
        <w:pStyle w:val="Normal"/>
        <w:rPr>
          <w:rFonts w:ascii="Arial" w:hAnsi="Arial" w:cs="Arial"/>
          <w:sz w:val="22"/>
          <w:u w:val="single"/>
        </w:rPr>
      </w:pPr>
      <w:r>
        <w:rPr>
          <w:rFonts w:cs="Arial" w:ascii="Arial" w:hAnsi="Arial"/>
          <w:sz w:val="22"/>
          <w:u w:val="single"/>
        </w:rPr>
      </w:r>
    </w:p>
    <w:p>
      <w:pPr>
        <w:pStyle w:val="Normal"/>
        <w:rPr>
          <w:rFonts w:ascii="Arial" w:hAnsi="Arial" w:cs="Arial"/>
          <w:sz w:val="22"/>
        </w:rPr>
      </w:pPr>
      <w:r>
        <w:rPr>
          <w:rFonts w:cs="Arial" w:ascii="Arial" w:hAnsi="Arial"/>
          <w:sz w:val="22"/>
        </w:rPr>
        <w:t xml:space="preserve">(1) Enron is the Chair of the National Association of Manufacturer (NAM) Corporate AMT Coalition. </w:t>
      </w:r>
    </w:p>
    <w:p>
      <w:pPr>
        <w:pStyle w:val="Normal"/>
        <w:rPr/>
      </w:pPr>
      <w:r>
        <w:rPr>
          <w:rFonts w:cs="Arial" w:ascii="Arial" w:hAnsi="Arial"/>
          <w:sz w:val="22"/>
          <w:u w:val="single"/>
        </w:rPr>
        <w:t>Talking point:</w:t>
      </w:r>
      <w:r>
        <w:rPr>
          <w:rFonts w:cs="Arial" w:ascii="Arial" w:hAnsi="Arial"/>
          <w:sz w:val="22"/>
        </w:rPr>
        <w:t xml:space="preserve">  </w:t>
      </w:r>
      <w:r>
        <w:rPr>
          <w:rFonts w:cs="Arial" w:ascii="Arial" w:hAnsi="Arial"/>
          <w:b/>
          <w:bCs/>
          <w:sz w:val="22"/>
        </w:rPr>
        <w:t>The Alternative Minimum Tax (AMT) penalizes companies whose business requires substantial investments to remain competitive in the global marketplace.  Among the significant problems posed by the AMT in its current form are a disincentive to investment in capital-intensive efforts such as power plant construction, the double taxation of income earned abroad due to the 90%-limitation on the use of AMT foreign tax credits, and the dilution of the value of accumulated AMT credits due to limitations on their use.  Reforms of AMT should address the pre-payment of taxes of prior year AMT payments shown on taxpayers’ balance sheet.  The AMT puts existing jobs in jeopardy as companies lose out to foreign competitors.  The AMT depreciation rules subject US capital-intensive companies to the worst capital-cost-recovery system in the industrialized world.  Enron supports the repeal of the AMT on corporations – large and small.</w:t>
      </w:r>
    </w:p>
    <w:p>
      <w:pPr>
        <w:pStyle w:val="Normal"/>
        <w:rPr>
          <w:rFonts w:ascii="Arial" w:hAnsi="Arial" w:cs="Arial"/>
          <w:b/>
          <w:bCs/>
          <w:sz w:val="22"/>
        </w:rPr>
      </w:pPr>
      <w:r>
        <w:rPr>
          <w:rFonts w:cs="Arial" w:ascii="Arial" w:hAnsi="Arial"/>
          <w:b/>
          <w:bCs/>
          <w:sz w:val="22"/>
        </w:rPr>
      </w:r>
    </w:p>
    <w:p>
      <w:pPr>
        <w:pStyle w:val="Normal"/>
        <w:rPr>
          <w:rFonts w:ascii="Arial" w:hAnsi="Arial" w:cs="Arial"/>
          <w:sz w:val="22"/>
        </w:rPr>
      </w:pPr>
      <w:r>
        <w:rPr>
          <w:rFonts w:cs="Arial" w:ascii="Arial" w:hAnsi="Arial"/>
          <w:sz w:val="22"/>
        </w:rPr>
        <w:t>Enron also supports efforts pushed by Senate Majority Lott to lower the capital gains rate to 15%.</w:t>
      </w:r>
    </w:p>
    <w:p>
      <w:pPr>
        <w:pStyle w:val="Normal"/>
        <w:rPr/>
      </w:pPr>
      <w:r>
        <w:rPr>
          <w:rFonts w:cs="Arial" w:ascii="Arial" w:hAnsi="Arial"/>
          <w:sz w:val="22"/>
          <w:u w:val="single"/>
        </w:rPr>
        <w:t>Talking Point</w:t>
      </w:r>
      <w:r>
        <w:rPr>
          <w:rFonts w:cs="Arial" w:ascii="Arial" w:hAnsi="Arial"/>
          <w:b/>
          <w:bCs/>
          <w:sz w:val="22"/>
          <w:u w:val="single"/>
        </w:rPr>
        <w:t>:</w:t>
      </w:r>
      <w:r>
        <w:rPr>
          <w:rFonts w:cs="Arial" w:ascii="Arial" w:hAnsi="Arial"/>
          <w:b/>
          <w:bCs/>
          <w:sz w:val="22"/>
        </w:rPr>
        <w:t xml:space="preserve">  A cut in the capital gains rate spurs investment activity which would benefit corporations and investors.  This is important in time of economic uncertainty.</w:t>
      </w:r>
    </w:p>
    <w:p>
      <w:pPr>
        <w:pStyle w:val="Normal"/>
        <w:rPr>
          <w:rFonts w:ascii="Arial" w:hAnsi="Arial" w:cs="Arial"/>
          <w:b/>
          <w:bCs/>
          <w:sz w:val="22"/>
        </w:rPr>
      </w:pPr>
      <w:r>
        <w:rPr>
          <w:rFonts w:cs="Arial" w:ascii="Arial" w:hAnsi="Arial"/>
          <w:b/>
          <w:bCs/>
          <w:sz w:val="22"/>
        </w:rPr>
      </w:r>
    </w:p>
    <w:p>
      <w:pPr>
        <w:pStyle w:val="Normal"/>
        <w:rPr>
          <w:rFonts w:ascii="Arial" w:hAnsi="Arial" w:cs="Arial"/>
          <w:b/>
          <w:bCs/>
          <w:sz w:val="22"/>
        </w:rPr>
      </w:pPr>
      <w:r>
        <w:rPr>
          <w:rFonts w:cs="Arial" w:ascii="Arial" w:hAnsi="Arial"/>
          <w:b/>
          <w:bCs/>
          <w:sz w:val="22"/>
        </w:rPr>
      </w:r>
    </w:p>
    <w:p>
      <w:pPr>
        <w:pStyle w:val="Normal"/>
        <w:rPr>
          <w:rFonts w:ascii="Arial" w:hAnsi="Arial" w:cs="Arial"/>
          <w:b/>
          <w:bCs/>
          <w:sz w:val="22"/>
        </w:rPr>
      </w:pPr>
      <w:r>
        <w:rPr>
          <w:rFonts w:cs="Arial" w:ascii="Arial" w:hAnsi="Arial"/>
          <w:b/>
          <w:bCs/>
          <w:sz w:val="22"/>
        </w:rPr>
      </w:r>
    </w:p>
    <w:p>
      <w:pPr>
        <w:pStyle w:val="Normal"/>
        <w:rPr>
          <w:rFonts w:ascii="Arial" w:hAnsi="Arial" w:cs="Arial"/>
          <w:b/>
          <w:bCs/>
          <w:sz w:val="22"/>
        </w:rPr>
      </w:pPr>
      <w:r>
        <w:rPr>
          <w:rFonts w:cs="Arial" w:ascii="Arial" w:hAnsi="Arial"/>
          <w:b/>
          <w:bCs/>
          <w:sz w:val="22"/>
        </w:rPr>
      </w:r>
    </w:p>
    <w:p>
      <w:pPr>
        <w:pStyle w:val="Normal"/>
        <w:rPr>
          <w:rFonts w:ascii="Arial" w:hAnsi="Arial" w:cs="Arial"/>
          <w:b/>
          <w:bCs/>
          <w:sz w:val="22"/>
        </w:rPr>
      </w:pPr>
      <w:r>
        <w:rPr>
          <w:rFonts w:cs="Arial" w:ascii="Arial" w:hAnsi="Arial"/>
          <w:b/>
          <w:bCs/>
          <w:sz w:val="22"/>
        </w:rPr>
      </w:r>
    </w:p>
    <w:p>
      <w:pPr>
        <w:pStyle w:val="Normal"/>
        <w:rPr>
          <w:rFonts w:ascii="Arial" w:hAnsi="Arial" w:cs="Arial"/>
          <w:b/>
          <w:bCs/>
          <w:sz w:val="22"/>
          <w:u w:val="single"/>
        </w:rPr>
      </w:pPr>
      <w:r>
        <w:rPr>
          <w:rFonts w:cs="Arial" w:ascii="Arial" w:hAnsi="Arial"/>
          <w:b/>
          <w:bCs/>
          <w:sz w:val="22"/>
          <w:u w:val="single"/>
        </w:rPr>
        <w:t>Attachments:</w:t>
      </w:r>
    </w:p>
    <w:p>
      <w:pPr>
        <w:pStyle w:val="Normal"/>
        <w:rPr>
          <w:rFonts w:ascii="Arial" w:hAnsi="Arial" w:cs="Arial"/>
          <w:b/>
          <w:bCs/>
          <w:sz w:val="22"/>
          <w:u w:val="single"/>
        </w:rPr>
      </w:pPr>
      <w:r>
        <w:rPr>
          <w:rFonts w:cs="Arial" w:ascii="Arial" w:hAnsi="Arial"/>
          <w:b/>
          <w:bCs/>
          <w:sz w:val="22"/>
          <w:u w:val="single"/>
        </w:rPr>
      </w:r>
    </w:p>
    <w:p>
      <w:pPr>
        <w:pStyle w:val="Normal"/>
        <w:rPr>
          <w:rFonts w:ascii="Arial" w:hAnsi="Arial" w:cs="Arial"/>
          <w:b/>
          <w:bCs/>
          <w:sz w:val="22"/>
          <w:u w:val="single"/>
        </w:rPr>
      </w:pPr>
      <w:r>
        <w:rPr>
          <w:rFonts w:cs="Arial" w:ascii="Arial" w:hAnsi="Arial"/>
          <w:b/>
          <w:bCs/>
          <w:sz w:val="22"/>
          <w:u w:val="single"/>
        </w:rPr>
      </w:r>
    </w:p>
    <w:p>
      <w:pPr>
        <w:pStyle w:val="Heading4"/>
        <w:numPr>
          <w:ilvl w:val="0"/>
          <w:numId w:val="6"/>
        </w:numPr>
        <w:rPr>
          <w:b w:val="false"/>
          <w:bCs w:val="false"/>
        </w:rPr>
      </w:pPr>
      <w:r>
        <w:rPr>
          <w:b w:val="false"/>
          <w:bCs w:val="false"/>
        </w:rPr>
        <w:t>2001 Enron Tax Priorities (Internal Use Only)</w:t>
      </w:r>
    </w:p>
    <w:p>
      <w:pPr>
        <w:pStyle w:val="Normal"/>
        <w:numPr>
          <w:ilvl w:val="0"/>
          <w:numId w:val="6"/>
        </w:numPr>
        <w:rPr>
          <w:rFonts w:ascii="Arial" w:hAnsi="Arial" w:cs="Arial"/>
          <w:sz w:val="22"/>
        </w:rPr>
      </w:pPr>
      <w:r>
        <w:rPr>
          <w:rFonts w:cs="Arial" w:ascii="Arial" w:hAnsi="Arial"/>
          <w:sz w:val="22"/>
        </w:rPr>
        <w:t>White House Communications Office Talking Points on President Bush’s Tax Cut Plan</w:t>
      </w:r>
      <w:r>
        <w:br w:type="page"/>
      </w:r>
    </w:p>
    <w:p>
      <w:pPr>
        <w:pStyle w:val="Normal"/>
        <w:jc w:val="center"/>
        <w:rPr>
          <w:rFonts w:ascii="Arial" w:hAnsi="Arial" w:cs="Arial"/>
          <w:b/>
          <w:bCs/>
          <w:sz w:val="22"/>
        </w:rPr>
      </w:pPr>
      <w:r>
        <w:rPr>
          <w:rFonts w:cs="Arial" w:ascii="Arial" w:hAnsi="Arial"/>
          <w:b/>
          <w:bCs/>
          <w:sz w:val="22"/>
        </w:rPr>
        <w:t>ATTACHMENT I</w:t>
      </w:r>
    </w:p>
    <w:p>
      <w:pPr>
        <w:pStyle w:val="Normal"/>
        <w:rPr>
          <w:rFonts w:ascii="Arial" w:hAnsi="Arial" w:cs="Arial"/>
          <w:b/>
          <w:bCs/>
          <w:sz w:val="22"/>
        </w:rPr>
      </w:pPr>
      <w:r>
        <w:rPr>
          <w:rFonts w:cs="Arial" w:ascii="Arial" w:hAnsi="Arial"/>
          <w:b/>
          <w:bCs/>
          <w:sz w:val="22"/>
        </w:rPr>
      </w:r>
    </w:p>
    <w:p>
      <w:pPr>
        <w:pStyle w:val="Heading1"/>
        <w:ind w:hanging="0" w:start="0"/>
        <w:rPr>
          <w:rFonts w:cs="Arial"/>
          <w:u w:val="none"/>
        </w:rPr>
      </w:pPr>
      <w:r>
        <w:rPr>
          <w:rFonts w:cs="Arial"/>
          <w:u w:val="none"/>
        </w:rPr>
        <w:t>2001 Enron Specific Tax Priorities (for internal information only)</w:t>
      </w:r>
    </w:p>
    <w:p>
      <w:pPr>
        <w:pStyle w:val="Heading1"/>
        <w:ind w:hanging="0" w:start="0"/>
        <w:rPr>
          <w:rFonts w:cs="Arial"/>
          <w:u w:val="none"/>
        </w:rPr>
      </w:pPr>
      <w:r>
        <w:rPr>
          <w:rFonts w:cs="Arial"/>
          <w:u w:val="none"/>
        </w:rPr>
      </w:r>
    </w:p>
    <w:p>
      <w:pPr>
        <w:pStyle w:val="Heading1"/>
        <w:ind w:hanging="0" w:start="0"/>
        <w:rPr>
          <w:rFonts w:cs="Arial"/>
        </w:rPr>
      </w:pPr>
      <w:r>
        <w:rPr>
          <w:rFonts w:cs="Arial"/>
        </w:rPr>
        <w:t>Foreign Tax Issues</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These provisions are listed in order of importance to Enron Corp.</w:t>
      </w:r>
    </w:p>
    <w:p>
      <w:pPr>
        <w:pStyle w:val="Normal"/>
        <w:rPr>
          <w:rFonts w:ascii="Arial" w:hAnsi="Arial" w:cs="Arial"/>
          <w:sz w:val="22"/>
        </w:rPr>
      </w:pPr>
      <w:r>
        <w:rPr>
          <w:rFonts w:cs="Arial" w:ascii="Arial" w:hAnsi="Arial"/>
          <w:sz w:val="22"/>
        </w:rPr>
      </w:r>
    </w:p>
    <w:p>
      <w:pPr>
        <w:pStyle w:val="Normal"/>
        <w:numPr>
          <w:ilvl w:val="0"/>
          <w:numId w:val="2"/>
        </w:numPr>
        <w:rPr>
          <w:rFonts w:ascii="Arial" w:hAnsi="Arial" w:cs="Arial"/>
          <w:sz w:val="22"/>
        </w:rPr>
      </w:pPr>
      <w:r>
        <w:rPr>
          <w:rFonts w:cs="Arial" w:ascii="Arial" w:hAnsi="Arial"/>
          <w:b/>
          <w:bCs/>
          <w:sz w:val="22"/>
          <w:u w:val="single"/>
        </w:rPr>
        <w:t>Allocate Interest Expense on a Worldwide Basis</w:t>
      </w:r>
      <w:r>
        <w:rPr>
          <w:rFonts w:cs="Arial" w:ascii="Arial" w:hAnsi="Arial"/>
          <w:sz w:val="22"/>
          <w:u w:val="single"/>
        </w:rPr>
        <w:t>:</w:t>
      </w:r>
      <w:r>
        <w:rPr>
          <w:rFonts w:cs="Arial" w:ascii="Arial" w:hAnsi="Arial"/>
          <w:sz w:val="22"/>
        </w:rPr>
        <w:t xml:space="preserve">  Under current interest expense allocation rules, the interest expense of foreign affiliates is disregarded, resulting in a disproportionate amount of U.S. interest expense being allocated to foreign-source income, which in turn results in an inappropriate reduction in the group’s foreign tax credit limitation.</w:t>
      </w:r>
    </w:p>
    <w:p>
      <w:pPr>
        <w:pStyle w:val="Normal"/>
        <w:rPr>
          <w:rFonts w:ascii="Arial" w:hAnsi="Arial" w:cs="Arial"/>
          <w:sz w:val="22"/>
          <w:u w:val="single"/>
        </w:rPr>
      </w:pPr>
      <w:r>
        <w:rPr>
          <w:rFonts w:cs="Arial" w:ascii="Arial" w:hAnsi="Arial"/>
          <w:sz w:val="22"/>
          <w:u w:val="single"/>
        </w:rPr>
      </w:r>
    </w:p>
    <w:p>
      <w:pPr>
        <w:pStyle w:val="BodyTextIndent"/>
        <w:rPr>
          <w:rFonts w:cs="Arial"/>
        </w:rPr>
      </w:pPr>
      <w:r>
        <w:rPr>
          <w:rFonts w:cs="Arial"/>
        </w:rPr>
        <w:t>Enron supports modification of the interest expense allocation rules in the manner provided in H.R. 2488 in the last Congress.  “The Taxpayer Refund and Relief Act of 1999.”  The provision contained in H.R. 2488 altered the present-law interest expense allocation rules by providing a one-time election under which the foreign source taxable income of domestic members of an affiliated group generally may be determined by allocating and apportioning interest expense on a worldwide-group basis.  The election provides taxpayers with the option either to apply fungibility principles on a worldwide basis or to continue to apply present law.</w:t>
      </w:r>
    </w:p>
    <w:p>
      <w:pPr>
        <w:pStyle w:val="Normal"/>
        <w:ind w:start="450" w:end="0"/>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numPr>
          <w:ilvl w:val="0"/>
          <w:numId w:val="2"/>
        </w:numPr>
        <w:rPr>
          <w:rFonts w:ascii="Arial" w:hAnsi="Arial" w:cs="Arial"/>
          <w:sz w:val="22"/>
        </w:rPr>
      </w:pPr>
      <w:r>
        <w:rPr>
          <w:rFonts w:cs="Arial" w:ascii="Arial" w:hAnsi="Arial"/>
          <w:b/>
          <w:bCs/>
          <w:sz w:val="22"/>
          <w:u w:val="single"/>
        </w:rPr>
        <w:t>Exclude Income from Pipeline Transportation or High Voltage Electricity Transmission from Subpart F</w:t>
      </w:r>
      <w:r>
        <w:rPr>
          <w:rFonts w:cs="Arial" w:ascii="Arial" w:hAnsi="Arial"/>
          <w:sz w:val="22"/>
          <w:u w:val="single"/>
        </w:rPr>
        <w:t>:</w:t>
      </w:r>
      <w:r>
        <w:rPr>
          <w:rFonts w:cs="Arial" w:ascii="Arial" w:hAnsi="Arial"/>
          <w:sz w:val="22"/>
        </w:rPr>
        <w:t xml:space="preserve">  Reform of the application of Subpart F to pipeline transportation and transmission of high voltage electricity is an issue of critical concern to Enron and other companies developing international pipeline and power projects.  Included in H.R. 2488, “The Taxpayer Refund and Relief Act of 1999,” this proposal would:  (a) exclude from foreign base company oil-related income (“FBCORI”) any income derived from the pipeline transportation of oil or gas in a country where the oil or gas was neither extracted nor consumed and (b) exclude from foreign base company services income (“FBCSI”) the income of a controlled foreign corporation (“CFC”) that owns a high voltage transmission line for purposes of providing transmission of electricity owned by a related party outside of the CFC’s country of incorporation.</w:t>
      </w:r>
    </w:p>
    <w:p>
      <w:pPr>
        <w:pStyle w:val="Normal"/>
        <w:rPr>
          <w:rFonts w:ascii="Arial" w:hAnsi="Arial" w:cs="Arial"/>
          <w:sz w:val="22"/>
          <w:u w:val="single"/>
        </w:rPr>
      </w:pPr>
      <w:r>
        <w:rPr>
          <w:rFonts w:cs="Arial" w:ascii="Arial" w:hAnsi="Arial"/>
          <w:sz w:val="22"/>
          <w:u w:val="single"/>
        </w:rPr>
      </w:r>
    </w:p>
    <w:p>
      <w:pPr>
        <w:pStyle w:val="BodyTextIndent"/>
        <w:rPr>
          <w:rFonts w:cs="Arial"/>
        </w:rPr>
      </w:pPr>
      <w:r>
        <w:rPr>
          <w:rFonts w:cs="Arial"/>
        </w:rPr>
        <w:t>The need for reform in this area is driven by strong international competitiveness concerns.  In the case of pipeline transportation, a comprehensive gas transportation system is only now being developed in many areas of the world.  Under the present rules dealing with FBCORI, only a limited amount of income from such cross-border pipeline systems would qualify for deferral from U.S. taxation.  The FBCORI rules place U.S. developers at a significant disadvantage vis-à-vis their foreign competitors, thereby making it more likely that foreign companies will play a more significant role in developing and owning these pipelines systems.</w:t>
      </w:r>
    </w:p>
    <w:p>
      <w:pPr>
        <w:pStyle w:val="Normal"/>
        <w:ind w:start="450" w:end="0"/>
        <w:rPr>
          <w:rFonts w:ascii="Arial" w:hAnsi="Arial" w:cs="Arial"/>
          <w:sz w:val="22"/>
        </w:rPr>
      </w:pPr>
      <w:r>
        <w:rPr>
          <w:rFonts w:cs="Arial" w:ascii="Arial" w:hAnsi="Arial"/>
          <w:sz w:val="22"/>
        </w:rPr>
      </w:r>
    </w:p>
    <w:p>
      <w:pPr>
        <w:pStyle w:val="Normal"/>
        <w:ind w:start="450" w:end="0"/>
        <w:rPr>
          <w:rFonts w:ascii="Arial" w:hAnsi="Arial" w:cs="Arial"/>
          <w:sz w:val="22"/>
        </w:rPr>
      </w:pPr>
      <w:r>
        <w:rPr>
          <w:rFonts w:cs="Arial" w:ascii="Arial" w:hAnsi="Arial"/>
          <w:sz w:val="22"/>
        </w:rPr>
        <w:t>A similar problem is emerging in the development of high voltage electricity transmission systems in other parts of the world.  Under current tax rules, it is possible that the transmission of electricity on behalf of a related party could be considered FBCSI.  Therefore, if a CFC owned a cross-border transmission system which carried electricity generated by a related CFC, the income earned in the destination country could possibly be taxed under Subpart F.  Again, failure to clarify the FBCSI rules in this area will place U.S. developers at a disadvantage as compared to their foreign counterparts.</w:t>
      </w:r>
    </w:p>
    <w:p>
      <w:pPr>
        <w:pStyle w:val="Normal"/>
        <w:ind w:start="450" w:end="0"/>
        <w:rPr>
          <w:rFonts w:ascii="Arial" w:hAnsi="Arial" w:cs="Arial"/>
          <w:sz w:val="22"/>
        </w:rPr>
      </w:pPr>
      <w:r>
        <w:rPr>
          <w:rFonts w:cs="Arial" w:ascii="Arial" w:hAnsi="Arial"/>
          <w:sz w:val="22"/>
        </w:rPr>
      </w:r>
    </w:p>
    <w:p>
      <w:pPr>
        <w:pStyle w:val="Normal"/>
        <w:numPr>
          <w:ilvl w:val="0"/>
          <w:numId w:val="2"/>
        </w:numPr>
        <w:rPr>
          <w:rFonts w:ascii="Arial" w:hAnsi="Arial" w:cs="Arial"/>
          <w:sz w:val="22"/>
        </w:rPr>
      </w:pPr>
      <w:r>
        <w:rPr>
          <w:rFonts w:cs="Arial" w:ascii="Arial" w:hAnsi="Arial"/>
          <w:b/>
          <w:bCs/>
          <w:sz w:val="22"/>
          <w:u w:val="single"/>
        </w:rPr>
        <w:t>Look-Through Treatment for Partnership Sales</w:t>
      </w:r>
      <w:r>
        <w:rPr>
          <w:rFonts w:cs="Arial" w:ascii="Arial" w:hAnsi="Arial"/>
          <w:sz w:val="22"/>
          <w:u w:val="single"/>
        </w:rPr>
        <w:t>:</w:t>
      </w:r>
      <w:r>
        <w:rPr>
          <w:rFonts w:cs="Arial" w:ascii="Arial" w:hAnsi="Arial"/>
          <w:sz w:val="22"/>
        </w:rPr>
        <w:t xml:space="preserve">  When Enron bids on large foreign infrastructure projects (pipelines, power projects, etc.), it usually looks for partners to spread the risk.  However it is not always possible to identify all project partners before project development commences.  Under current tax laws, when the first partner is added there is no U.S. tax consequence.  However, when a second, third, or fourth partner is added, the income received from those partners would be taxed in the foreign country and in the U.S.  This proposal would treat a sale of a partnership interest as a sale of the underlying assets, therefore avoiding Subpart F income.  It would also conform the Subpart F treatment of sales of partnership interests with the treatment under other areas of the Code.</w:t>
      </w:r>
    </w:p>
    <w:p>
      <w:pPr>
        <w:pStyle w:val="Normal"/>
        <w:rPr>
          <w:rFonts w:ascii="Arial" w:hAnsi="Arial" w:cs="Arial"/>
          <w:sz w:val="22"/>
          <w:u w:val="single"/>
        </w:rPr>
      </w:pPr>
      <w:r>
        <w:rPr>
          <w:rFonts w:cs="Arial" w:ascii="Arial" w:hAnsi="Arial"/>
          <w:sz w:val="22"/>
          <w:u w:val="single"/>
        </w:rPr>
      </w:r>
    </w:p>
    <w:p>
      <w:pPr>
        <w:pStyle w:val="Normal"/>
        <w:numPr>
          <w:ilvl w:val="0"/>
          <w:numId w:val="2"/>
        </w:numPr>
        <w:rPr>
          <w:rFonts w:ascii="Arial" w:hAnsi="Arial" w:cs="Arial"/>
          <w:sz w:val="22"/>
        </w:rPr>
      </w:pPr>
      <w:r>
        <w:rPr>
          <w:rFonts w:cs="Arial" w:ascii="Arial" w:hAnsi="Arial"/>
          <w:b/>
          <w:bCs/>
          <w:sz w:val="22"/>
          <w:u w:val="single"/>
        </w:rPr>
        <w:t>Exclude “Non-binding Intent Agreements” From the Definition of Intangibles</w:t>
      </w:r>
      <w:r>
        <w:rPr>
          <w:rFonts w:cs="Arial" w:ascii="Arial" w:hAnsi="Arial"/>
          <w:sz w:val="22"/>
          <w:u w:val="single"/>
        </w:rPr>
        <w:t>:</w:t>
      </w:r>
      <w:r>
        <w:rPr>
          <w:rFonts w:cs="Arial" w:ascii="Arial" w:hAnsi="Arial"/>
          <w:sz w:val="22"/>
        </w:rPr>
        <w:t xml:space="preserve">  In negotiating foreign infrastructure projects, Enron always executes preliminary non-binding agreements [memoranda of understanding (“MOU’s”) etc.] through foreign corporations created for this purpose.  While these projects frequently do not result in a final agreement, this practice is used to avoid attribution of income to Enron in the event the deal is successful.  If these agreements were entered into by Enron itself, those agreements resulting in successful projects would be treated by the IRS as taxable outbound transfers.  Enron often develops more than a hundred separate foreign project company structures each year.  Since most of these structures are never used, current tax law results in gross inefficiencies because Enron is forced to file informational returns to the IRS and incur unnecessary administrative expenses on many companies that have no assets.  This results in as much as $30,000 per company in annual administrative costs for Enron.  The IRS also incurs unnecessary costs in processing a large volume of forms for these companies with little or no activity.  Excluding non-binding intent agreements from the definition of intangibles would avoid this nonsensical and costly result.</w:t>
      </w:r>
    </w:p>
    <w:p>
      <w:pPr>
        <w:pStyle w:val="Normal"/>
        <w:rPr>
          <w:rFonts w:ascii="Arial" w:hAnsi="Arial" w:cs="Arial"/>
          <w:sz w:val="22"/>
          <w:u w:val="single"/>
        </w:rPr>
      </w:pPr>
      <w:r>
        <w:rPr>
          <w:rFonts w:cs="Arial" w:ascii="Arial" w:hAnsi="Arial"/>
          <w:sz w:val="22"/>
          <w:u w:val="single"/>
        </w:rPr>
      </w:r>
    </w:p>
    <w:p>
      <w:pPr>
        <w:pStyle w:val="Normal"/>
        <w:numPr>
          <w:ilvl w:val="0"/>
          <w:numId w:val="2"/>
        </w:numPr>
        <w:rPr>
          <w:rFonts w:ascii="Arial" w:hAnsi="Arial" w:cs="Arial"/>
          <w:sz w:val="22"/>
        </w:rPr>
      </w:pPr>
      <w:r>
        <w:rPr>
          <w:rFonts w:cs="Arial" w:ascii="Arial" w:hAnsi="Arial"/>
          <w:b/>
          <w:bCs/>
          <w:sz w:val="22"/>
          <w:u w:val="single"/>
        </w:rPr>
        <w:t>Change Method of Computing the High Tax Exception</w:t>
      </w:r>
      <w:r>
        <w:rPr>
          <w:rFonts w:cs="Arial" w:ascii="Arial" w:hAnsi="Arial"/>
          <w:sz w:val="22"/>
          <w:u w:val="single"/>
        </w:rPr>
        <w:t>:</w:t>
      </w:r>
      <w:r>
        <w:rPr>
          <w:rFonts w:cs="Arial" w:ascii="Arial" w:hAnsi="Arial"/>
          <w:sz w:val="22"/>
        </w:rPr>
        <w:t xml:space="preserve">  Pursuant to the “high tax exception” to Subpart F, a U.S. corporate shareholder should not be currently taxed on Subpart F income earned by a CFC if such income is subject to a foreign tax rate at least equal to 90% of the U.S. corporate rate.  The legislative history of this provision indicates that the high tax exception was intended to provide taxpayers with certainty and should be applied broadly where there is no tax avoidance.</w:t>
      </w:r>
    </w:p>
    <w:p>
      <w:pPr>
        <w:pStyle w:val="Normal"/>
        <w:rPr>
          <w:rFonts w:ascii="Arial" w:hAnsi="Arial" w:cs="Arial"/>
          <w:sz w:val="22"/>
        </w:rPr>
      </w:pPr>
      <w:r>
        <w:rPr>
          <w:rFonts w:cs="Arial" w:ascii="Arial" w:hAnsi="Arial"/>
          <w:sz w:val="22"/>
        </w:rPr>
      </w:r>
    </w:p>
    <w:p>
      <w:pPr>
        <w:pStyle w:val="BodyTextIndent"/>
        <w:rPr>
          <w:rFonts w:cs="Arial"/>
        </w:rPr>
      </w:pPr>
      <w:r>
        <w:rPr>
          <w:rFonts w:cs="Arial"/>
        </w:rPr>
        <w:t>However, the final regulations require that the high tax exception be computed in U.S. dollars using U.S. earnings and profits adjustments.  The requirement to use the U.S. dollar translation of earnings and taxes introduces exchange rate uncertainties that make it impossible to rely on the high tax exception with any certainty.</w:t>
      </w:r>
    </w:p>
    <w:p>
      <w:pPr>
        <w:pStyle w:val="Normal"/>
        <w:ind w:start="450" w:end="0"/>
        <w:rPr>
          <w:rFonts w:ascii="Arial" w:hAnsi="Arial" w:cs="Arial"/>
          <w:sz w:val="22"/>
        </w:rPr>
      </w:pPr>
      <w:r>
        <w:rPr>
          <w:rFonts w:cs="Arial" w:ascii="Arial" w:hAnsi="Arial"/>
          <w:sz w:val="22"/>
        </w:rPr>
      </w:r>
    </w:p>
    <w:p>
      <w:pPr>
        <w:pStyle w:val="Normal"/>
        <w:ind w:start="450" w:end="0"/>
        <w:rPr>
          <w:rFonts w:ascii="Arial" w:hAnsi="Arial" w:cs="Arial"/>
          <w:sz w:val="22"/>
        </w:rPr>
      </w:pPr>
      <w:r>
        <w:rPr>
          <w:rFonts w:cs="Arial" w:ascii="Arial" w:hAnsi="Arial"/>
          <w:sz w:val="22"/>
        </w:rPr>
        <w:t>Therefore, legislative clarification is needed to make the following changes so that the high tax exception can fulfill its stated purpose:  (a) the exception should be computed in the functional currency of the CFC to avoid exchange rate uncertainties; (b) the computation should be based solely on foreign taxes paid or accrued during the year; and (c) the tax rate comparison should be made to U.S. taxes that would be due if the CFC were conducting the same business in the United States.</w:t>
      </w:r>
    </w:p>
    <w:p>
      <w:pPr>
        <w:pStyle w:val="Normal"/>
        <w:ind w:start="450" w:end="0"/>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Heading2"/>
        <w:ind w:hanging="0" w:start="0"/>
        <w:rPr>
          <w:rFonts w:cs="Arial"/>
          <w:i/>
          <w:i/>
          <w:iCs/>
          <w:sz w:val="22"/>
          <w:u w:val="single"/>
        </w:rPr>
      </w:pPr>
      <w:r>
        <w:rPr>
          <w:rFonts w:cs="Arial"/>
          <w:i/>
          <w:iCs/>
          <w:sz w:val="22"/>
          <w:u w:val="single"/>
        </w:rPr>
        <w:t>III.  Miscellaneous Issues</w:t>
      </w:r>
    </w:p>
    <w:p>
      <w:pPr>
        <w:pStyle w:val="Normal"/>
        <w:rPr>
          <w:rFonts w:ascii="Arial" w:hAnsi="Arial" w:cs="Arial"/>
          <w:i/>
          <w:i/>
          <w:iCs/>
          <w:sz w:val="22"/>
          <w:u w:val="single"/>
        </w:rPr>
      </w:pPr>
      <w:r>
        <w:rPr>
          <w:rFonts w:cs="Arial" w:ascii="Arial" w:hAnsi="Arial"/>
          <w:i/>
          <w:iCs/>
          <w:sz w:val="22"/>
          <w:u w:val="single"/>
        </w:rPr>
      </w:r>
    </w:p>
    <w:p>
      <w:pPr>
        <w:pStyle w:val="Normal"/>
        <w:rPr>
          <w:rFonts w:ascii="Arial" w:hAnsi="Arial" w:cs="Arial"/>
          <w:sz w:val="22"/>
          <w:u w:val="single"/>
        </w:rPr>
      </w:pPr>
      <w:r>
        <w:rPr>
          <w:rFonts w:cs="Arial" w:ascii="Arial" w:hAnsi="Arial"/>
          <w:sz w:val="22"/>
          <w:u w:val="single"/>
        </w:rPr>
      </w:r>
    </w:p>
    <w:p>
      <w:pPr>
        <w:pStyle w:val="Normal"/>
        <w:rPr/>
      </w:pPr>
      <w:r>
        <w:rPr>
          <w:rFonts w:eastAsia="Arial" w:cs="Arial" w:ascii="Arial" w:hAnsi="Arial"/>
          <w:b/>
          <w:bCs/>
          <w:sz w:val="22"/>
          <w:u w:val="single"/>
        </w:rPr>
        <w:t xml:space="preserve"> </w:t>
      </w:r>
      <w:r>
        <w:rPr>
          <w:rFonts w:cs="Arial" w:ascii="Arial" w:hAnsi="Arial"/>
          <w:b/>
          <w:bCs/>
          <w:sz w:val="22"/>
          <w:u w:val="single"/>
        </w:rPr>
        <w:t>“</w:t>
      </w:r>
      <w:r>
        <w:rPr>
          <w:rFonts w:cs="Arial" w:ascii="Arial" w:hAnsi="Arial"/>
          <w:b/>
          <w:bCs/>
          <w:sz w:val="22"/>
          <w:u w:val="single"/>
        </w:rPr>
        <w:t>Digital Divide Access to Technology Act</w:t>
      </w:r>
      <w:r>
        <w:rPr>
          <w:rFonts w:cs="Arial" w:ascii="Arial" w:hAnsi="Arial"/>
          <w:sz w:val="22"/>
          <w:u w:val="single"/>
        </w:rPr>
        <w:t>”.</w:t>
      </w:r>
      <w:r>
        <w:rPr>
          <w:rFonts w:cs="Arial" w:ascii="Arial" w:hAnsi="Arial"/>
          <w:sz w:val="22"/>
        </w:rPr>
        <w:t xml:space="preserve">  Bill would treat the value of employer-provided computers and employer-provided computers and subsidized internet access as de minimis fringes under Code Section 132 (e) if certain conditions were satisfied.  As a result, employees could exclude from gross income the value of such computers (up to $1,260 if employee-owned, or up to $35 per month if not employee-owned) and internet access (no dollar limit).  The exclusion for these benefits would apply on a three-year basis.  Ken Lay signed letters to various congressional representatives in support of this bill on August 31, 2000.</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Senate bill comparable to the above House proposal.  Bill would treat employer-provided computers and subsidized internet access as “Qualified Home Computer Fringes” under Code Section 132 (instead of de minimis fringes) if certain conditions were satisfied.  S. 2601 differs from the House bill by not imposing a ceiling on the dollar value of the computer benefit that could be provided.</w:t>
      </w:r>
    </w:p>
    <w:p>
      <w:pPr>
        <w:pStyle w:val="Normal"/>
        <w:rPr>
          <w:rFonts w:ascii="Arial" w:hAnsi="Arial" w:cs="Arial"/>
          <w:sz w:val="22"/>
        </w:rPr>
      </w:pPr>
      <w:r>
        <w:rPr>
          <w:rFonts w:cs="Arial" w:ascii="Arial" w:hAnsi="Arial"/>
          <w:sz w:val="22"/>
        </w:rPr>
      </w:r>
    </w:p>
    <w:p>
      <w:pPr>
        <w:pStyle w:val="Normal"/>
        <w:rPr/>
      </w:pPr>
      <w:r>
        <w:rPr>
          <w:rFonts w:cs="Arial" w:ascii="Arial" w:hAnsi="Arial"/>
          <w:b/>
          <w:bCs/>
          <w:sz w:val="22"/>
          <w:u w:val="single"/>
        </w:rPr>
        <w:t xml:space="preserve">Wind Production Tax Credit. </w:t>
      </w:r>
      <w:r>
        <w:rPr>
          <w:rFonts w:cs="Arial" w:ascii="Arial" w:hAnsi="Arial"/>
          <w:b/>
          <w:bCs/>
          <w:sz w:val="22"/>
        </w:rPr>
        <w:t xml:space="preserve">  </w:t>
      </w:r>
      <w:r>
        <w:rPr>
          <w:rFonts w:cs="Arial" w:ascii="Arial" w:hAnsi="Arial"/>
          <w:sz w:val="22"/>
        </w:rPr>
        <w:t>Extend the WPTC permanently.</w:t>
      </w:r>
    </w:p>
    <w:p>
      <w:pPr>
        <w:pStyle w:val="Normal"/>
        <w:rPr>
          <w:rFonts w:ascii="Arial" w:hAnsi="Arial" w:cs="Arial"/>
          <w:b/>
          <w:bCs/>
          <w:sz w:val="22"/>
          <w:u w:val="single"/>
        </w:rPr>
      </w:pPr>
      <w:r>
        <w:rPr>
          <w:rFonts w:cs="Arial" w:ascii="Arial" w:hAnsi="Arial"/>
          <w:b/>
          <w:bCs/>
          <w:sz w:val="22"/>
          <w:u w:val="single"/>
        </w:rPr>
      </w:r>
    </w:p>
    <w:p>
      <w:pPr>
        <w:pStyle w:val="Normal"/>
        <w:rPr/>
      </w:pPr>
      <w:r>
        <w:rPr>
          <w:rFonts w:cs="Arial" w:ascii="Arial" w:hAnsi="Arial"/>
          <w:b/>
          <w:bCs/>
          <w:sz w:val="22"/>
          <w:u w:val="single"/>
        </w:rPr>
        <w:t>Energy Efficient Building Incentives</w:t>
      </w:r>
      <w:r>
        <w:rPr>
          <w:rFonts w:cs="Arial" w:ascii="Arial" w:hAnsi="Arial"/>
          <w:sz w:val="22"/>
          <w:u w:val="single"/>
        </w:rPr>
        <w:t xml:space="preserve">. </w:t>
      </w:r>
      <w:r>
        <w:rPr>
          <w:rFonts w:cs="Arial" w:ascii="Arial" w:hAnsi="Arial"/>
          <w:sz w:val="22"/>
        </w:rPr>
        <w:t>Legislation to establish tax credits for energy efficient property.</w:t>
      </w:r>
      <w:r>
        <w:br w:type="page"/>
      </w:r>
    </w:p>
    <w:p>
      <w:pPr>
        <w:pStyle w:val="Normal"/>
        <w:jc w:val="center"/>
        <w:rPr>
          <w:rFonts w:ascii="Arial" w:hAnsi="Arial" w:cs="Arial"/>
          <w:b/>
          <w:bCs/>
          <w:sz w:val="22"/>
        </w:rPr>
      </w:pPr>
      <w:r>
        <w:rPr>
          <w:rFonts w:cs="Arial" w:ascii="Arial" w:hAnsi="Arial"/>
          <w:b/>
          <w:bCs/>
          <w:sz w:val="22"/>
        </w:rPr>
        <w:t>Attachment II</w:t>
      </w:r>
    </w:p>
    <w:sectPr>
      <w:type w:val="continuous"/>
      <w:pgSz w:w="12240" w:h="15840"/>
      <w:pgMar w:left="1800" w:right="1800" w:gutter="0" w:header="0" w:top="1440" w:footer="720" w:bottom="1440"/>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Fonts w:cs="Arial" w:ascii="Arial" w:hAnsi="Arial"/>
        <w:sz w:val="22"/>
      </w:rPr>
      <w:t>-</w:t>
    </w:r>
    <w:r>
      <w:rPr>
        <w:rStyle w:val="PageNumber"/>
        <w:rFonts w:cs="Arial" w:ascii="Arial" w:hAnsi="Arial"/>
        <w:sz w:val="22"/>
      </w:rPr>
      <w:fldChar w:fldCharType="begin"/>
    </w:r>
    <w:r>
      <w:rPr>
        <w:rStyle w:val="PageNumber"/>
        <w:sz w:val="22"/>
        <w:rFonts w:cs="Arial" w:ascii="Arial" w:hAnsi="Arial"/>
      </w:rPr>
      <w:instrText xml:space="preserve"> PAGE </w:instrText>
    </w:r>
    <w:r>
      <w:rPr>
        <w:rStyle w:val="PageNumber"/>
        <w:sz w:val="22"/>
        <w:rFonts w:cs="Arial" w:ascii="Arial" w:hAnsi="Arial"/>
      </w:rPr>
      <w:fldChar w:fldCharType="separate"/>
    </w:r>
    <w:r>
      <w:rPr>
        <w:rStyle w:val="PageNumber"/>
        <w:sz w:val="22"/>
        <w:rFonts w:cs="Arial" w:ascii="Arial" w:hAnsi="Arial"/>
      </w:rPr>
      <w:t>7</w:t>
    </w:r>
    <w:r>
      <w:rPr>
        <w:rStyle w:val="PageNumber"/>
        <w:sz w:val="22"/>
        <w:rFonts w:cs="Arial" w:ascii="Arial" w:hAnsi="Arial"/>
      </w:rPr>
      <w:fldChar w:fldCharType="end"/>
    </w:r>
    <w:r>
      <w:rPr>
        <w:rStyle w:val="PageNumber"/>
        <w:rFonts w:cs="Arial" w:ascii="Arial" w:hAnsi="Arial"/>
        <w:sz w:val="22"/>
      </w:rPr>
      <w:t>-</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Fonts w:cs="Arial" w:ascii="Arial" w:hAnsi="Arial"/>
        <w:sz w:val="22"/>
      </w:rPr>
      <w:t>-</w:t>
    </w:r>
    <w:r>
      <w:rPr>
        <w:rStyle w:val="PageNumber"/>
        <w:rFonts w:cs="Arial" w:ascii="Arial" w:hAnsi="Arial"/>
        <w:sz w:val="22"/>
      </w:rPr>
      <w:fldChar w:fldCharType="begin"/>
    </w:r>
    <w:r>
      <w:rPr>
        <w:rStyle w:val="PageNumber"/>
        <w:sz w:val="22"/>
        <w:rFonts w:cs="Arial" w:ascii="Arial" w:hAnsi="Arial"/>
      </w:rPr>
      <w:instrText xml:space="preserve"> PAGE </w:instrText>
    </w:r>
    <w:r>
      <w:rPr>
        <w:rStyle w:val="PageNumber"/>
        <w:sz w:val="22"/>
        <w:rFonts w:cs="Arial" w:ascii="Arial" w:hAnsi="Arial"/>
      </w:rPr>
      <w:fldChar w:fldCharType="separate"/>
    </w:r>
    <w:r>
      <w:rPr>
        <w:rStyle w:val="PageNumber"/>
        <w:sz w:val="22"/>
        <w:rFonts w:cs="Arial" w:ascii="Arial" w:hAnsi="Arial"/>
      </w:rPr>
      <w:t>1</w:t>
    </w:r>
    <w:r>
      <w:rPr>
        <w:rStyle w:val="PageNumber"/>
        <w:sz w:val="22"/>
        <w:rFonts w:cs="Arial" w:ascii="Arial" w:hAnsi="Arial"/>
      </w:rPr>
      <w:fldChar w:fldCharType="end"/>
    </w:r>
    <w:r>
      <w:rPr>
        <w:rStyle w:val="PageNumber"/>
        <w:rFonts w:cs="Arial" w:ascii="Arial" w:hAnsi="Arial"/>
        <w:sz w:val="22"/>
      </w:rPr>
      <w:t>-</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450"/>
        </w:tabs>
        <w:ind w:start="450" w:hanging="450"/>
      </w:pPr>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abstractNum w:abstractNumId="4">
    <w:lvl w:ilvl="0">
      <w:start w:val="1"/>
      <w:numFmt w:val="bullet"/>
      <w:lvlText w:val=""/>
      <w:lvlJc w:val="start"/>
      <w:pPr>
        <w:tabs>
          <w:tab w:val="num" w:pos="720"/>
        </w:tabs>
        <w:ind w:start="720" w:hanging="360"/>
      </w:pPr>
      <w:rPr>
        <w:rFonts w:ascii="Symbol" w:hAnsi="Symbol" w:cs="Symbol" w:hint="default"/>
      </w:rPr>
    </w:lvl>
  </w:abstractNum>
  <w:abstractNum w:abstractNumId="5">
    <w:lvl w:ilvl="0">
      <w:start w:val="1"/>
      <w:numFmt w:val="bullet"/>
      <w:lvlText w:val=""/>
      <w:lvlJc w:val="start"/>
      <w:pPr>
        <w:tabs>
          <w:tab w:val="num" w:pos="720"/>
        </w:tabs>
        <w:ind w:start="720" w:hanging="360"/>
      </w:pPr>
      <w:rPr>
        <w:rFonts w:ascii="Symbol" w:hAnsi="Symbol" w:cs="Symbol" w:hint="default"/>
      </w:rPr>
    </w:lvl>
  </w:abstractNum>
  <w:abstractNum w:abstractNumId="6">
    <w:lvl w:ilvl="0">
      <w:start w:val="1"/>
      <w:numFmt w:val="lowerLetter"/>
      <w:lvlText w:val="%1)"/>
      <w:lvlJc w:val="start"/>
      <w:pPr>
        <w:tabs>
          <w:tab w:val="num" w:pos="720"/>
        </w:tabs>
        <w:ind w:start="720" w:hanging="36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rFonts w:ascii="Arial" w:hAnsi="Arial" w:cs="Arial"/>
      <w:b/>
      <w:i/>
      <w:sz w:val="22"/>
      <w:szCs w:val="20"/>
      <w:u w:val="single"/>
    </w:rPr>
  </w:style>
  <w:style w:type="paragraph" w:styleId="Heading2">
    <w:name w:val="heading 2"/>
    <w:basedOn w:val="Normal"/>
    <w:next w:val="Normal"/>
    <w:qFormat/>
    <w:pPr>
      <w:keepNext w:val="true"/>
      <w:numPr>
        <w:ilvl w:val="1"/>
        <w:numId w:val="1"/>
      </w:numPr>
      <w:outlineLvl w:val="1"/>
    </w:pPr>
    <w:rPr>
      <w:rFonts w:ascii="Arial" w:hAnsi="Arial" w:cs="Arial"/>
      <w:b/>
      <w:bCs/>
      <w:szCs w:val="20"/>
    </w:rPr>
  </w:style>
  <w:style w:type="paragraph" w:styleId="Heading3">
    <w:name w:val="heading 3"/>
    <w:basedOn w:val="Normal"/>
    <w:next w:val="Normal"/>
    <w:qFormat/>
    <w:pPr>
      <w:keepNext w:val="true"/>
      <w:numPr>
        <w:ilvl w:val="2"/>
        <w:numId w:val="1"/>
      </w:numPr>
      <w:outlineLvl w:val="2"/>
    </w:pPr>
    <w:rPr>
      <w:rFonts w:ascii="Arial" w:hAnsi="Arial" w:cs="Arial"/>
      <w:b/>
      <w:bCs/>
      <w:sz w:val="28"/>
    </w:rPr>
  </w:style>
  <w:style w:type="paragraph" w:styleId="Heading4">
    <w:name w:val="heading 4"/>
    <w:basedOn w:val="Normal"/>
    <w:next w:val="Normal"/>
    <w:qFormat/>
    <w:pPr>
      <w:keepNext w:val="true"/>
      <w:numPr>
        <w:ilvl w:val="3"/>
        <w:numId w:val="1"/>
      </w:numPr>
      <w:outlineLvl w:val="3"/>
    </w:pPr>
    <w:rPr>
      <w:rFonts w:ascii="Arial" w:hAnsi="Arial" w:cs="Arial"/>
      <w:b/>
      <w:bCs/>
      <w:sz w:val="22"/>
    </w:rPr>
  </w:style>
  <w:style w:type="character" w:styleId="WW8Num1z0">
    <w:name w:val="WW8Num1z0"/>
    <w:qFormat/>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Arial" w:hAnsi="Arial" w:cs="Arial"/>
      <w:b/>
      <w:bCs/>
      <w:sz w:val="22"/>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450" w:end="0"/>
    </w:pPr>
    <w:rPr>
      <w:rFonts w:ascii="Arial" w:hAnsi="Arial" w:cs="Arial"/>
      <w:sz w:val="22"/>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179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2001-02-06T13:49:00Z</dcterms:created>
  <dc:creator>lsulliv</dc:creator>
  <dc:description/>
  <dc:language>en-CA</dc:language>
  <cp:lastModifiedBy>lsulliv</cp:lastModifiedBy>
  <cp:lastPrinted>2001-02-06T15:06:00Z</cp:lastPrinted>
  <dcterms:modified xsi:type="dcterms:W3CDTF">2001-02-06T17:45:00Z</dcterms:modified>
  <cp:revision>61</cp:revision>
  <dc:subject/>
  <dc:title>TO:</dc:title>
</cp:coreProperties>
</file>