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Credit Concerns Regarding Authority Granted to DWR in AB1X to Purchase Electricity on Behalf of the Utilities </w:t>
      </w:r>
    </w:p>
    <w:p>
      <w:pPr>
        <w:pStyle w:val="Normal"/>
        <w:rPr>
          <w:sz w:val="20"/>
        </w:rPr>
      </w:pPr>
      <w:r>
        <w:rPr>
          <w:sz w:val="20"/>
        </w:rPr>
      </w:r>
    </w:p>
    <w:p>
      <w:pPr>
        <w:pStyle w:val="Normal"/>
        <w:numPr>
          <w:ilvl w:val="0"/>
          <w:numId w:val="2"/>
        </w:numPr>
        <w:tabs>
          <w:tab w:val="clear" w:pos="720"/>
        </w:tabs>
        <w:ind w:hanging="540" w:start="540" w:end="0"/>
        <w:rPr>
          <w:sz w:val="20"/>
        </w:rPr>
      </w:pPr>
      <w:r>
        <w:rPr>
          <w:sz w:val="20"/>
        </w:rPr>
        <w:t>Enron responded to the RFP issued by DWR to enter into power contracts with suppliers.</w:t>
      </w:r>
    </w:p>
    <w:p>
      <w:pPr>
        <w:pStyle w:val="Normal"/>
        <w:numPr>
          <w:ilvl w:val="0"/>
          <w:numId w:val="2"/>
        </w:numPr>
        <w:tabs>
          <w:tab w:val="clear" w:pos="720"/>
        </w:tabs>
        <w:ind w:hanging="540" w:start="540" w:end="0"/>
        <w:rPr>
          <w:sz w:val="20"/>
        </w:rPr>
      </w:pPr>
      <w:r>
        <w:rPr>
          <w:sz w:val="20"/>
        </w:rPr>
        <w:t>Enron is in active discussions with DWR to establish contract terms with the goal of entering into a power purchase agreement as soon as possible.</w:t>
      </w:r>
    </w:p>
    <w:p>
      <w:pPr>
        <w:pStyle w:val="Normal"/>
        <w:numPr>
          <w:ilvl w:val="0"/>
          <w:numId w:val="2"/>
        </w:numPr>
        <w:tabs>
          <w:tab w:val="clear" w:pos="720"/>
        </w:tabs>
        <w:ind w:hanging="540" w:start="540" w:end="0"/>
        <w:rPr>
          <w:sz w:val="20"/>
        </w:rPr>
      </w:pPr>
      <w:r>
        <w:rPr>
          <w:sz w:val="20"/>
        </w:rPr>
        <w:t>However, ambiguities contained in AB1X have created significant credit risk concerns that need to be resolved in order to finalize contract terms.</w:t>
      </w:r>
    </w:p>
    <w:p>
      <w:pPr>
        <w:pStyle w:val="Normal"/>
        <w:numPr>
          <w:ilvl w:val="0"/>
          <w:numId w:val="2"/>
        </w:numPr>
        <w:tabs>
          <w:tab w:val="clear" w:pos="720"/>
        </w:tabs>
        <w:ind w:hanging="540" w:start="540" w:end="0"/>
        <w:rPr>
          <w:sz w:val="20"/>
        </w:rPr>
      </w:pPr>
      <w:r>
        <w:rPr>
          <w:sz w:val="20"/>
        </w:rPr>
        <w:t>We understand that the lion’s share of counterparties share Enron’s credit risk concerns.</w:t>
      </w:r>
    </w:p>
    <w:p>
      <w:pPr>
        <w:pStyle w:val="Normal"/>
        <w:numPr>
          <w:ilvl w:val="0"/>
          <w:numId w:val="2"/>
        </w:numPr>
        <w:tabs>
          <w:tab w:val="clear" w:pos="720"/>
        </w:tabs>
        <w:ind w:hanging="540" w:start="540" w:end="0"/>
        <w:rPr>
          <w:sz w:val="20"/>
        </w:rPr>
      </w:pPr>
      <w:r>
        <w:rPr>
          <w:sz w:val="20"/>
        </w:rPr>
        <w:t>Enron has proposed several options for resolving the credit risk issues and is working with DWR to arrive at a solution that is mutually agreeable to both sides and that might serve as a template for power purchase agreements going forward.</w:t>
      </w:r>
    </w:p>
    <w:p>
      <w:pPr>
        <w:pStyle w:val="Normal"/>
        <w:rPr>
          <w:sz w:val="20"/>
        </w:rPr>
      </w:pPr>
      <w:r>
        <w:rPr>
          <w:sz w:val="20"/>
        </w:rPr>
      </w:r>
    </w:p>
    <w:p>
      <w:pPr>
        <w:pStyle w:val="Heading1"/>
        <w:ind w:hanging="0" w:start="0"/>
        <w:rPr/>
      </w:pPr>
      <w:r>
        <w:rPr/>
        <w:t>Summary of the Source of the Credit Risk Issue</w:t>
      </w:r>
    </w:p>
    <w:p>
      <w:pPr>
        <w:pStyle w:val="Normal"/>
        <w:rPr>
          <w:sz w:val="20"/>
        </w:rPr>
      </w:pPr>
      <w:r>
        <w:rPr>
          <w:sz w:val="20"/>
        </w:rPr>
      </w:r>
    </w:p>
    <w:p>
      <w:pPr>
        <w:pStyle w:val="Heading1"/>
        <w:ind w:hanging="0" w:start="0"/>
        <w:rPr/>
      </w:pPr>
      <w:r>
        <w:rPr/>
        <w:t>Ambiguous Ratemaking Authority</w:t>
      </w:r>
    </w:p>
    <w:p>
      <w:pPr>
        <w:pStyle w:val="Normal"/>
        <w:rPr>
          <w:sz w:val="20"/>
        </w:rPr>
      </w:pPr>
      <w:r>
        <w:rPr>
          <w:sz w:val="20"/>
        </w:rPr>
        <w:t>The language in AB1X leaves ambiguous whether DWR has any authority to charge California ratepayers for the costs of purchasing power.  From our analysis of the bill, the language in AB1X appears to leave intact the California PUC’s exclusive jurisdiction over ratemaking in California.  As such, suppliers have no assurance that the PUC will agree to include in rates adequate charges to cover DWR’s costs of power purchases.</w:t>
      </w:r>
    </w:p>
    <w:p>
      <w:pPr>
        <w:pStyle w:val="Normal"/>
        <w:rPr>
          <w:sz w:val="20"/>
        </w:rPr>
      </w:pPr>
      <w:r>
        <w:rPr>
          <w:sz w:val="20"/>
        </w:rPr>
      </w:r>
    </w:p>
    <w:p>
      <w:pPr>
        <w:pStyle w:val="Heading1"/>
        <w:ind w:hanging="0" w:start="0"/>
        <w:rPr/>
      </w:pPr>
      <w:r>
        <w:rPr/>
        <w:t>Ambiguous Regulatory Authority Regarding Contract “Prudence”</w:t>
      </w:r>
    </w:p>
    <w:p>
      <w:pPr>
        <w:pStyle w:val="Normal"/>
        <w:rPr>
          <w:sz w:val="20"/>
        </w:rPr>
      </w:pPr>
      <w:r>
        <w:rPr>
          <w:sz w:val="20"/>
        </w:rPr>
        <w:t>The language in AB1X leaves open the possibility that the California Public Utilities Commission could determine that power purchases made by DWR are “imprudent.”  On the basis of such a finding, the CPUC could then refuse to allow DWR to collect from ratepayers the costs associated with its power purchases.  Consequently, suppliers have no assurance that the PUC will agree to include in rates the charges to cover the costs of power contracts that DWR has entered into with suppliers.</w:t>
      </w:r>
    </w:p>
    <w:p>
      <w:pPr>
        <w:pStyle w:val="Normal"/>
        <w:rPr>
          <w:sz w:val="20"/>
        </w:rPr>
      </w:pPr>
      <w:r>
        <w:rPr>
          <w:sz w:val="20"/>
        </w:rPr>
        <w:t xml:space="preserve"> </w:t>
      </w:r>
    </w:p>
    <w:p>
      <w:pPr>
        <w:pStyle w:val="BodyText"/>
        <w:rPr/>
      </w:pPr>
      <w:r>
        <w:rPr/>
        <w:t>Ambiguous Language Regarding the Ratemaking Mechanism that Will Be Used to Recover DWR’s Costs of Power Purchases</w:t>
      </w:r>
    </w:p>
    <w:p>
      <w:pPr>
        <w:pStyle w:val="Normal"/>
        <w:rPr>
          <w:sz w:val="20"/>
        </w:rPr>
      </w:pPr>
      <w:r>
        <w:rPr>
          <w:sz w:val="20"/>
        </w:rPr>
        <w:t>In addition to the ambiguity regarding ratemaking and regulatory authority noted above, the language in the bill is equally ambiguous with respect to the specific ratemaking “mechanics” that AB 1X directs the PUC to employ to permit DWR to recover its power purchase costs. Based on our analysis, it is extremely difficult to determine how the PUC would design the rates to ensure DWR recovers its power purchase costs.  Moreover, as currently drafted, it is difficult to determine whether AB1X would even permit the PUC to include in rates all of the charges necessary to fully recover DWR’s power purchase costs.  Again, this ambiguity raises significant credit risk concerns since suppliers have little assurance that DWR will have the ability to recover from ratepayers the costs of purchasing power.</w:t>
      </w:r>
    </w:p>
    <w:p>
      <w:pPr>
        <w:pStyle w:val="Normal"/>
        <w:rPr>
          <w:sz w:val="20"/>
        </w:rPr>
      </w:pPr>
      <w:r>
        <w:rPr>
          <w:sz w:val="20"/>
        </w:rPr>
      </w:r>
    </w:p>
    <w:p>
      <w:pPr>
        <w:pStyle w:val="Heading1"/>
        <w:ind w:hanging="0" w:start="0"/>
        <w:rPr/>
      </w:pPr>
      <w:r>
        <w:rPr/>
        <w:t xml:space="preserve">Options to Resolve Concerns Regarding Credit Risk </w:t>
      </w:r>
    </w:p>
    <w:p>
      <w:pPr>
        <w:pStyle w:val="Normal"/>
        <w:rPr>
          <w:sz w:val="20"/>
        </w:rPr>
      </w:pPr>
      <w:r>
        <w:rPr>
          <w:sz w:val="20"/>
        </w:rPr>
        <w:t>We have been working diligently with DWR officials to resolve the credit risk issues.  We have identified three options:</w:t>
      </w:r>
    </w:p>
    <w:p>
      <w:pPr>
        <w:pStyle w:val="Normal"/>
        <w:rPr>
          <w:sz w:val="20"/>
        </w:rPr>
      </w:pPr>
      <w:r>
        <w:rPr>
          <w:sz w:val="20"/>
        </w:rPr>
      </w:r>
    </w:p>
    <w:p>
      <w:pPr>
        <w:pStyle w:val="Heading1"/>
        <w:ind w:hanging="0" w:start="0"/>
        <w:rPr/>
      </w:pPr>
      <w:r>
        <w:rPr/>
        <w:t>Amend AB1X</w:t>
      </w:r>
    </w:p>
    <w:p>
      <w:pPr>
        <w:pStyle w:val="Normal"/>
        <w:rPr>
          <w:sz w:val="20"/>
        </w:rPr>
      </w:pPr>
      <w:r>
        <w:rPr>
          <w:sz w:val="20"/>
        </w:rPr>
        <w:t>The amendments, which are attached to this email, would clarify that a) the PUC would accept as “prudent and reasonable” all purchase costs incurred by DWR, and b) the PUC is obligated to include in rates the charges necessary to ensure that DWR fully recovers its costs of power purchases.  This is the preferred option, though we understand that the there may be some political challenges standing in the way of amending AB1X.  (See attached file entitled, “XXXX”.)</w:t>
      </w:r>
    </w:p>
    <w:p>
      <w:pPr>
        <w:pStyle w:val="Normal"/>
        <w:rPr>
          <w:sz w:val="20"/>
        </w:rPr>
      </w:pPr>
      <w:r>
        <w:rPr>
          <w:sz w:val="20"/>
        </w:rPr>
      </w:r>
    </w:p>
    <w:p>
      <w:pPr>
        <w:pStyle w:val="BodyText"/>
        <w:rPr/>
      </w:pPr>
      <w:r>
        <w:rPr/>
        <w:t>Clarify the Ambiguities in AB1X through an Order Issued by the PUC, and through Contract Language</w:t>
      </w:r>
    </w:p>
    <w:p>
      <w:pPr>
        <w:pStyle w:val="Normal"/>
        <w:rPr>
          <w:sz w:val="20"/>
        </w:rPr>
      </w:pPr>
      <w:r>
        <w:rPr>
          <w:sz w:val="20"/>
        </w:rPr>
        <w:t>This is the option that we are currently working with DWR officials to implement.  It is more complicated more complicated and could take significantly more time to implement.  We have attached electronic copies of the talking points related to the order that the California PUC would need to issue and the contract amendments necessary to resolve the credit issues.  (See attached file entitled, “XXXX.”)</w:t>
      </w:r>
    </w:p>
    <w:p>
      <w:pPr>
        <w:pStyle w:val="Normal"/>
        <w:rPr>
          <w:sz w:val="20"/>
        </w:rPr>
      </w:pPr>
      <w:r>
        <w:rPr>
          <w:sz w:val="20"/>
        </w:rPr>
      </w:r>
    </w:p>
    <w:p>
      <w:pPr>
        <w:pStyle w:val="Heading1"/>
        <w:ind w:hanging="0" w:start="0"/>
        <w:rPr/>
      </w:pPr>
      <w:r>
        <w:rPr/>
        <w:t>Make Use of Other Instruments Designed to Address Credit Risk</w:t>
      </w:r>
    </w:p>
    <w:p>
      <w:pPr>
        <w:pStyle w:val="Normal"/>
        <w:rPr>
          <w:sz w:val="20"/>
        </w:rPr>
      </w:pPr>
      <w:r>
        <w:rPr>
          <w:sz w:val="20"/>
        </w:rPr>
        <w:t>As indicated in our letter responding to DWR’s RFP, we are willing to accept other forms of credit from DWR.  Those options include a letter of credit, cash prepayment, or an acceptable form of collateral.  DWR officials have indicated to us that it prefers to pursue the second options, that is, clarifying the ambiguities in AB1X through a PUC order and through contract amendments.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432"/>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2001-02-15T15:03:00Z</dcterms:created>
  <dc:creator>jdasovic</dc:creator>
  <dc:description/>
  <dc:language>en-CA</dc:language>
  <cp:lastModifiedBy>jdasovic</cp:lastModifiedBy>
  <dcterms:modified xsi:type="dcterms:W3CDTF">2001-02-15T15:03:00Z</dcterms:modified>
  <cp:revision>2</cp:revision>
  <dc:subject/>
  <dc:title>Credit Concerns Regarding Authority Granted to DWR in AB1X to Purchase Electricity on Behalf of the Utilities </dc:title>
</cp:coreProperties>
</file>