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Jim:</w:t>
      </w:r>
    </w:p>
    <w:p>
      <w:pPr>
        <w:pStyle w:val="Normal"/>
        <w:rPr>
          <w:sz w:val="20"/>
        </w:rPr>
      </w:pPr>
      <w:r>
        <w:rPr>
          <w:sz w:val="20"/>
        </w:rPr>
        <w:t>It was a pleasure speaking with you yesterday.  Based on our conversation, this email includes the following:</w:t>
      </w:r>
    </w:p>
    <w:p>
      <w:pPr>
        <w:pStyle w:val="Normal"/>
        <w:rPr>
          <w:sz w:val="20"/>
        </w:rPr>
      </w:pPr>
      <w:r>
        <w:rPr>
          <w:sz w:val="20"/>
        </w:rPr>
      </w:r>
    </w:p>
    <w:p>
      <w:pPr>
        <w:pStyle w:val="Normal"/>
        <w:rPr>
          <w:sz w:val="20"/>
        </w:rPr>
      </w:pPr>
      <w:r>
        <w:rPr>
          <w:sz w:val="20"/>
        </w:rPr>
        <w:t>An Enron contact to discuss developing small-scale, distributed generation on Tribal lands.</w:t>
      </w:r>
    </w:p>
    <w:p>
      <w:pPr>
        <w:pStyle w:val="Normal"/>
        <w:rPr>
          <w:sz w:val="20"/>
        </w:rPr>
      </w:pPr>
      <w:r>
        <w:rPr>
          <w:sz w:val="20"/>
        </w:rPr>
      </w:r>
    </w:p>
    <w:p>
      <w:pPr>
        <w:pStyle w:val="Normal"/>
        <w:rPr>
          <w:sz w:val="20"/>
        </w:rPr>
      </w:pPr>
      <w:r>
        <w:rPr>
          <w:sz w:val="20"/>
        </w:rPr>
        <w:t>Our views on the impediments to small scale, distributed generation and suggestions on how to remove those impediments.</w:t>
      </w:r>
    </w:p>
    <w:p>
      <w:pPr>
        <w:pStyle w:val="Normal"/>
        <w:rPr>
          <w:sz w:val="20"/>
        </w:rPr>
      </w:pPr>
      <w:r>
        <w:rPr>
          <w:sz w:val="20"/>
        </w:rPr>
      </w:r>
    </w:p>
    <w:p>
      <w:pPr>
        <w:pStyle w:val="Normal"/>
        <w:rPr>
          <w:sz w:val="20"/>
        </w:rPr>
      </w:pPr>
      <w:r>
        <w:rPr>
          <w:sz w:val="20"/>
        </w:rPr>
        <w:t>A description of the credit issues that continue to impede DWR’s ability to sign contracts with power suppliers, and options to resolve them. Two possible options for addressing the credit issue are 1) a California PUC order clarifying that DWR will recover its power purchase costs through rates, and 2) an amendment to AB1X designed to accomplish the same goal.  I have attached talking points regarding the California PUC order and proposed amendments to AB1X.  We believe that an amendment to AB1X is the preferable option.</w:t>
      </w:r>
    </w:p>
    <w:p>
      <w:pPr>
        <w:pStyle w:val="Normal"/>
        <w:rPr>
          <w:sz w:val="20"/>
        </w:rPr>
      </w:pPr>
      <w:r>
        <w:rPr>
          <w:sz w:val="20"/>
        </w:rPr>
      </w:r>
    </w:p>
    <w:p>
      <w:pPr>
        <w:pStyle w:val="Normal"/>
        <w:rPr>
          <w:sz w:val="20"/>
        </w:rPr>
      </w:pPr>
      <w:r>
        <w:rPr>
          <w:sz w:val="20"/>
        </w:rPr>
        <w:t>Our assessment of the supply/demand picture in California and the West.</w:t>
      </w:r>
    </w:p>
    <w:p>
      <w:pPr>
        <w:pStyle w:val="Normal"/>
        <w:rPr>
          <w:sz w:val="20"/>
        </w:rPr>
      </w:pPr>
      <w:r>
        <w:rPr>
          <w:sz w:val="20"/>
        </w:rPr>
      </w:r>
    </w:p>
    <w:p>
      <w:pPr>
        <w:pStyle w:val="Normal"/>
        <w:rPr>
          <w:sz w:val="20"/>
        </w:rPr>
      </w:pPr>
      <w:r>
        <w:rPr>
          <w:sz w:val="20"/>
        </w:rPr>
        <w:t>Our suggestions for a legislative package designed to solve both the near- and long-term electricity crisis in California.  We will deliver to your office tomorrow detailed legislative language.  In those materials we will also identify existing bills that we believe can easily accommodate our proposed language.</w:t>
      </w:r>
    </w:p>
    <w:p>
      <w:pPr>
        <w:pStyle w:val="Normal"/>
        <w:rPr>
          <w:sz w:val="20"/>
        </w:rPr>
      </w:pPr>
      <w:r>
        <w:rPr>
          <w:sz w:val="20"/>
        </w:rPr>
      </w:r>
    </w:p>
    <w:p>
      <w:pPr>
        <w:pStyle w:val="Normal"/>
        <w:rPr>
          <w:sz w:val="20"/>
        </w:rPr>
      </w:pPr>
      <w:r>
        <w:rPr>
          <w:sz w:val="20"/>
        </w:rPr>
        <w:t>I hope that the information is useful.  Please do not hesitate to contact me if you would like to discuss these materials further, or if there is anything else that I can do to assist you.</w:t>
      </w:r>
    </w:p>
    <w:p>
      <w:pPr>
        <w:pStyle w:val="Normal"/>
        <w:rPr>
          <w:sz w:val="20"/>
        </w:rPr>
      </w:pPr>
      <w:r>
        <w:rPr>
          <w:sz w:val="20"/>
        </w:rPr>
      </w:r>
    </w:p>
    <w:p>
      <w:pPr>
        <w:pStyle w:val="Normal"/>
        <w:rPr>
          <w:sz w:val="20"/>
        </w:rPr>
      </w:pPr>
      <w:r>
        <w:rPr>
          <w:sz w:val="20"/>
        </w:rPr>
        <w:t>Regards,</w:t>
      </w:r>
    </w:p>
    <w:p>
      <w:pPr>
        <w:pStyle w:val="Normal"/>
        <w:rPr>
          <w:sz w:val="20"/>
        </w:rPr>
      </w:pPr>
      <w:r>
        <w:rPr>
          <w:sz w:val="20"/>
        </w:rPr>
        <w:t>Ken</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Contact Information to Discuss Interest Expressed by Native American Tribes in Installing Small-scale Generation on Tribal Lands</w:t>
      </w:r>
    </w:p>
    <w:p>
      <w:pPr>
        <w:pStyle w:val="Normal"/>
        <w:rPr>
          <w:sz w:val="20"/>
        </w:rPr>
      </w:pPr>
      <w:r>
        <w:rPr>
          <w:sz w:val="20"/>
        </w:rPr>
      </w:r>
    </w:p>
    <w:p>
      <w:pPr>
        <w:pStyle w:val="Normal"/>
        <w:rPr>
          <w:sz w:val="20"/>
        </w:rPr>
      </w:pPr>
      <w:r>
        <w:rPr>
          <w:sz w:val="20"/>
        </w:rPr>
        <w:t>David Parquet, Vice-President</w:t>
      </w:r>
    </w:p>
    <w:p>
      <w:pPr>
        <w:pStyle w:val="Normal"/>
        <w:rPr>
          <w:sz w:val="20"/>
        </w:rPr>
      </w:pPr>
      <w:r>
        <w:rPr>
          <w:sz w:val="20"/>
        </w:rPr>
        <w:t>Enron North America</w:t>
      </w:r>
    </w:p>
    <w:p>
      <w:pPr>
        <w:pStyle w:val="Normal"/>
        <w:rPr>
          <w:sz w:val="20"/>
        </w:rPr>
      </w:pPr>
      <w:r>
        <w:rPr>
          <w:sz w:val="20"/>
        </w:rPr>
        <w:t>101 California Street, Suite 1950</w:t>
      </w:r>
    </w:p>
    <w:p>
      <w:pPr>
        <w:pStyle w:val="Normal"/>
        <w:rPr>
          <w:sz w:val="20"/>
        </w:rPr>
      </w:pPr>
      <w:r>
        <w:rPr>
          <w:sz w:val="20"/>
        </w:rPr>
        <w:t>San Francisco, CA 94111</w:t>
      </w:r>
    </w:p>
    <w:p>
      <w:pPr>
        <w:pStyle w:val="Normal"/>
        <w:rPr>
          <w:sz w:val="20"/>
        </w:rPr>
      </w:pPr>
      <w:r>
        <w:rPr>
          <w:sz w:val="20"/>
        </w:rPr>
        <w:t>Phone:</w:t>
        <w:tab/>
        <w:t>415.782.7822</w:t>
      </w:r>
    </w:p>
    <w:p>
      <w:pPr>
        <w:pStyle w:val="Normal"/>
        <w:rPr>
          <w:sz w:val="20"/>
        </w:rPr>
      </w:pPr>
      <w:r>
        <w:rPr>
          <w:sz w:val="20"/>
        </w:rPr>
      </w:r>
    </w:p>
    <w:p>
      <w:pPr>
        <w:pStyle w:val="Normal"/>
        <w:rPr>
          <w:sz w:val="20"/>
        </w:rPr>
      </w:pPr>
      <w:r>
        <w:rPr>
          <w:sz w:val="20"/>
        </w:rPr>
      </w:r>
    </w:p>
    <w:p>
      <w:pPr>
        <w:pStyle w:val="Normal"/>
        <w:rPr>
          <w:sz w:val="20"/>
        </w:rPr>
      </w:pPr>
      <w:r>
        <w:rPr>
          <w:sz w:val="20"/>
        </w:rPr>
        <w:t>Key Barriers to Distributed Generation</w:t>
      </w:r>
    </w:p>
    <w:p>
      <w:pPr>
        <w:pStyle w:val="Normal"/>
        <w:rPr>
          <w:sz w:val="20"/>
        </w:rPr>
      </w:pPr>
      <w:r>
        <w:rPr>
          <w:sz w:val="20"/>
        </w:rPr>
      </w:r>
    </w:p>
    <w:p>
      <w:pPr>
        <w:pStyle w:val="Normal"/>
        <w:rPr>
          <w:sz w:val="20"/>
        </w:rPr>
      </w:pPr>
      <w:r>
        <w:rPr>
          <w:sz w:val="20"/>
        </w:rPr>
        <w:t>Excessive and Unnecessary Utility Stand-by Charges</w:t>
      </w:r>
    </w:p>
    <w:p>
      <w:pPr>
        <w:pStyle w:val="BodyTextIndent"/>
        <w:rPr/>
      </w:pPr>
      <w:r>
        <w:rPr>
          <w:sz w:val="20"/>
        </w:rPr>
        <w:t>Solution:</w:t>
        <w:tab/>
        <w:t>The executive orders issued by the Governor on February 14</w:t>
      </w:r>
      <w:r>
        <w:rPr>
          <w:sz w:val="20"/>
          <w:vertAlign w:val="superscript"/>
        </w:rPr>
        <w:t>th</w:t>
      </w:r>
      <w:r>
        <w:rPr>
          <w:sz w:val="20"/>
        </w:rPr>
        <w:t xml:space="preserve"> took a step in the right direction.  Utility stand-by charges have always been designed by the utilities to protect their monopoly position, extract monopoly prices from customers, or both.  But there is no reason to limit the elimination of these charges to generation facilities that are less than 1MW.  These limits will only lengthen unnecessarily the time it takes for California to close the significant gap between supply and demand and reduce the risk of black outs.  We would propose lifting the cap through amendments to SB27X, which is designed to facilitate development of distributed generation.</w:t>
      </w:r>
    </w:p>
    <w:p>
      <w:pPr>
        <w:pStyle w:val="Normal"/>
        <w:rPr>
          <w:sz w:val="20"/>
        </w:rPr>
      </w:pPr>
      <w:r>
        <w:rPr>
          <w:sz w:val="20"/>
        </w:rPr>
        <w:t xml:space="preserve"> </w:t>
      </w:r>
    </w:p>
    <w:p>
      <w:pPr>
        <w:pStyle w:val="Normal"/>
        <w:rPr>
          <w:sz w:val="20"/>
        </w:rPr>
      </w:pPr>
      <w:r>
        <w:rPr>
          <w:sz w:val="20"/>
        </w:rPr>
        <w:t>Excessive delays and costs related to interconnecting facilities with investor-owned and municipal utilities</w:t>
      </w:r>
    </w:p>
    <w:p>
      <w:pPr>
        <w:pStyle w:val="BodyTextIndent"/>
        <w:rPr>
          <w:sz w:val="20"/>
        </w:rPr>
      </w:pPr>
      <w:r>
        <w:rPr>
          <w:sz w:val="20"/>
        </w:rPr>
        <w:t xml:space="preserve">Solution:  </w:t>
        <w:tab/>
        <w:t>The Governor’s executive order regarding interconnection is a step in the right direction—D-D-26-01 requires utilities to complete interconnection studies within 7 days.  California should ensure that this requirement applies to all generation facilities, including distributed generation.  In addition, the financial conflicts the utilities face when interconnecting generation facilities are simply too powerful to overcome through executive orders or other regulations.  To the greatest extent possible, California should shift control over interconnection away from the utility and place that control with the California ISO.  This could be accomplished through amendments to SB 27X.</w:t>
      </w:r>
    </w:p>
    <w:p>
      <w:pPr>
        <w:pStyle w:val="Normal"/>
        <w:rPr>
          <w:sz w:val="20"/>
        </w:rPr>
      </w:pPr>
      <w:r>
        <w:rPr>
          <w:sz w:val="20"/>
        </w:rPr>
      </w:r>
    </w:p>
    <w:p>
      <w:pPr>
        <w:pStyle w:val="Normal"/>
        <w:rPr>
          <w:sz w:val="20"/>
        </w:rPr>
      </w:pPr>
      <w:r>
        <w:rPr>
          <w:sz w:val="20"/>
        </w:rPr>
        <w:t>Permitting and Air Quality Issues</w:t>
      </w:r>
    </w:p>
    <w:p>
      <w:pPr>
        <w:pStyle w:val="Normal"/>
        <w:rPr>
          <w:sz w:val="20"/>
        </w:rPr>
      </w:pPr>
      <w:r>
        <w:rPr>
          <w:sz w:val="20"/>
        </w:rPr>
        <w:t xml:space="preserve">Developers of distributed (i.e., “on-site”) generation that is 50 MWs or greater must receive certification from the California Energy Commission and therefore faces all of the impediments to development that large-scale generation faces.  </w:t>
      </w:r>
    </w:p>
    <w:p>
      <w:pPr>
        <w:pStyle w:val="Normal"/>
        <w:rPr>
          <w:sz w:val="20"/>
        </w:rPr>
      </w:pPr>
      <w:r>
        <w:rPr>
          <w:sz w:val="20"/>
        </w:rPr>
      </w:r>
    </w:p>
    <w:p>
      <w:pPr>
        <w:pStyle w:val="BodyTextIndent"/>
        <w:rPr>
          <w:sz w:val="20"/>
        </w:rPr>
      </w:pPr>
      <w:r>
        <w:rPr>
          <w:sz w:val="20"/>
        </w:rPr>
        <w:t>Solution:</w:t>
        <w:tab/>
        <w:t>California should ensure that the executive orders (D-22-01 thru D-26-01) issued by the Governor to expedite plant siting and maximize plant output apply equally to smaller scale, “distributed generation” facilities. In addition, distributed generation that is less than 50 MWs continues to face local opposition.  The State should ensure that local, parochial interests cannot block otherwise beneficial distributed generation projects.  These objectives could be accomplished through amendments to SB27X.</w:t>
      </w:r>
    </w:p>
    <w:p>
      <w:pPr>
        <w:pStyle w:val="BodyTextIndent"/>
        <w:ind w:hanging="0" w:start="0" w:end="0"/>
        <w:rPr>
          <w:sz w:val="20"/>
        </w:rPr>
      </w:pPr>
      <w:r>
        <w:rPr>
          <w:sz w:val="20"/>
        </w:rPr>
      </w:r>
    </w:p>
    <w:p>
      <w:pPr>
        <w:pStyle w:val="BodyText"/>
        <w:rPr>
          <w:b w:val="false"/>
          <w:bCs w:val="false"/>
        </w:rPr>
      </w:pPr>
      <w:r>
        <w:rPr>
          <w:b w:val="false"/>
          <w:bCs w:val="false"/>
        </w:rPr>
        <w:t xml:space="preserve">Credit Concerns Regarding Authority Granted to DWR in AB1X to Purchase Electricity on Behalf of the Utilities </w:t>
      </w:r>
    </w:p>
    <w:p>
      <w:pPr>
        <w:pStyle w:val="BodyTextIndent"/>
        <w:ind w:hanging="0" w:start="0" w:end="0"/>
        <w:rPr>
          <w:b/>
          <w:bCs/>
          <w:sz w:val="20"/>
        </w:rPr>
      </w:pPr>
      <w:r>
        <w:rPr>
          <w:b/>
          <w:bCs/>
          <w:sz w:val="20"/>
        </w:rPr>
      </w:r>
    </w:p>
    <w:p>
      <w:pPr>
        <w:pStyle w:val="BodyTextIndent"/>
        <w:ind w:hanging="0" w:start="0" w:end="0"/>
        <w:rPr>
          <w:sz w:val="20"/>
        </w:rPr>
      </w:pPr>
      <w:r>
        <w:rPr>
          <w:sz w:val="20"/>
        </w:rPr>
      </w:r>
    </w:p>
    <w:p>
      <w:pPr>
        <w:pStyle w:val="BodyTextIndent"/>
        <w:ind w:hanging="0" w:start="0" w:end="0"/>
        <w:rPr>
          <w:sz w:val="20"/>
        </w:rPr>
      </w:pPr>
      <w:r>
        <w:rPr>
          <w:sz w:val="20"/>
        </w:rPr>
        <w:t>California’s Supply-demand Picture Heading into Summer 2001</w:t>
      </w:r>
    </w:p>
    <w:p>
      <w:pPr>
        <w:pStyle w:val="BodyTextIndent"/>
        <w:ind w:hanging="0" w:start="0" w:end="0"/>
        <w:rPr>
          <w:sz w:val="20"/>
        </w:rPr>
      </w:pPr>
      <w:r>
        <w:rPr>
          <w:sz w:val="20"/>
        </w:rPr>
      </w:r>
    </w:p>
    <w:p>
      <w:pPr>
        <w:pStyle w:val="BodyTextIndent"/>
        <w:ind w:hanging="0" w:start="0" w:end="0"/>
        <w:rPr>
          <w:sz w:val="20"/>
        </w:rPr>
      </w:pPr>
      <w:r>
        <w:rPr>
          <w:sz w:val="20"/>
        </w:rPr>
        <w:t>Suggested Package of Legislative Proposals Designed to Solve California’s Electricity Crisis</w:t>
      </w:r>
    </w:p>
    <w:p>
      <w:pPr>
        <w:pStyle w:val="BodyTextIndent"/>
        <w:ind w:hanging="0" w:start="0" w:end="0"/>
        <w:rPr>
          <w:sz w:val="20"/>
        </w:rPr>
      </w:pPr>
      <w:r>
        <w:rPr>
          <w:sz w:val="20"/>
        </w:rPr>
      </w:r>
    </w:p>
    <w:p>
      <w:pPr>
        <w:pStyle w:val="BodyTextIndent"/>
        <w:ind w:hanging="0" w:start="0" w:end="0"/>
        <w:rPr>
          <w:sz w:val="20"/>
        </w:rPr>
      </w:pPr>
      <w:r>
        <w:rPr>
          <w:sz w:val="20"/>
        </w:rPr>
        <w:t>This email offers an overview of our proposed legislative solution.  We will deliver to your office tomorrow specific legislative language and existing bills that we believe can accommodate our proposals.</w:t>
      </w:r>
    </w:p>
    <w:p>
      <w:pPr>
        <w:pStyle w:val="BodyTextIndent"/>
        <w:ind w:hanging="0" w:start="0" w:end="0"/>
        <w:rPr>
          <w:sz w:val="20"/>
        </w:rPr>
      </w:pPr>
      <w:r>
        <w:rPr>
          <w:sz w:val="20"/>
        </w:rPr>
      </w:r>
    </w:p>
    <w:p>
      <w:pPr>
        <w:pStyle w:val="BodyTextIndent"/>
        <w:ind w:hanging="0" w:start="0" w:end="0"/>
        <w:rPr>
          <w:sz w:val="20"/>
        </w:rPr>
      </w:pPr>
      <w:r>
        <w:rPr>
          <w:sz w:val="20"/>
        </w:rPr>
        <w:t>As we have suggested throughout the crisis, any solution to California crisis must focus on four issues:</w:t>
      </w:r>
    </w:p>
    <w:p>
      <w:pPr>
        <w:pStyle w:val="BodyTextIndent"/>
        <w:rPr>
          <w:sz w:val="20"/>
        </w:rPr>
      </w:pPr>
      <w:r>
        <w:rPr>
          <w:sz w:val="20"/>
        </w:rPr>
      </w:r>
    </w:p>
    <w:p>
      <w:pPr>
        <w:pStyle w:val="BodyTextIndent"/>
        <w:rPr>
          <w:sz w:val="20"/>
        </w:rPr>
      </w:pPr>
      <w:r>
        <w:rPr>
          <w:sz w:val="20"/>
        </w:rPr>
        <w:t>Increase supply</w:t>
      </w:r>
    </w:p>
    <w:p>
      <w:pPr>
        <w:pStyle w:val="BodyTextIndent"/>
        <w:rPr>
          <w:sz w:val="20"/>
        </w:rPr>
      </w:pPr>
      <w:r>
        <w:rPr>
          <w:sz w:val="20"/>
        </w:rPr>
        <w:t>Decrease demand</w:t>
      </w:r>
    </w:p>
    <w:p>
      <w:pPr>
        <w:pStyle w:val="BodyTextIndent"/>
        <w:rPr>
          <w:sz w:val="20"/>
        </w:rPr>
      </w:pPr>
      <w:r>
        <w:rPr>
          <w:sz w:val="20"/>
        </w:rPr>
        <w:t>Establish a truly competitive retail electricity market</w:t>
      </w:r>
    </w:p>
    <w:p>
      <w:pPr>
        <w:pStyle w:val="BodyTextIndent"/>
        <w:rPr>
          <w:sz w:val="20"/>
        </w:rPr>
      </w:pPr>
      <w:r>
        <w:rPr>
          <w:sz w:val="20"/>
        </w:rPr>
        <w:t>Return California’s Investor-owned utilities to solvency</w:t>
      </w:r>
    </w:p>
    <w:p>
      <w:pPr>
        <w:pStyle w:val="BodyTextIndent"/>
        <w:rPr>
          <w:sz w:val="20"/>
        </w:rPr>
      </w:pPr>
      <w:r>
        <w:rPr>
          <w:sz w:val="20"/>
        </w:rPr>
      </w:r>
    </w:p>
    <w:p>
      <w:pPr>
        <w:pStyle w:val="BodyTextIndent"/>
        <w:rPr>
          <w:sz w:val="20"/>
        </w:rPr>
      </w:pPr>
      <w:r>
        <w:rPr>
          <w:sz w:val="20"/>
        </w:rPr>
        <w:t>Increase supply--Legislative vehicle:SB28X (Sher)</w:t>
      </w:r>
    </w:p>
    <w:p>
      <w:pPr>
        <w:pStyle w:val="BodyTextIndent"/>
        <w:ind w:hanging="0" w:start="0" w:end="0"/>
        <w:rPr>
          <w:sz w:val="20"/>
        </w:rPr>
      </w:pPr>
      <w:r>
        <w:rPr>
          <w:sz w:val="20"/>
        </w:rPr>
        <w:t xml:space="preserve">To site and construct a power plant in Texas takes approximately 2 years.  Enron and others have completed the entire process in other states in less than a year.  In California, complex and costly air quality regulations exacerbate California’s inability to site power plants.  </w:t>
      </w:r>
    </w:p>
    <w:p>
      <w:pPr>
        <w:pStyle w:val="BodyTextIndent"/>
        <w:ind w:hanging="0" w:start="0" w:end="0"/>
        <w:rPr>
          <w:sz w:val="20"/>
        </w:rPr>
      </w:pPr>
      <w:r>
        <w:rPr>
          <w:sz w:val="20"/>
        </w:rPr>
      </w:r>
    </w:p>
    <w:p>
      <w:pPr>
        <w:pStyle w:val="BodyTextIndent"/>
        <w:ind w:hanging="0" w:start="0" w:end="0"/>
        <w:rPr>
          <w:sz w:val="20"/>
        </w:rPr>
      </w:pPr>
      <w:r>
        <w:rPr>
          <w:sz w:val="20"/>
        </w:rPr>
        <w:t>The Governor’s executive orders and Senator Sher’s siting reform legislation are steps in the right direction.  Our suggested amendments can improve those efforts by:</w:t>
      </w:r>
    </w:p>
    <w:p>
      <w:pPr>
        <w:pStyle w:val="BodyTextIndent"/>
        <w:ind w:hanging="0" w:start="0" w:end="0"/>
        <w:rPr>
          <w:sz w:val="20"/>
        </w:rPr>
      </w:pPr>
      <w:r>
        <w:rPr>
          <w:sz w:val="20"/>
        </w:rPr>
      </w:r>
    </w:p>
    <w:p>
      <w:pPr>
        <w:pStyle w:val="BodyTextIndent"/>
        <w:ind w:hanging="0" w:start="0" w:end="0"/>
        <w:rPr>
          <w:sz w:val="20"/>
        </w:rPr>
      </w:pPr>
      <w:r>
        <w:rPr>
          <w:sz w:val="20"/>
        </w:rPr>
        <w:t>Decrease demand—Legislative Vehicle:  AB31X</w:t>
      </w:r>
    </w:p>
    <w:p>
      <w:pPr>
        <w:pStyle w:val="BodyTextIndent"/>
        <w:ind w:hanging="0" w:start="0" w:end="0"/>
        <w:rPr>
          <w:sz w:val="20"/>
        </w:rPr>
      </w:pPr>
      <w:r>
        <w:rPr>
          <w:sz w:val="20"/>
        </w:rPr>
        <w:t>Because of the delay in implementing a solution to California’s electricity crisis, closing the supply-demand gap through energy conservation and efficiency offers the best chance of avoiding blackouts this summer.  This can be accomplished most effectively and quickly in two ways:</w:t>
      </w:r>
    </w:p>
    <w:p>
      <w:pPr>
        <w:pStyle w:val="BodyTextIndent"/>
        <w:ind w:hanging="0" w:start="0" w:end="0"/>
        <w:rPr>
          <w:sz w:val="20"/>
        </w:rPr>
      </w:pPr>
      <w:r>
        <w:rPr>
          <w:sz w:val="20"/>
        </w:rPr>
      </w:r>
    </w:p>
    <w:p>
      <w:pPr>
        <w:pStyle w:val="BodyTextIndent"/>
        <w:ind w:hanging="0" w:start="0" w:end="0"/>
        <w:rPr>
          <w:sz w:val="20"/>
        </w:rPr>
      </w:pPr>
      <w:r>
        <w:rPr>
          <w:sz w:val="20"/>
        </w:rPr>
        <w:t>Buy-down demand</w:t>
      </w:r>
    </w:p>
    <w:p>
      <w:pPr>
        <w:pStyle w:val="BodyTextIndent"/>
        <w:ind w:hanging="0" w:start="0" w:end="0"/>
        <w:rPr>
          <w:sz w:val="20"/>
        </w:rPr>
      </w:pPr>
      <w:r>
        <w:rPr>
          <w:sz w:val="20"/>
        </w:rPr>
        <w:t>California is tapping into an enormous amount of money from the General Fund to finance DWR’s power purchases.  California could likely reduce demand more cheaply by running an auction to determine the payments businesses would be willing to receive to reduce demand for a sustained period (e.g., through the summer months).  DWR could very easily run an on-line auction to determine the best price it could pay for these demand reductions.  To participate, businesses would be required to have the metering equipment necessary to monitor and verify that they are actually achieving the reductions.  Enron has developed an on-line auction software package, “Dealbench,” that it would be willing to contribute to the effort.</w:t>
      </w:r>
    </w:p>
    <w:p>
      <w:pPr>
        <w:pStyle w:val="BodyTextIndent"/>
        <w:ind w:hanging="0" w:start="0" w:end="0"/>
        <w:rPr>
          <w:sz w:val="20"/>
        </w:rPr>
      </w:pPr>
      <w:r>
        <w:rPr>
          <w:sz w:val="20"/>
        </w:rPr>
      </w:r>
    </w:p>
    <w:p>
      <w:pPr>
        <w:pStyle w:val="BodyTextIndent"/>
        <w:ind w:hanging="0" w:start="0" w:end="0"/>
        <w:rPr>
          <w:sz w:val="20"/>
        </w:rPr>
      </w:pPr>
      <w:r>
        <w:rPr>
          <w:sz w:val="20"/>
        </w:rPr>
        <w:t>Use Price Signals to Incent Voluntary Curtailment</w:t>
      </w:r>
    </w:p>
    <w:p>
      <w:pPr>
        <w:pStyle w:val="BodyText"/>
        <w:rPr>
          <w:b w:val="false"/>
          <w:sz w:val="22"/>
        </w:rPr>
      </w:pPr>
      <w:r>
        <w:rPr>
          <w:b w:val="false"/>
          <w:sz w:val="22"/>
        </w:rPr>
      </w:r>
    </w:p>
    <w:p>
      <w:pPr>
        <w:pStyle w:val="BodyText"/>
        <w:rPr>
          <w:b w:val="false"/>
        </w:rPr>
      </w:pPr>
      <w:r>
        <w:rPr>
          <w:b w:val="false"/>
        </w:rPr>
        <w:t>To work, customers need access to the following key elements:</w:t>
      </w:r>
    </w:p>
    <w:p>
      <w:pPr>
        <w:pStyle w:val="BodyText"/>
        <w:rPr>
          <w:b w:val="false"/>
        </w:rPr>
      </w:pPr>
      <w:r>
        <w:rPr>
          <w:b w:val="false"/>
        </w:rPr>
      </w:r>
    </w:p>
    <w:p>
      <w:pPr>
        <w:pStyle w:val="BodyText"/>
        <w:tabs>
          <w:tab w:val="clear" w:pos="720"/>
          <w:tab w:val="left" w:pos="1080" w:leader="none"/>
        </w:tabs>
        <w:rPr>
          <w:b w:val="false"/>
        </w:rPr>
      </w:pPr>
      <w:r>
        <w:rPr>
          <w:b w:val="false"/>
        </w:rPr>
        <w:t xml:space="preserve">An internet based hour-ahead price posting system to track the market price for hour-ahead power in real time. </w:t>
      </w:r>
    </w:p>
    <w:p>
      <w:pPr>
        <w:pStyle w:val="BodyText"/>
        <w:tabs>
          <w:tab w:val="clear" w:pos="720"/>
          <w:tab w:val="left" w:pos="1080" w:leader="none"/>
        </w:tabs>
        <w:rPr>
          <w:b w:val="false"/>
        </w:rPr>
      </w:pPr>
      <w:r>
        <w:rPr>
          <w:b w:val="false"/>
        </w:rPr>
        <w:t>Real-time metering systems for baseline demand and voluntarily curtailment verification.</w:t>
      </w:r>
    </w:p>
    <w:p>
      <w:pPr>
        <w:pStyle w:val="BodyText"/>
        <w:tabs>
          <w:tab w:val="clear" w:pos="720"/>
          <w:tab w:val="left" w:pos="1080" w:leader="none"/>
        </w:tabs>
        <w:rPr>
          <w:b w:val="false"/>
        </w:rPr>
      </w:pPr>
      <w:r>
        <w:rPr>
          <w:b w:val="false"/>
        </w:rPr>
        <w:t>Settlement process that allows for market clearing prices of energy to be paid for load reduction (“Negawatts”).</w:t>
        <w:br/>
      </w:r>
    </w:p>
    <w:p>
      <w:pPr>
        <w:pStyle w:val="Normal"/>
        <w:keepNext w:val="true"/>
        <w:rPr>
          <w:sz w:val="20"/>
        </w:rPr>
      </w:pPr>
      <w:r>
        <w:rPr>
          <w:sz w:val="20"/>
        </w:rPr>
        <w:t>The potential benefits of an effective demand response program would include:</w:t>
      </w:r>
    </w:p>
    <w:p>
      <w:pPr>
        <w:pStyle w:val="BodyText"/>
        <w:keepNext w:val="true"/>
        <w:rPr>
          <w:b w:val="false"/>
          <w:sz w:val="20"/>
        </w:rPr>
      </w:pPr>
      <w:r>
        <w:rPr>
          <w:b w:val="false"/>
          <w:sz w:val="20"/>
        </w:rPr>
      </w:r>
    </w:p>
    <w:p>
      <w:pPr>
        <w:pStyle w:val="BodyText"/>
        <w:keepNext w:val="true"/>
        <w:tabs>
          <w:tab w:val="clear" w:pos="720"/>
          <w:tab w:val="left" w:pos="1080" w:leader="none"/>
        </w:tabs>
        <w:rPr>
          <w:b w:val="false"/>
        </w:rPr>
      </w:pPr>
      <w:r>
        <w:rPr>
          <w:b w:val="false"/>
        </w:rPr>
        <w:t>“</w:t>
      </w:r>
      <w:r>
        <w:rPr>
          <w:b w:val="false"/>
        </w:rPr>
        <w:t>creation” of additional summer peaking capacity in California, particularly in the short term, without requiring construction of additional generation resources.</w:t>
      </w:r>
    </w:p>
    <w:p>
      <w:pPr>
        <w:pStyle w:val="BodyText"/>
        <w:tabs>
          <w:tab w:val="clear" w:pos="720"/>
          <w:tab w:val="left" w:pos="1080" w:leader="none"/>
        </w:tabs>
        <w:rPr>
          <w:b w:val="false"/>
        </w:rPr>
      </w:pPr>
      <w:r>
        <w:rPr>
          <w:b w:val="false"/>
        </w:rPr>
        <w:t>reduction of  peak or super-peak load on the over-stressed California electric system, thus potentially reducing the overall cost of electricity in the state.</w:t>
      </w:r>
    </w:p>
    <w:p>
      <w:pPr>
        <w:pStyle w:val="BodyText"/>
        <w:tabs>
          <w:tab w:val="clear" w:pos="720"/>
          <w:tab w:val="left" w:pos="1080" w:leader="none"/>
        </w:tabs>
        <w:rPr>
          <w:b w:val="false"/>
        </w:rPr>
      </w:pPr>
      <w:r>
        <w:rPr>
          <w:b w:val="false"/>
        </w:rPr>
        <w:t xml:space="preserve">fostering of demand elasticity without subjecting customers to the full risk of hourly market price volatility by passing market price signals to customers and allowing them to voluntarily shed load and be compensated for responding. </w:t>
      </w:r>
    </w:p>
    <w:p>
      <w:pPr>
        <w:pStyle w:val="BodyText"/>
        <w:rPr>
          <w:b w:val="false"/>
        </w:rPr>
      </w:pPr>
      <w:r>
        <w:rPr>
          <w:b w:val="false"/>
        </w:rPr>
      </w:r>
    </w:p>
    <w:p>
      <w:pPr>
        <w:pStyle w:val="BodyTextIndent"/>
        <w:ind w:hanging="0" w:start="0" w:end="0"/>
        <w:rPr>
          <w:sz w:val="20"/>
        </w:rPr>
      </w:pPr>
      <w:r>
        <w:rPr>
          <w:sz w:val="20"/>
        </w:rPr>
        <w:t>If the program were initiated promptly, Access Fees could exceed $150 million in 2001 and $500 million by Summer, 2002.  This is based on EES’ estimate that it could generate a summer 2001 on-peak demand response in excess of 400 MW during certain high cost hours, and a demand response for summer 2002 on-peak hours that could exceed 1000 MW.  We further estimate that the market response to this program from all ESPs who would also pay Access Fees could be 2 to 3 times that amount.  EES recommends that the State of California provide rebates directly to customers to fund the installation of advanced metering and control systems that would support load curtailment implementation.</w:t>
      </w:r>
    </w:p>
    <w:p>
      <w:pPr>
        <w:pStyle w:val="BodyTextIndent"/>
        <w:rPr>
          <w:b/>
          <w:sz w:val="20"/>
        </w:rPr>
      </w:pPr>
      <w:r>
        <w:rPr>
          <w:b/>
          <w:sz w:val="20"/>
        </w:rPr>
      </w:r>
    </w:p>
    <w:p>
      <w:pPr>
        <w:pStyle w:val="BodyTextIndent"/>
        <w:rPr>
          <w:sz w:val="20"/>
        </w:rPr>
      </w:pPr>
      <w:r>
        <w:rPr>
          <w:sz w:val="20"/>
        </w:rPr>
        <w:t>Establish a truly competitive retail electricity market—Legislative vehicle: SB27X</w:t>
      </w:r>
    </w:p>
    <w:p>
      <w:pPr>
        <w:pStyle w:val="BodyTextIndent"/>
        <w:ind w:hanging="0" w:start="0" w:end="0"/>
        <w:rPr>
          <w:sz w:val="20"/>
        </w:rPr>
      </w:pPr>
      <w:r>
        <w:rPr>
          <w:sz w:val="20"/>
        </w:rPr>
        <w:t>The only customers who were protected from price volatility in San Diego were customers who chose Direct Access and signed fixed price deals with energy service providers.  Ironically, AB1X takes that important option away from customers and businesses.  It is critical that AB1X be amended to remove the prohibition against Direct Access.</w:t>
      </w:r>
    </w:p>
    <w:p>
      <w:pPr>
        <w:pStyle w:val="BodyTextIndent"/>
        <w:ind w:hanging="0" w:start="0" w:end="0"/>
        <w:rPr>
          <w:sz w:val="20"/>
        </w:rPr>
      </w:pPr>
      <w:r>
        <w:rPr>
          <w:sz w:val="20"/>
        </w:rPr>
      </w:r>
    </w:p>
    <w:p>
      <w:pPr>
        <w:pStyle w:val="BodyTextIndent"/>
        <w:ind w:hanging="0" w:start="0" w:end="0"/>
        <w:rPr>
          <w:sz w:val="20"/>
        </w:rPr>
      </w:pPr>
      <w:r>
        <w:rPr>
          <w:sz w:val="20"/>
        </w:rPr>
        <w:t>In addition, California will only achieve a competitive retail market when the utility is removed completely from the procurement function.  Procurement is not a utility core competency, as evidenced by the dire financial condition in which the utilities now find themselves.  California should therefore begin now to gradually phase the utility out of the procurement function entirely, with the goal having all customers served by a non-utility provider within 36 months.  To execute the transition, California should hold a competitive solicitation in which competing service providers would bid for the right to serve segments, or “tranches,” of utility load.</w:t>
      </w:r>
    </w:p>
    <w:p>
      <w:pPr>
        <w:pStyle w:val="BodyTextIndent"/>
        <w:rPr>
          <w:sz w:val="20"/>
        </w:rPr>
      </w:pPr>
      <w:r>
        <w:rPr>
          <w:sz w:val="20"/>
        </w:rPr>
      </w:r>
    </w:p>
    <w:p>
      <w:pPr>
        <w:pStyle w:val="BodyTextIndent"/>
        <w:rPr>
          <w:sz w:val="20"/>
        </w:rPr>
      </w:pPr>
      <w:r>
        <w:rPr>
          <w:sz w:val="20"/>
        </w:rPr>
        <w:t xml:space="preserve">Return California’s Investor-owned utilities to solvency—Legislative </w:t>
      </w:r>
    </w:p>
    <w:p>
      <w:pPr>
        <w:pStyle w:val="BodyTextIndent"/>
        <w:ind w:hanging="0" w:start="0" w:end="0"/>
        <w:rPr>
          <w:sz w:val="20"/>
        </w:rPr>
      </w:pPr>
      <w:r>
        <w:rPr>
          <w:sz w:val="20"/>
        </w:rPr>
        <w:t>Utility bankruptcy will not increase supply and it will not decrease demand.  In short, bankruptcy does nothing to solve California’s supply-demand imbalance.  In addition, bankruptcy increases the likelihood that consumers and businesses will bear the significant financial risks of having California State government assume the role of “electricity buyer” for an extended period of time.</w:t>
      </w:r>
    </w:p>
    <w:p>
      <w:pPr>
        <w:pStyle w:val="BodyTextIndent"/>
        <w:ind w:hanging="0" w:start="0" w:end="0"/>
        <w:rPr>
          <w:sz w:val="20"/>
        </w:rPr>
      </w:pPr>
      <w:r>
        <w:rPr>
          <w:sz w:val="20"/>
        </w:rPr>
      </w:r>
    </w:p>
    <w:p>
      <w:pPr>
        <w:pStyle w:val="BodyTextIndent"/>
        <w:ind w:hanging="0" w:start="0" w:end="0"/>
        <w:rPr>
          <w:sz w:val="20"/>
        </w:rPr>
      </w:pPr>
      <w:r>
        <w:rPr>
          <w:sz w:val="20"/>
        </w:rPr>
        <w:t xml:space="preserve">California can return the utilities to financial solvency by </w:t>
      </w:r>
    </w:p>
    <w:p>
      <w:pPr>
        <w:pStyle w:val="BodyTextIndent"/>
        <w:ind w:hanging="0" w:start="0" w:end="0"/>
        <w:rPr>
          <w:sz w:val="20"/>
        </w:rPr>
      </w:pPr>
      <w:r>
        <w:rPr>
          <w:sz w:val="20"/>
        </w:rPr>
      </w:r>
    </w:p>
    <w:p>
      <w:pPr>
        <w:pStyle w:val="BodyTextIndent"/>
        <w:ind w:hanging="0" w:start="0" w:end="0"/>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Cs w:val="20"/>
      <w:u w:val="single"/>
    </w:rPr>
  </w:style>
  <w:style w:type="paragraph" w:styleId="BodyText">
    <w:name w:val="Body Text"/>
    <w:basedOn w:val="Normal"/>
    <w:pPr/>
    <w:rPr>
      <w:b/>
      <w:bC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2001-02-15T15:20:00Z</dcterms:created>
  <dc:creator>jdasovic</dc:creator>
  <dc:description/>
  <dc:language>en-CA</dc:language>
  <cp:lastModifiedBy>jdasovic</cp:lastModifiedBy>
  <cp:lastPrinted>2001-02-15T13:11:00Z</cp:lastPrinted>
  <dcterms:modified xsi:type="dcterms:W3CDTF">2001-02-15T19:09:00Z</dcterms:modified>
  <cp:revision>35</cp:revision>
  <dc:subject/>
  <dc:title>Contact Information to Discuss Interest Expressed by Native American Tribes in Installing Small-scale Generation on Tribal Lan</dc:title>
</cp:coreProperties>
</file>