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Comments to EES Employee Group</w:t>
      </w:r>
    </w:p>
    <w:p>
      <w:pPr>
        <w:pStyle w:val="Subtitle"/>
        <w:rPr/>
      </w:pPr>
      <w:r>
        <w:rPr/>
        <w:t>On the Progress of Enron</w:t>
      </w:r>
      <w:r>
        <w:rPr>
          <w:rStyle w:val="FootnoteCharacters"/>
          <w:rStyle w:val="FootnoteReference"/>
        </w:rPr>
        <w:footnoteReference w:id="2"/>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One way to judge where Enron is today versus the mid-1980s (when I first became chairman) is to construct a </w:t>
      </w:r>
      <w:r>
        <w:rPr>
          <w:b/>
          <w:bCs/>
        </w:rPr>
        <w:t>problem list</w:t>
      </w:r>
      <w:r>
        <w:rPr/>
        <w:t xml:space="preserve"> for each period.  (David Letterman “Top 10” list?)</w:t>
      </w:r>
    </w:p>
    <w:p>
      <w:pPr>
        <w:pStyle w:val="Normal"/>
        <w:rPr/>
      </w:pPr>
      <w:r>
        <w:rPr/>
      </w:r>
    </w:p>
    <w:p>
      <w:pPr>
        <w:pStyle w:val="Normal"/>
        <w:rPr/>
      </w:pPr>
      <w:r>
        <w:rPr/>
      </w:r>
    </w:p>
    <w:p>
      <w:pPr>
        <w:pStyle w:val="Normal"/>
        <w:rPr/>
      </w:pPr>
      <w:r>
        <w:rPr/>
      </w:r>
    </w:p>
    <w:p>
      <w:pPr>
        <w:pStyle w:val="Normal"/>
        <w:rPr>
          <w:b/>
          <w:bCs/>
        </w:rPr>
      </w:pPr>
      <w:r>
        <w:rPr>
          <w:b/>
          <w:bCs/>
        </w:rPr>
        <w:t>Problems of the Old Days (1985-86)</w:t>
      </w:r>
    </w:p>
    <w:p>
      <w:pPr>
        <w:pStyle w:val="Normal"/>
        <w:rPr/>
      </w:pPr>
      <w:r>
        <w:rPr/>
      </w:r>
    </w:p>
    <w:p>
      <w:pPr>
        <w:pStyle w:val="Normal"/>
        <w:rPr/>
      </w:pPr>
      <w:r>
        <w:rPr/>
      </w:r>
    </w:p>
    <w:p>
      <w:pPr>
        <w:pStyle w:val="Normal"/>
        <w:rPr/>
      </w:pPr>
      <w:r>
        <w:rPr/>
        <w:t>The old days were back in 1985 and 1986</w:t>
      </w:r>
    </w:p>
    <w:p>
      <w:pPr>
        <w:pStyle w:val="Normal"/>
        <w:rPr/>
      </w:pPr>
      <w:r>
        <w:rPr/>
      </w:r>
    </w:p>
    <w:p>
      <w:pPr>
        <w:pStyle w:val="Normal"/>
        <w:ind w:firstLine="360" w:end="0"/>
        <w:rPr/>
      </w:pPr>
      <w:r>
        <w:rPr/>
      </w:r>
    </w:p>
    <w:p>
      <w:pPr>
        <w:pStyle w:val="Normal"/>
        <w:rPr/>
      </w:pPr>
      <w:r>
        <w:rPr/>
        <w:t xml:space="preserve">The old Enron combined an </w:t>
      </w:r>
      <w:r>
        <w:rPr>
          <w:color w:val="000000"/>
          <w:szCs w:val="20"/>
        </w:rPr>
        <w:t>intrastate natural gas company with several interstate gas systems through acquisitions and a merger</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keepLines/>
        <w:numPr>
          <w:ilvl w:val="0"/>
          <w:numId w:val="3"/>
        </w:numPr>
        <w:autoSpaceDE w:val="false"/>
        <w:spacing w:lineRule="atLeast" w:line="240"/>
        <w:rPr>
          <w:color w:val="000000"/>
          <w:szCs w:val="20"/>
        </w:rPr>
      </w:pPr>
      <w:r>
        <w:rPr>
          <w:color w:val="000000"/>
          <w:szCs w:val="20"/>
        </w:rPr>
        <w:t>A one-third drop in wellhead natural gas prices (1985/86 versus 1984), increasing our three (four?) interstate pipeline’s exposure to take-or-pay provisions with producers</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numPr>
          <w:ilvl w:val="0"/>
          <w:numId w:val="3"/>
        </w:numPr>
        <w:rPr/>
      </w:pPr>
      <w:r>
        <w:rPr>
          <w:color w:val="000000"/>
          <w:szCs w:val="20"/>
        </w:rPr>
        <w:t>A plunge in oil prices from $30 to $12 per barrel in early 1986, which reduced the profitability of Florida Gas Transmission whose gas was competing against inexpensive fuel oil</w:t>
      </w:r>
    </w:p>
    <w:p>
      <w:pPr>
        <w:pStyle w:val="Normal"/>
        <w:rPr/>
      </w:pPr>
      <w:r>
        <w:rPr/>
      </w:r>
    </w:p>
    <w:p>
      <w:pPr>
        <w:pStyle w:val="Normal"/>
        <w:rPr/>
      </w:pPr>
      <w:r>
        <w:rPr/>
      </w:r>
    </w:p>
    <w:p>
      <w:pPr>
        <w:pStyle w:val="Normal"/>
        <w:keepLines/>
        <w:numPr>
          <w:ilvl w:val="0"/>
          <w:numId w:val="3"/>
        </w:numPr>
        <w:autoSpaceDE w:val="false"/>
        <w:spacing w:lineRule="atLeast" w:line="240"/>
        <w:rPr>
          <w:color w:val="000000"/>
          <w:szCs w:val="20"/>
        </w:rPr>
      </w:pPr>
      <w:r>
        <w:rPr>
          <w:color w:val="000000"/>
          <w:szCs w:val="20"/>
        </w:rPr>
        <w:t>Asset write downs in 1985 and 1986 of approximately $200 to value assets at the new lower level of energy prices</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keepLines/>
        <w:numPr>
          <w:ilvl w:val="0"/>
          <w:numId w:val="3"/>
        </w:numPr>
        <w:autoSpaceDE w:val="false"/>
        <w:spacing w:lineRule="atLeast" w:line="240"/>
        <w:rPr>
          <w:color w:val="000000"/>
          <w:szCs w:val="20"/>
        </w:rPr>
      </w:pPr>
      <w:r>
        <w:rPr>
          <w:color w:val="000000"/>
          <w:szCs w:val="20"/>
        </w:rPr>
        <w:t>A debt-to-capital ratio over 70% (BBB-)</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BodyText"/>
        <w:numPr>
          <w:ilvl w:val="0"/>
          <w:numId w:val="3"/>
        </w:numPr>
        <w:rPr/>
      </w:pPr>
      <w:r>
        <w:rPr/>
        <w:t>The nationalization of our Peruvian oil and gas exploration company (December 1985), which resulted in a $218 million charge to earnings and a loss for the year (1985) of $14 million.</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keepLines/>
        <w:numPr>
          <w:ilvl w:val="0"/>
          <w:numId w:val="3"/>
        </w:numPr>
        <w:autoSpaceDE w:val="false"/>
        <w:spacing w:lineRule="atLeast" w:line="240"/>
        <w:rPr>
          <w:color w:val="000000"/>
          <w:szCs w:val="20"/>
        </w:rPr>
      </w:pPr>
      <w:r>
        <w:rPr>
          <w:color w:val="000000"/>
          <w:szCs w:val="20"/>
        </w:rPr>
        <w:t>A hiring freeze (September 1985) and net job reductions over the next years</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keepLines/>
        <w:numPr>
          <w:ilvl w:val="0"/>
          <w:numId w:val="3"/>
        </w:numPr>
        <w:autoSpaceDE w:val="false"/>
        <w:spacing w:lineRule="atLeast" w:line="240"/>
        <w:rPr>
          <w:color w:val="000000"/>
          <w:szCs w:val="20"/>
        </w:rPr>
      </w:pPr>
      <w:r>
        <w:rPr>
          <w:color w:val="000000"/>
          <w:szCs w:val="20"/>
        </w:rPr>
        <w:t>A corporate culture war between Houston and Omaha, Nebraska, the headquarters of acquirer InterNorth</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r>
    </w:p>
    <w:p>
      <w:pPr>
        <w:pStyle w:val="Normal"/>
        <w:keepLines/>
        <w:numPr>
          <w:ilvl w:val="0"/>
          <w:numId w:val="3"/>
        </w:numPr>
        <w:autoSpaceDE w:val="false"/>
        <w:spacing w:lineRule="atLeast" w:line="240"/>
        <w:rPr>
          <w:color w:val="000000"/>
          <w:szCs w:val="20"/>
        </w:rPr>
      </w:pPr>
      <w:r>
        <w:rPr>
          <w:color w:val="000000"/>
          <w:szCs w:val="20"/>
        </w:rPr>
        <w:t>An overall restructuring for survival—then profitability</w:t>
      </w:r>
    </w:p>
    <w:p>
      <w:pPr>
        <w:pStyle w:val="Normal"/>
        <w:keepLines/>
        <w:autoSpaceDE w:val="false"/>
        <w:spacing w:lineRule="atLeast" w:line="240"/>
        <w:rPr>
          <w:color w:val="000000"/>
          <w:szCs w:val="20"/>
        </w:rPr>
      </w:pPr>
      <w:r>
        <w:rPr>
          <w:color w:val="000000"/>
          <w:szCs w:val="20"/>
        </w:rPr>
      </w:r>
    </w:p>
    <w:p>
      <w:pPr>
        <w:pStyle w:val="Normal"/>
        <w:rPr>
          <w:color w:val="000000"/>
          <w:szCs w:val="20"/>
        </w:rPr>
      </w:pPr>
      <w:r>
        <w:rPr>
          <w:color w:val="000000"/>
          <w:szCs w:val="20"/>
        </w:rPr>
      </w:r>
    </w:p>
    <w:p>
      <w:pPr>
        <w:pStyle w:val="Normal"/>
        <w:rPr>
          <w:color w:val="000000"/>
          <w:szCs w:val="20"/>
        </w:rPr>
      </w:pPr>
      <w:r>
        <w:rPr>
          <w:color w:val="000000"/>
          <w:szCs w:val="20"/>
        </w:rPr>
      </w:r>
    </w:p>
    <w:p>
      <w:pPr>
        <w:pStyle w:val="Normal"/>
        <w:rPr>
          <w:color w:val="000000"/>
          <w:szCs w:val="20"/>
        </w:rPr>
      </w:pPr>
      <w:r>
        <w:rPr>
          <w:color w:val="000000"/>
          <w:szCs w:val="20"/>
        </w:rPr>
      </w:r>
    </w:p>
    <w:p>
      <w:pPr>
        <w:pStyle w:val="Heading1"/>
        <w:ind w:hanging="0" w:start="0"/>
        <w:rPr/>
      </w:pPr>
      <w:r>
        <w:rPr/>
        <w:t>Problems Today</w:t>
      </w:r>
    </w:p>
    <w:p>
      <w:pPr>
        <w:pStyle w:val="Normal"/>
        <w:rPr/>
      </w:pPr>
      <w:r>
        <w:rPr/>
      </w:r>
    </w:p>
    <w:p>
      <w:pPr>
        <w:pStyle w:val="Normal"/>
        <w:rPr/>
      </w:pPr>
      <w:r>
        <w:rPr/>
      </w:r>
    </w:p>
    <w:p>
      <w:pPr>
        <w:pStyle w:val="Normal"/>
        <w:rPr/>
      </w:pPr>
      <w:r>
        <w:rPr/>
      </w:r>
    </w:p>
    <w:p>
      <w:pPr>
        <w:pStyle w:val="Normal"/>
        <w:numPr>
          <w:ilvl w:val="0"/>
          <w:numId w:val="6"/>
        </w:numPr>
        <w:rPr/>
      </w:pPr>
      <w:r>
        <w:rPr/>
        <w:t>Getting the building completed in time before we go to double decker work spaces</w:t>
      </w:r>
    </w:p>
    <w:p>
      <w:pPr>
        <w:pStyle w:val="Normal"/>
        <w:rPr/>
      </w:pPr>
      <w:r>
        <w:rPr/>
      </w:r>
    </w:p>
    <w:p>
      <w:pPr>
        <w:pStyle w:val="Normal"/>
        <w:rPr/>
      </w:pPr>
      <w:r>
        <w:rPr/>
      </w:r>
    </w:p>
    <w:p>
      <w:pPr>
        <w:pStyle w:val="Normal"/>
        <w:numPr>
          <w:ilvl w:val="0"/>
          <w:numId w:val="6"/>
        </w:numPr>
        <w:rPr/>
      </w:pPr>
      <w:r>
        <w:rPr/>
        <w:t>Being able to use all of our tickets for Houston Astros games during a losing season</w:t>
      </w:r>
    </w:p>
    <w:p>
      <w:pPr>
        <w:pStyle w:val="Normal"/>
        <w:rPr/>
      </w:pPr>
      <w:r>
        <w:rPr/>
      </w:r>
    </w:p>
    <w:p>
      <w:pPr>
        <w:pStyle w:val="Normal"/>
        <w:rPr/>
      </w:pPr>
      <w:r>
        <w:rPr/>
      </w:r>
    </w:p>
    <w:p>
      <w:pPr>
        <w:pStyle w:val="Normal"/>
        <w:numPr>
          <w:ilvl w:val="0"/>
          <w:numId w:val="6"/>
        </w:numPr>
        <w:rPr/>
      </w:pPr>
      <w:r>
        <w:rPr/>
        <w:t>Reversing the aging process so I look more like an Enron employee and less like the CEO of one of your favorite public utility companies</w:t>
      </w:r>
    </w:p>
    <w:p>
      <w:pPr>
        <w:pStyle w:val="Normal"/>
        <w:rPr/>
      </w:pPr>
      <w:r>
        <w:rPr/>
      </w:r>
    </w:p>
    <w:p>
      <w:pPr>
        <w:pStyle w:val="Normal"/>
        <w:rPr/>
      </w:pPr>
      <w:r>
        <w:rPr/>
      </w:r>
    </w:p>
    <w:p>
      <w:pPr>
        <w:pStyle w:val="Normal"/>
        <w:numPr>
          <w:ilvl w:val="0"/>
          <w:numId w:val="6"/>
        </w:numPr>
        <w:rPr/>
      </w:pPr>
      <w:r>
        <w:rPr/>
        <w:t>Related to the above, convincing Jeff to not implement a mandatory retirement rule at 58</w:t>
      </w:r>
    </w:p>
    <w:p>
      <w:pPr>
        <w:pStyle w:val="Normal"/>
        <w:rPr/>
      </w:pPr>
      <w:r>
        <w:rPr/>
      </w:r>
    </w:p>
    <w:p>
      <w:pPr>
        <w:pStyle w:val="Normal"/>
        <w:rPr/>
      </w:pPr>
      <w:r>
        <w:rPr/>
      </w:r>
    </w:p>
    <w:p>
      <w:pPr>
        <w:pStyle w:val="Normal"/>
        <w:rPr/>
      </w:pPr>
      <w:r>
        <w:rPr/>
        <w:t>A bit more seriously:</w:t>
      </w:r>
    </w:p>
    <w:p>
      <w:pPr>
        <w:pStyle w:val="Normal"/>
        <w:rPr/>
      </w:pPr>
      <w:r>
        <w:rPr/>
      </w:r>
    </w:p>
    <w:p>
      <w:pPr>
        <w:pStyle w:val="Normal"/>
        <w:rPr/>
      </w:pPr>
      <w:r>
        <w:rPr/>
      </w:r>
    </w:p>
    <w:p>
      <w:pPr>
        <w:pStyle w:val="Normal"/>
        <w:numPr>
          <w:ilvl w:val="0"/>
          <w:numId w:val="6"/>
        </w:numPr>
        <w:rPr/>
      </w:pPr>
      <w:r>
        <w:rPr/>
        <w:t>Having so much fun at work so we don’t want to work anyplace else (including the Department of Energy of all places!)</w:t>
      </w:r>
    </w:p>
    <w:p>
      <w:pPr>
        <w:pStyle w:val="Normal"/>
        <w:rPr/>
      </w:pPr>
      <w:r>
        <w:rPr/>
      </w:r>
    </w:p>
    <w:p>
      <w:pPr>
        <w:pStyle w:val="Normal"/>
        <w:rPr/>
      </w:pPr>
      <w:r>
        <w:rPr/>
      </w:r>
    </w:p>
    <w:p>
      <w:pPr>
        <w:pStyle w:val="Normal"/>
        <w:numPr>
          <w:ilvl w:val="0"/>
          <w:numId w:val="6"/>
        </w:numPr>
        <w:rPr/>
      </w:pPr>
      <w:r>
        <w:rPr/>
        <w:t>Getting from 24</w:t>
      </w:r>
      <w:r>
        <w:rPr>
          <w:vertAlign w:val="superscript"/>
        </w:rPr>
        <w:t>th</w:t>
      </w:r>
      <w:r>
        <w:rPr/>
        <w:t xml:space="preserve"> to a Top Ten finish in Fortune’s “Best Places to Work” list</w:t>
      </w:r>
    </w:p>
    <w:p>
      <w:pPr>
        <w:pStyle w:val="Normal"/>
        <w:rPr/>
      </w:pPr>
      <w:r>
        <w:rPr/>
      </w:r>
    </w:p>
    <w:p>
      <w:pPr>
        <w:pStyle w:val="Normal"/>
        <w:rPr/>
      </w:pPr>
      <w:r>
        <w:rPr/>
      </w:r>
    </w:p>
    <w:p>
      <w:pPr>
        <w:pStyle w:val="Normal"/>
        <w:rPr/>
      </w:pPr>
      <w:r>
        <w:rPr/>
      </w:r>
    </w:p>
    <w:p>
      <w:pPr>
        <w:pStyle w:val="Normal"/>
        <w:rPr/>
      </w:pPr>
      <w:r>
        <w:rPr/>
      </w:r>
    </w:p>
    <w:p>
      <w:pPr>
        <w:pStyle w:val="Normal"/>
        <w:rPr/>
      </w:pPr>
      <w:r>
        <w:rPr/>
        <w:t>And even more seriously,</w:t>
      </w:r>
    </w:p>
    <w:p>
      <w:pPr>
        <w:pStyle w:val="Normal"/>
        <w:rPr/>
      </w:pPr>
      <w:r>
        <w:rPr/>
      </w:r>
    </w:p>
    <w:p>
      <w:pPr>
        <w:pStyle w:val="Normal"/>
        <w:rPr/>
      </w:pPr>
      <w:r>
        <w:rPr/>
      </w:r>
    </w:p>
    <w:p>
      <w:pPr>
        <w:pStyle w:val="Normal"/>
        <w:numPr>
          <w:ilvl w:val="0"/>
          <w:numId w:val="6"/>
        </w:numPr>
        <w:rPr/>
      </w:pPr>
      <w:r>
        <w:rPr/>
        <w:t>Redeploying our capital to get our 5% margin investments up to 15% or more margins</w:t>
      </w:r>
    </w:p>
    <w:p>
      <w:pPr>
        <w:pStyle w:val="Normal"/>
        <w:rPr/>
      </w:pPr>
      <w:r>
        <w:rPr/>
      </w:r>
    </w:p>
    <w:p>
      <w:pPr>
        <w:pStyle w:val="Normal"/>
        <w:rPr/>
      </w:pPr>
      <w:r>
        <w:rPr/>
      </w:r>
    </w:p>
    <w:p>
      <w:pPr>
        <w:pStyle w:val="Normal"/>
        <w:numPr>
          <w:ilvl w:val="0"/>
          <w:numId w:val="6"/>
        </w:numPr>
        <w:rPr/>
      </w:pPr>
      <w:r>
        <w:rPr/>
        <w:t>Continually improving and reinventing ourselves to lead the pack in the future</w:t>
      </w:r>
    </w:p>
    <w:p>
      <w:pPr>
        <w:pStyle w:val="Normal"/>
        <w:rPr/>
      </w:pPr>
      <w:r>
        <w:rPr/>
      </w:r>
    </w:p>
    <w:p>
      <w:pPr>
        <w:pStyle w:val="Normal"/>
        <w:rPr/>
      </w:pPr>
      <w:r>
        <w:rPr/>
      </w:r>
    </w:p>
    <w:p>
      <w:pPr>
        <w:pStyle w:val="Normal"/>
        <w:rPr/>
      </w:pPr>
      <w:r>
        <w:rPr/>
      </w:r>
    </w:p>
    <w:p>
      <w:pPr>
        <w:pStyle w:val="Heading2"/>
        <w:ind w:start="0" w:end="0"/>
        <w:rPr/>
      </w:pPr>
      <w:r>
        <w:rPr/>
        <w:t>Conclusion</w:t>
      </w:r>
    </w:p>
    <w:p>
      <w:pPr>
        <w:pStyle w:val="Normal"/>
        <w:rPr/>
      </w:pPr>
      <w:r>
        <w:rPr/>
      </w:r>
    </w:p>
    <w:p>
      <w:pPr>
        <w:pStyle w:val="Normal"/>
        <w:rPr/>
      </w:pPr>
      <w:r>
        <w:rPr/>
      </w:r>
    </w:p>
    <w:p>
      <w:pPr>
        <w:pStyle w:val="Normal"/>
        <w:ind w:start="360" w:end="0"/>
        <w:rPr/>
      </w:pPr>
      <w:r>
        <w:rPr/>
        <w:t>Certainly a comparison of these lists indicates that we have come a long way in the last 10 or 15 years, and I expect, hope, and pray that the “Top Ten” list a decade from now will be a lot closer to the present list than the past list.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Enron’s Visions to Date</w:t>
      </w:r>
    </w:p>
    <w:p>
      <w:pPr>
        <w:pStyle w:val="Normal"/>
        <w:ind w:start="360" w:end="0"/>
        <w:rPr>
          <w:sz w:val="28"/>
        </w:rPr>
      </w:pPr>
      <w:r>
        <w:rPr>
          <w:sz w:val="28"/>
        </w:rPr>
      </w:r>
    </w:p>
    <w:p>
      <w:pPr>
        <w:pStyle w:val="Normal"/>
        <w:jc w:val="center"/>
        <w:rPr>
          <w:sz w:val="28"/>
        </w:rPr>
      </w:pPr>
      <w:r>
        <w:rPr>
          <w:sz w:val="28"/>
        </w:rPr>
      </w:r>
    </w:p>
    <w:p>
      <w:pPr>
        <w:pStyle w:val="Normal"/>
        <w:numPr>
          <w:ilvl w:val="0"/>
          <w:numId w:val="5"/>
        </w:numPr>
        <w:rPr/>
      </w:pPr>
      <w:r>
        <w:rPr/>
        <w:t>Between the mid 1980s and today we have come a long way</w:t>
      </w:r>
    </w:p>
    <w:p>
      <w:pPr>
        <w:pStyle w:val="Normal"/>
        <w:rPr/>
      </w:pPr>
      <w:r>
        <w:rPr/>
      </w:r>
    </w:p>
    <w:p>
      <w:pPr>
        <w:pStyle w:val="Normal"/>
        <w:rPr/>
      </w:pPr>
      <w:r>
        <w:rPr/>
      </w:r>
    </w:p>
    <w:p>
      <w:pPr>
        <w:pStyle w:val="Normal"/>
        <w:rPr/>
      </w:pPr>
      <w:r>
        <w:rPr/>
      </w:r>
    </w:p>
    <w:p>
      <w:pPr>
        <w:pStyle w:val="Normal"/>
        <w:numPr>
          <w:ilvl w:val="0"/>
          <w:numId w:val="5"/>
        </w:numPr>
        <w:rPr/>
      </w:pPr>
      <w:r>
        <w:rPr/>
        <w:t xml:space="preserve">The first vision of the “modern Enron” was:  “To Become the Premier Integrated Natural Gas Company in North America.”  It did play to our asset base in natural gas pipelines and new interest in building cogeneration facilities. The “stretch” was to develop our young </w:t>
      </w:r>
      <w:r>
        <w:rPr>
          <w:u w:val="single"/>
        </w:rPr>
        <w:t>natural gas marketing function</w:t>
      </w:r>
      <w:r>
        <w:rPr/>
        <w:t xml:space="preserve"> to the point where it was clearly first in its class</w:t>
      </w:r>
    </w:p>
    <w:p>
      <w:pPr>
        <w:pStyle w:val="Normal"/>
        <w:rPr/>
      </w:pPr>
      <w:r>
        <w:rPr/>
      </w:r>
    </w:p>
    <w:p>
      <w:pPr>
        <w:pStyle w:val="Normal"/>
        <w:rPr/>
      </w:pPr>
      <w:r>
        <w:rPr/>
      </w:r>
    </w:p>
    <w:p>
      <w:pPr>
        <w:pStyle w:val="Normal"/>
        <w:rPr/>
      </w:pPr>
      <w:r>
        <w:rPr/>
      </w:r>
    </w:p>
    <w:p>
      <w:pPr>
        <w:pStyle w:val="BodyTextIndent"/>
        <w:rPr/>
      </w:pPr>
      <w:r>
        <w:rPr/>
        <w:t>We achieved our first vision in 1989 with a large unregulated gas marketing group in addition to our large pipeline network</w:t>
      </w:r>
    </w:p>
    <w:p>
      <w:pPr>
        <w:pStyle w:val="Normal"/>
        <w:rPr/>
      </w:pPr>
      <w:r>
        <w:rPr/>
      </w:r>
    </w:p>
    <w:p>
      <w:pPr>
        <w:pStyle w:val="Normal"/>
        <w:rPr/>
      </w:pPr>
      <w:r>
        <w:rPr/>
      </w:r>
    </w:p>
    <w:p>
      <w:pPr>
        <w:pStyle w:val="Normal"/>
        <w:rPr/>
      </w:pPr>
      <w:r>
        <w:rPr/>
      </w:r>
    </w:p>
    <w:p>
      <w:pPr>
        <w:pStyle w:val="Normal"/>
        <w:numPr>
          <w:ilvl w:val="0"/>
          <w:numId w:val="7"/>
        </w:numPr>
        <w:rPr/>
      </w:pPr>
      <w:r>
        <w:rPr/>
        <w:t>Our second vision in 1990 was:  “To Become the World’s First Natural Gas Major.”  Before there were just oil majors – now we wanted to be an integrated gas company with a global presence</w:t>
      </w:r>
    </w:p>
    <w:p>
      <w:pPr>
        <w:pStyle w:val="Normal"/>
        <w:rPr/>
      </w:pPr>
      <w:r>
        <w:rPr/>
      </w:r>
    </w:p>
    <w:p>
      <w:pPr>
        <w:pStyle w:val="Normal"/>
        <w:rPr/>
      </w:pPr>
      <w:r>
        <w:rPr/>
      </w:r>
    </w:p>
    <w:p>
      <w:pPr>
        <w:pStyle w:val="Normal"/>
        <w:rPr/>
      </w:pPr>
      <w:r>
        <w:rPr/>
      </w:r>
    </w:p>
    <w:p>
      <w:pPr>
        <w:pStyle w:val="BodyTextIndent"/>
        <w:rPr/>
      </w:pPr>
      <w:r>
        <w:rPr/>
        <w:t>In early 1995 we declared victory on this second vision with a growing world presence in infrastructure development as well as North American gas transmission and marketing.</w:t>
      </w:r>
    </w:p>
    <w:p>
      <w:pPr>
        <w:pStyle w:val="Normal"/>
        <w:rPr/>
      </w:pPr>
      <w:r>
        <w:rPr/>
      </w:r>
    </w:p>
    <w:p>
      <w:pPr>
        <w:pStyle w:val="Normal"/>
        <w:rPr/>
      </w:pPr>
      <w:r>
        <w:rPr/>
      </w:r>
    </w:p>
    <w:p>
      <w:pPr>
        <w:pStyle w:val="Normal"/>
        <w:rPr/>
      </w:pPr>
      <w:r>
        <w:rPr/>
      </w:r>
    </w:p>
    <w:p>
      <w:pPr>
        <w:pStyle w:val="Normal"/>
        <w:numPr>
          <w:ilvl w:val="0"/>
          <w:numId w:val="8"/>
        </w:numPr>
        <w:rPr/>
      </w:pPr>
      <w:r>
        <w:rPr/>
        <w:t>Our third vision was launched in 1995 – and was considered by senior management as a longer-term vision since it was so aggressive – “To Become the World’s Leading Energy Company.”</w:t>
      </w:r>
    </w:p>
    <w:p>
      <w:pPr>
        <w:pStyle w:val="Normal"/>
        <w:rPr/>
      </w:pPr>
      <w:r>
        <w:rPr/>
      </w:r>
    </w:p>
    <w:p>
      <w:pPr>
        <w:pStyle w:val="Normal"/>
        <w:ind w:start="432" w:end="0"/>
        <w:rPr/>
      </w:pPr>
      <w:r>
        <w:rPr/>
      </w:r>
    </w:p>
    <w:p>
      <w:pPr>
        <w:pStyle w:val="Normal"/>
        <w:numPr>
          <w:ilvl w:val="0"/>
          <w:numId w:val="4"/>
        </w:numPr>
        <w:tabs>
          <w:tab w:val="clear" w:pos="720"/>
          <w:tab w:val="left" w:pos="792" w:leader="none"/>
        </w:tabs>
        <w:ind w:hanging="360" w:start="792" w:end="0"/>
        <w:rPr/>
      </w:pPr>
      <w:r>
        <w:rPr/>
        <w:t>Wholesale natural gas marketing (1985)—world’s leader</w:t>
      </w:r>
    </w:p>
    <w:p>
      <w:pPr>
        <w:pStyle w:val="Normal"/>
        <w:ind w:start="432" w:end="0"/>
        <w:rPr/>
      </w:pPr>
      <w:r>
        <w:rPr/>
      </w:r>
    </w:p>
    <w:p>
      <w:pPr>
        <w:pStyle w:val="Normal"/>
        <w:numPr>
          <w:ilvl w:val="0"/>
          <w:numId w:val="4"/>
        </w:numPr>
        <w:tabs>
          <w:tab w:val="clear" w:pos="720"/>
          <w:tab w:val="left" w:pos="792" w:leader="none"/>
        </w:tabs>
        <w:ind w:hanging="360" w:start="792" w:end="0"/>
        <w:rPr/>
      </w:pPr>
      <w:r>
        <w:rPr/>
        <w:t>Wholesale electricity marketing (1994)—world’s leader</w:t>
      </w:r>
    </w:p>
    <w:p>
      <w:pPr>
        <w:pStyle w:val="Normal"/>
        <w:ind w:start="432" w:end="0"/>
        <w:rPr/>
      </w:pPr>
      <w:r>
        <w:rPr/>
      </w:r>
    </w:p>
    <w:p>
      <w:pPr>
        <w:pStyle w:val="Normal"/>
        <w:numPr>
          <w:ilvl w:val="0"/>
          <w:numId w:val="4"/>
        </w:numPr>
        <w:tabs>
          <w:tab w:val="clear" w:pos="720"/>
          <w:tab w:val="left" w:pos="792" w:leader="none"/>
        </w:tabs>
        <w:ind w:hanging="360" w:start="792" w:end="0"/>
        <w:rPr/>
      </w:pPr>
      <w:r>
        <w:rPr/>
        <w:t>Emissions marketing (1997)</w:t>
      </w:r>
    </w:p>
    <w:p>
      <w:pPr>
        <w:pStyle w:val="Normal"/>
        <w:ind w:start="432" w:end="0"/>
        <w:rPr/>
      </w:pPr>
      <w:r>
        <w:rPr/>
      </w:r>
    </w:p>
    <w:p>
      <w:pPr>
        <w:pStyle w:val="Normal"/>
        <w:numPr>
          <w:ilvl w:val="0"/>
          <w:numId w:val="4"/>
        </w:numPr>
        <w:tabs>
          <w:tab w:val="clear" w:pos="720"/>
          <w:tab w:val="left" w:pos="792" w:leader="none"/>
        </w:tabs>
        <w:ind w:hanging="360" w:start="792" w:end="0"/>
        <w:rPr/>
      </w:pPr>
      <w:r>
        <w:rPr/>
        <w:t>Pulp and paper risk management (1997)</w:t>
        <w:br/>
      </w:r>
    </w:p>
    <w:p>
      <w:pPr>
        <w:pStyle w:val="Normal"/>
        <w:numPr>
          <w:ilvl w:val="0"/>
          <w:numId w:val="4"/>
        </w:numPr>
        <w:tabs>
          <w:tab w:val="clear" w:pos="720"/>
          <w:tab w:val="left" w:pos="792" w:leader="none"/>
        </w:tabs>
        <w:ind w:hanging="360" w:start="792" w:end="0"/>
        <w:rPr/>
      </w:pPr>
      <w:r>
        <w:rPr/>
        <w:t>Weather derivatives marketing (1997)</w:t>
      </w:r>
    </w:p>
    <w:p>
      <w:pPr>
        <w:pStyle w:val="Normal"/>
        <w:ind w:start="432" w:end="0"/>
        <w:rPr/>
      </w:pPr>
      <w:r>
        <w:rPr/>
      </w:r>
    </w:p>
    <w:p>
      <w:pPr>
        <w:pStyle w:val="Normal"/>
        <w:numPr>
          <w:ilvl w:val="0"/>
          <w:numId w:val="4"/>
        </w:numPr>
        <w:tabs>
          <w:tab w:val="clear" w:pos="720"/>
          <w:tab w:val="left" w:pos="792" w:leader="none"/>
        </w:tabs>
        <w:ind w:hanging="360" w:start="792" w:end="0"/>
        <w:rPr/>
      </w:pPr>
      <w:r>
        <w:rPr/>
        <w:t>Coal marketing (1997)</w:t>
        <w:br/>
      </w:r>
    </w:p>
    <w:p>
      <w:pPr>
        <w:pStyle w:val="Normal"/>
        <w:numPr>
          <w:ilvl w:val="0"/>
          <w:numId w:val="4"/>
        </w:numPr>
        <w:tabs>
          <w:tab w:val="clear" w:pos="720"/>
          <w:tab w:val="left" w:pos="792" w:leader="none"/>
        </w:tabs>
        <w:ind w:hanging="360" w:start="792" w:end="0"/>
        <w:rPr/>
      </w:pPr>
      <w:r>
        <w:rPr/>
        <w:t>Total energy outsourcing (1997)—world leader</w:t>
      </w:r>
    </w:p>
    <w:p>
      <w:pPr>
        <w:pStyle w:val="Normal"/>
        <w:rPr/>
      </w:pPr>
      <w:r>
        <w:rPr/>
      </w:r>
    </w:p>
    <w:p>
      <w:pPr>
        <w:pStyle w:val="Normal"/>
        <w:rPr/>
      </w:pPr>
      <w:r>
        <w:rPr/>
      </w:r>
    </w:p>
    <w:p>
      <w:pPr>
        <w:pStyle w:val="BodyTextIndent"/>
        <w:rPr/>
      </w:pPr>
      <w:r>
        <w:rPr/>
        <w:t>We have achieved this vision with our creation of the energy services model for the energy industry and market cap that now puts us in the top 5 or 6 of all energy companies in the world</w:t>
      </w:r>
    </w:p>
    <w:p>
      <w:pPr>
        <w:pStyle w:val="Normal"/>
        <w:rPr/>
      </w:pPr>
      <w:r>
        <w:rPr/>
      </w:r>
    </w:p>
    <w:p>
      <w:pPr>
        <w:pStyle w:val="Normal"/>
        <w:rPr/>
      </w:pPr>
      <w:r>
        <w:rPr/>
      </w:r>
    </w:p>
    <w:p>
      <w:pPr>
        <w:pStyle w:val="BodyTextIndent2"/>
        <w:numPr>
          <w:ilvl w:val="0"/>
          <w:numId w:val="2"/>
        </w:numPr>
        <w:rPr/>
      </w:pPr>
      <w:r>
        <w:rPr/>
        <w:t>Our new vision must go beyond energy given our unique skill set.  In our latest annual report we said: “We will remain the world’s leading energy company, but we will also use our skills and talents to gain leadership in fields where the right opportunities beckon.”</w:t>
      </w:r>
    </w:p>
    <w:p>
      <w:pPr>
        <w:pStyle w:val="Normal"/>
        <w:rPr/>
      </w:pPr>
      <w:r>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Draft Comments for KLL from RLB, November 21,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000000"/>
      <w:szCs w:val="20"/>
    </w:rPr>
  </w:style>
  <w:style w:type="paragraph" w:styleId="Heading2">
    <w:name w:val="heading 2"/>
    <w:basedOn w:val="Normal"/>
    <w:next w:val="Normal"/>
    <w:qFormat/>
    <w:pPr>
      <w:keepNext w:val="true"/>
      <w:numPr>
        <w:ilvl w:val="1"/>
        <w:numId w:val="1"/>
      </w:numPr>
      <w:ind w:hanging="0" w:start="360" w:end="0"/>
      <w:outlineLvl w:val="1"/>
    </w:pPr>
    <w:rPr>
      <w:b/>
      <w:bCs/>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Times New Roman" w:hAnsi="Times New Roman" w:eastAsia="Times New Roman" w:cs="Times New Roman"/>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FootnoteText">
    <w:name w:val="footnote text"/>
    <w:basedOn w:val="Normal"/>
    <w:pPr/>
    <w:rPr>
      <w:sz w:val="20"/>
      <w:szCs w:val="20"/>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432"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2000-11-17T13:56:00Z</dcterms:created>
  <dc:creator>R Bradley</dc:creator>
  <dc:description/>
  <dc:language>en-CA</dc:language>
  <cp:lastModifiedBy>R Bradley</cp:lastModifiedBy>
  <cp:lastPrinted>2000-11-21T15:21:00Z</cp:lastPrinted>
  <dcterms:modified xsi:type="dcterms:W3CDTF">2000-11-21T19:55:00Z</dcterms:modified>
  <cp:revision>15</cp:revision>
  <dc:subject/>
  <dc:title>Comments to EES Employee Group</dc:title>
</cp:coreProperties>
</file>