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80" w:end="360"/>
        <w:rPr>
          <w:b/>
          <w:bCs/>
        </w:rPr>
      </w:pPr>
      <w:r>
        <w:rPr>
          <w:b/>
          <w:bCs/>
        </w:rPr>
        <w:t>ENRON, WASHINGTON</w:t>
      </w:r>
    </w:p>
    <w:p>
      <w:pPr>
        <w:pStyle w:val="Normal"/>
        <w:ind w:start="180" w:end="360"/>
        <w:rPr>
          <w:b/>
          <w:bCs/>
        </w:rPr>
      </w:pPr>
      <w:r>
        <w:rPr>
          <w:b/>
          <w:bCs/>
        </w:rPr>
        <w:t>MEMORANDUM</w:t>
      </w:r>
    </w:p>
    <w:p>
      <w:pPr>
        <w:pStyle w:val="Normal"/>
        <w:ind w:start="180" w:end="360"/>
        <w:rPr/>
      </w:pPr>
      <w:r>
        <w:rPr/>
      </w:r>
    </w:p>
    <w:p>
      <w:pPr>
        <w:pStyle w:val="Normal"/>
        <w:ind w:start="180" w:end="360"/>
        <w:rPr/>
      </w:pPr>
      <w:r>
        <w:rPr/>
        <w:t>TO:</w:t>
        <w:tab/>
        <w:tab/>
        <w:t>Ken Lay</w:t>
      </w:r>
    </w:p>
    <w:p>
      <w:pPr>
        <w:pStyle w:val="Normal"/>
        <w:ind w:start="180" w:end="360"/>
        <w:rPr/>
      </w:pPr>
      <w:r>
        <w:rPr/>
        <w:t>cc:</w:t>
        <w:tab/>
        <w:tab/>
        <w:t>Steve Kean</w:t>
      </w:r>
    </w:p>
    <w:p>
      <w:pPr>
        <w:pStyle w:val="Normal"/>
        <w:ind w:start="180" w:end="360"/>
        <w:rPr/>
      </w:pPr>
      <w:r>
        <w:rPr/>
      </w:r>
    </w:p>
    <w:p>
      <w:pPr>
        <w:pStyle w:val="Normal"/>
        <w:ind w:start="180" w:end="360"/>
        <w:rPr/>
      </w:pPr>
      <w:r>
        <w:rPr/>
        <w:t>FROM:</w:t>
        <w:tab/>
        <w:t>Linda Robertson</w:t>
      </w:r>
    </w:p>
    <w:p>
      <w:pPr>
        <w:pStyle w:val="Normal"/>
        <w:ind w:start="180" w:end="360"/>
        <w:rPr/>
      </w:pPr>
      <w:r>
        <w:rPr/>
        <w:tab/>
        <w:tab/>
        <w:t>Tom Briggs</w:t>
      </w:r>
    </w:p>
    <w:p>
      <w:pPr>
        <w:pStyle w:val="Normal"/>
        <w:ind w:start="180" w:end="360"/>
        <w:rPr/>
      </w:pPr>
      <w:r>
        <w:rPr/>
      </w:r>
    </w:p>
    <w:p>
      <w:pPr>
        <w:pStyle w:val="Normal"/>
        <w:ind w:start="180" w:end="360"/>
        <w:rPr/>
      </w:pPr>
      <w:r>
        <w:rPr/>
        <w:t>DATE:</w:t>
        <w:tab/>
        <w:t>April 13, 2001</w:t>
      </w:r>
    </w:p>
    <w:p>
      <w:pPr>
        <w:pStyle w:val="Normal"/>
        <w:ind w:start="180" w:end="360"/>
        <w:rPr/>
      </w:pPr>
      <w:r>
        <w:rPr/>
        <w:t>RE:</w:t>
        <w:tab/>
        <w:tab/>
        <w:t>Meeting with Vice President Cheney</w:t>
      </w:r>
    </w:p>
    <w:p>
      <w:pPr>
        <w:pStyle w:val="Normal"/>
        <w:ind w:start="180" w:end="360"/>
        <w:rPr/>
      </w:pPr>
      <w:r>
        <w:rPr/>
      </w:r>
    </w:p>
    <w:p>
      <w:pPr>
        <w:pStyle w:val="Normal"/>
        <w:ind w:start="180" w:end="360"/>
        <w:rPr/>
      </w:pPr>
      <w:r>
        <w:rPr/>
        <w:t>10:00 AM</w:t>
        <w:tab/>
        <w:t>Tuesday, April 17, 2001</w:t>
      </w:r>
    </w:p>
    <w:p>
      <w:pPr>
        <w:pStyle w:val="Normal"/>
        <w:rPr/>
      </w:pPr>
      <w:r>
        <w:rPr/>
        <w:tab/>
        <w:tab/>
        <w:t>The Honorable Richard Cheney</w:t>
      </w:r>
    </w:p>
    <w:p>
      <w:pPr>
        <w:pStyle w:val="Normal"/>
        <w:ind w:firstLine="720" w:start="720" w:end="0"/>
        <w:rPr/>
      </w:pPr>
      <w:r>
        <w:rPr/>
        <w:t>The Vice President of the United States</w:t>
      </w:r>
    </w:p>
    <w:p>
      <w:pPr>
        <w:pStyle w:val="Normal"/>
        <w:ind w:firstLine="720" w:start="720" w:end="0"/>
        <w:rPr/>
      </w:pPr>
      <w:r>
        <w:rPr/>
        <w:t>The White House</w:t>
      </w:r>
    </w:p>
    <w:p>
      <w:pPr>
        <w:pStyle w:val="Normal"/>
        <w:ind w:firstLine="720" w:start="720" w:end="0"/>
        <w:rPr/>
      </w:pPr>
      <w:r>
        <w:rPr/>
        <w:t>1600 Pennsylvania Avenue, NW</w:t>
      </w:r>
    </w:p>
    <w:p>
      <w:pPr>
        <w:pStyle w:val="Normal"/>
        <w:ind w:firstLine="720" w:start="720" w:end="0"/>
        <w:rPr/>
      </w:pPr>
      <w:r>
        <w:rPr/>
        <w:t>Washington, DC  20501</w:t>
      </w:r>
    </w:p>
    <w:p>
      <w:pPr>
        <w:pStyle w:val="Normal"/>
        <w:ind w:firstLine="720" w:start="720" w:end="0"/>
        <w:rPr>
          <w:color w:val="000000"/>
        </w:rPr>
      </w:pPr>
      <w:r>
        <w:rPr>
          <w:color w:val="000000"/>
        </w:rPr>
        <w:t>202-456-9095</w:t>
      </w:r>
    </w:p>
    <w:p>
      <w:pPr>
        <w:pStyle w:val="Normal"/>
        <w:ind w:start="180" w:end="360"/>
        <w:rPr>
          <w:color w:val="000000"/>
        </w:rPr>
      </w:pPr>
      <w:r>
        <w:rPr>
          <w:color w:val="000000"/>
        </w:rPr>
      </w:r>
    </w:p>
    <w:p>
      <w:pPr>
        <w:pStyle w:val="Normal"/>
        <w:ind w:start="180" w:end="360"/>
        <w:rPr>
          <w:b/>
          <w:bCs/>
          <w:u w:val="single"/>
        </w:rPr>
      </w:pPr>
      <w:r>
        <w:rPr>
          <w:b/>
          <w:bCs/>
          <w:u w:val="single"/>
        </w:rPr>
        <w:t>BACKGROUND:</w:t>
      </w:r>
    </w:p>
    <w:p>
      <w:pPr>
        <w:pStyle w:val="Normal"/>
        <w:ind w:start="180" w:end="360"/>
        <w:rPr>
          <w:b/>
          <w:bCs/>
          <w:u w:val="single"/>
        </w:rPr>
      </w:pPr>
      <w:r>
        <w:rPr>
          <w:b/>
          <w:bCs/>
          <w:u w:val="single"/>
        </w:rPr>
      </w:r>
    </w:p>
    <w:p>
      <w:pPr>
        <w:pStyle w:val="Normal"/>
        <w:ind w:start="180" w:end="360"/>
        <w:rPr/>
      </w:pPr>
      <w:r>
        <w:rPr/>
        <w:t>The purpose of this meeting is to discuss the development of the Bush Administration’s national energy policy and to secure the Vice President’s commitment to include in the Administration’s plan Enron’s primary policy interest: open access transmission rules which place all uses of the grid under the same rates, terms, and conditions of the tariff.  There are four components to our electric policy: open access, streamlined interconnection, mandatory RTOs and reliability organizations, and placement of public power facilities under FERC jurisdiction.</w:t>
      </w:r>
    </w:p>
    <w:p>
      <w:pPr>
        <w:pStyle w:val="Normal"/>
        <w:ind w:start="180" w:end="360"/>
        <w:rPr/>
      </w:pPr>
      <w:r>
        <w:rPr/>
      </w:r>
    </w:p>
    <w:p>
      <w:pPr>
        <w:pStyle w:val="Normal"/>
        <w:ind w:start="180" w:end="360"/>
        <w:rPr/>
      </w:pPr>
      <w:r>
        <w:rPr/>
        <w:t xml:space="preserve">We have taken numerous opportunities to advocate all four provisions to the Administration.  However, for purposes of this meeting, we strongly recommend that most of the discussion center on our core concern: </w:t>
      </w:r>
      <w:r>
        <w:rPr>
          <w:i/>
          <w:iCs/>
        </w:rPr>
        <w:t>open access.</w:t>
      </w:r>
    </w:p>
    <w:p>
      <w:pPr>
        <w:pStyle w:val="Normal"/>
        <w:ind w:start="180" w:end="360"/>
        <w:rPr/>
      </w:pPr>
      <w:r>
        <w:rPr/>
      </w:r>
    </w:p>
    <w:p>
      <w:pPr>
        <w:pStyle w:val="Normal"/>
        <w:ind w:start="180" w:end="360"/>
        <w:rPr/>
      </w:pPr>
      <w:r>
        <w:rPr/>
        <w:t xml:space="preserve">We also recommend that you take the opportunity to convey to the Vice President the imperative of an expedited confirmation of Pat Wood and Nora Brownell.  We believe a fully constituted FERC has the potential to mitigate one of the more significant political problems confronting legislative passage of the Administration’s energy agenda, namely the call by Democrats and Western state members for price caps.  </w:t>
      </w:r>
    </w:p>
    <w:p>
      <w:pPr>
        <w:pStyle w:val="Normal"/>
        <w:ind w:start="180" w:end="360"/>
        <w:rPr/>
      </w:pPr>
      <w:r>
        <w:rPr/>
      </w:r>
    </w:p>
    <w:p>
      <w:pPr>
        <w:pStyle w:val="Normal"/>
        <w:ind w:start="180" w:end="360"/>
        <w:rPr>
          <w:b/>
          <w:bCs/>
          <w:u w:val="single"/>
        </w:rPr>
      </w:pPr>
      <w:r>
        <w:rPr>
          <w:b/>
          <w:bCs/>
          <w:u w:val="single"/>
        </w:rPr>
        <w:t>DISCUSSION:</w:t>
      </w:r>
    </w:p>
    <w:p>
      <w:pPr>
        <w:pStyle w:val="Normal"/>
        <w:ind w:start="180" w:end="360"/>
        <w:rPr>
          <w:b/>
          <w:bCs/>
          <w:u w:val="single"/>
        </w:rPr>
      </w:pPr>
      <w:r>
        <w:rPr>
          <w:b/>
          <w:bCs/>
          <w:u w:val="single"/>
        </w:rPr>
      </w:r>
    </w:p>
    <w:p>
      <w:pPr>
        <w:pStyle w:val="Normal"/>
        <w:ind w:start="180" w:end="360"/>
        <w:rPr>
          <w:b/>
          <w:bCs/>
        </w:rPr>
      </w:pPr>
      <w:r>
        <w:rPr>
          <w:b/>
          <w:bCs/>
        </w:rPr>
        <w:t>a)</w:t>
        <w:tab/>
        <w:t>Administration’s Proposal</w:t>
      </w:r>
    </w:p>
    <w:p>
      <w:pPr>
        <w:pStyle w:val="Normal"/>
        <w:ind w:start="180" w:end="360"/>
        <w:rPr/>
      </w:pPr>
      <w:r>
        <w:rPr/>
        <w:t>The Administration has declared that our country faces a major energy crisis over the next two decades.  This conclusion is based on three challenges they see confronting our country:  (1) demand for energy is rising across the board, particularly for natural gas and electricity; (2) supplies are limited by a regulatory structure that has failed to keep pace with technology and an uncertain political environment discourages investment; and (3) the energy infrastructure is woefully antiquated and inadequate.  In addressing these challenges, the Bush energy plan is expected to include legislative changes, executive orders, and regulatory changes to Federal Agencies.  Our understanding is that the Administration presently intends to release its plan on May 14, and will follow the plan with a later release of legislative proposals.</w:t>
      </w:r>
    </w:p>
    <w:p>
      <w:pPr>
        <w:pStyle w:val="Normal"/>
        <w:ind w:start="180" w:end="360"/>
        <w:rPr/>
      </w:pPr>
      <w:r>
        <w:rPr/>
      </w:r>
    </w:p>
    <w:p>
      <w:pPr>
        <w:pStyle w:val="Normal"/>
        <w:ind w:start="180" w:end="360"/>
        <w:rPr/>
      </w:pPr>
      <w:r>
        <w:rPr/>
        <w:t xml:space="preserve">While specifics are not available, the Bush plan is expected to call for increased fossil fuel extraction, including on Federal lands; construction of new natural gas and electric transmission facilities; and investment in new power plants and oil refineries.  The Bush plan is expected to include many of the clean coal technology provisions of the Murkowski bill.  It also will contain recommendations for building new nuclear power plants, ANWR development, and relicensing hydroelectric dams.  In a departure from the Murkowski bill, which contains nearly $23 billion in energy development tax incentives, the Administration is said to have rejected most of these tax provisions.  The plan will also contain provisions on conservation and demand reduction programs, although the Administration has already been criticized for giving this area little attention in the plan.  The Working Group is expected to recommend proposals to advance energy technology, and we have been working with them on specific distributed generation ideas.  We have also discussed on several occasions Enron’s ideas for a demand buy down proposal, one of the very few proposals that would produce tangible benefits this summer.  (See attachment “X” for a full discussion of the Enron demand buydown plan.)  The criticisms the Bush plan has encountered are discussed later in the political scenario section of this memo.  </w:t>
      </w:r>
    </w:p>
    <w:p>
      <w:pPr>
        <w:pStyle w:val="Normal"/>
        <w:ind w:start="180" w:end="360"/>
        <w:rPr/>
      </w:pPr>
      <w:r>
        <w:rPr/>
      </w:r>
    </w:p>
    <w:p>
      <w:pPr>
        <w:pStyle w:val="Normal"/>
        <w:numPr>
          <w:ilvl w:val="0"/>
          <w:numId w:val="2"/>
        </w:numPr>
        <w:ind w:hanging="540" w:start="720" w:end="360"/>
        <w:rPr>
          <w:b/>
          <w:bCs/>
        </w:rPr>
      </w:pPr>
      <w:r>
        <w:rPr>
          <w:b/>
          <w:bCs/>
        </w:rPr>
        <w:t>Open Access and Transmission Grid Reform</w:t>
      </w:r>
    </w:p>
    <w:p>
      <w:pPr>
        <w:pStyle w:val="Normal"/>
        <w:ind w:start="180" w:end="360"/>
        <w:rPr/>
      </w:pPr>
      <w:r>
        <w:rPr/>
        <w:t>With regard to electrical transmission issues, it is clear that the White House is focusing on capacity and investment issues, including extending the federal right of eminent domain to transmission facilities.  However, it is not clear that they are fully committed to our open access issues.</w:t>
      </w:r>
    </w:p>
    <w:p>
      <w:pPr>
        <w:pStyle w:val="Normal"/>
        <w:ind w:start="180" w:end="360"/>
        <w:rPr/>
      </w:pPr>
      <w:r>
        <w:rPr/>
      </w:r>
    </w:p>
    <w:p>
      <w:pPr>
        <w:pStyle w:val="Normal"/>
        <w:ind w:start="180" w:end="360"/>
        <w:rPr/>
      </w:pPr>
      <w:r>
        <w:rPr/>
        <w:t>At a meeting with the Electric Power Supply Association (EPSA) on Monday April 10</w:t>
      </w:r>
      <w:r>
        <w:rPr>
          <w:vertAlign w:val="superscript"/>
        </w:rPr>
        <w:t>th</w:t>
      </w:r>
      <w:r>
        <w:rPr/>
        <w:t>, Andrew Lundquist and Karen Knutson stated that they agreed with EPSA’s position on RTOs, unbundling, open access and federal jurisdiction over transmission.  However, they claimed that they were not sure how to achieve those goals politically or through legislation.  They did comment that the recent FERC appointments should go a long way toward sorting out open access rules.  Unfortunately, many in the EPSA meeting walked away with the impression that neither Andrew nor Karen were fully committed to the open access agenda and perhaps underestimate the strong correlation between investment in infrastructure and the need for fair rules of transmission access.</w:t>
      </w:r>
    </w:p>
    <w:p>
      <w:pPr>
        <w:pStyle w:val="Normal"/>
        <w:ind w:start="180" w:end="360"/>
        <w:rPr/>
      </w:pPr>
      <w:r>
        <w:rPr/>
      </w:r>
    </w:p>
    <w:p>
      <w:pPr>
        <w:pStyle w:val="Normal"/>
        <w:ind w:start="180" w:end="360"/>
        <w:rPr/>
      </w:pPr>
      <w:r>
        <w:rPr/>
        <w:t>Their lack of zeal for open access, while totally unacceptable, is understandable given that the West Coast power crisis has presented the Administration with difficult and unique political issues that will have a profound impact beyond energy policy.  For example, everyone is well aware that Republican Senator Smith of Oregon has a difficult election race in 2002 and his difficulties have been exacerbated by the power crisis.  Retaining an even Senate or regaining a majority will be a top Republican priority going into the 2002 election.  This simple fact may dictate the Administration’s approach to energy policy and could result in less than desirable decisions.</w:t>
      </w:r>
    </w:p>
    <w:p>
      <w:pPr>
        <w:pStyle w:val="Normal"/>
        <w:ind w:start="180" w:end="360"/>
        <w:rPr/>
      </w:pPr>
      <w:r>
        <w:rPr/>
      </w:r>
    </w:p>
    <w:p>
      <w:pPr>
        <w:pStyle w:val="Normal"/>
        <w:ind w:start="180" w:end="360"/>
        <w:rPr/>
      </w:pPr>
      <w:r>
        <w:rPr/>
        <w:t>The West Coast Energy Crises makes it difficult for policy makers to focus on open access.  Nonetheless, Enron’s efforts have yielded some results.  First, the appointment of Pat Wood and Nora Brownell to the FERC was a significant achievement especially as it was done over the objections of Senator Lott.  EPSA staff recently met with Wood and Brownell.  They described the candidates’ comments on open access as “fantastic.”  Second, numerous meetings between Enron senior executives and senior White House staff have been held to underscore the importance of transmission restructuring as an integral component of a national energy policy.  Jeff Skilling recently met with Secretary O’Neill to make the open access case.  Nonetheless, we remain gravely concerned that the Administration has not settled on its political strategy for this debate and this circumstance is leading to inaction or tepid action at best.</w:t>
      </w:r>
    </w:p>
    <w:p>
      <w:pPr>
        <w:pStyle w:val="Normal"/>
        <w:ind w:start="180" w:end="360"/>
        <w:rPr/>
      </w:pPr>
      <w:r>
        <w:rPr/>
      </w:r>
    </w:p>
    <w:p>
      <w:pPr>
        <w:pStyle w:val="Normal"/>
        <w:ind w:start="180" w:end="360"/>
        <w:rPr>
          <w:b/>
          <w:bCs/>
        </w:rPr>
      </w:pPr>
      <w:r>
        <w:rPr>
          <w:b/>
          <w:bCs/>
        </w:rPr>
        <w:t>c)</w:t>
        <w:tab/>
        <w:t xml:space="preserve">Price Caps </w:t>
      </w:r>
    </w:p>
    <w:p>
      <w:pPr>
        <w:pStyle w:val="Normal"/>
        <w:ind w:start="180" w:end="360"/>
        <w:rPr/>
      </w:pPr>
      <w:r>
        <w:rPr/>
        <w:t>Although the Administration and the Republicans in Congress are making the right noises about their opposition to price caps, there is great concern within the industry that price caps may be inevitable.  At the EPSA meeting, Lundquist stated that he is getting pressure from both Democrat and Republican Members of Congress about price caps in the West.  Most interpreted his statement as a warning that price caps may be inevitable.</w:t>
      </w:r>
    </w:p>
    <w:p>
      <w:pPr>
        <w:pStyle w:val="Normal"/>
        <w:ind w:start="180" w:end="360"/>
        <w:rPr/>
      </w:pPr>
      <w:r>
        <w:rPr/>
      </w:r>
    </w:p>
    <w:p>
      <w:pPr>
        <w:pStyle w:val="Normal"/>
        <w:ind w:start="180" w:end="360"/>
        <w:rPr/>
      </w:pPr>
      <w:r>
        <w:rPr/>
        <w:t xml:space="preserve">The most contentious political issue dividing Congressional Democrats and Republicans is energy price caps.  Thus far, Republicans in both the House and the Senate (as well as the Bush Administration) have held fast against price caps (or a temporary return to cost-based wholesale rates).  </w:t>
      </w:r>
      <w:r>
        <w:rPr>
          <w:i/>
          <w:iCs/>
        </w:rPr>
        <w:t>However, Western state politicians are growing increasingly nervous and are getting significant pressure from their constituents to place a temporary cap on prices.</w:t>
      </w:r>
      <w:r>
        <w:rPr/>
        <w:t xml:space="preserve">  Senator Larry Craig’s office made it clear that it is difficult to argue against them especially given that the agricultural community is already hard hit by low commodity prices and lack of water.  Senator Craig made the same point recently to Jeff Skilling.</w:t>
      </w:r>
    </w:p>
    <w:p>
      <w:pPr>
        <w:pStyle w:val="Normal"/>
        <w:ind w:start="180" w:end="360"/>
        <w:rPr/>
      </w:pPr>
      <w:r>
        <w:rPr/>
      </w:r>
    </w:p>
    <w:p>
      <w:pPr>
        <w:pStyle w:val="Normal"/>
        <w:ind w:start="180" w:end="360"/>
        <w:rPr/>
      </w:pPr>
      <w:r>
        <w:rPr/>
        <w:t>The Democratic Energy Committee alternative bill on energy contains a provision proposed by Senators Feinstein (D-CA) and Smith (R-OR) to establish a temporary cost-based rate (cap) for wholesale electricity prices in the 11 state region of the Western System Coordinating Council.  Price caps will only be applied to States that allow its utilities to recover the costs of the cost-based rate through its retail rates.  The state PUCs will have the latitude to determine when and how utilities can satisfy this condition.  In addition, Senators Feinstein, Smith and Dorgan (D-ND) have proposed legislation that caps prices for secondary pipeline capacity in an attempt to address the El Paso problem.</w:t>
      </w:r>
    </w:p>
    <w:p>
      <w:pPr>
        <w:pStyle w:val="Normal"/>
        <w:ind w:start="180" w:end="360"/>
        <w:rPr/>
      </w:pPr>
      <w:r>
        <w:rPr/>
      </w:r>
    </w:p>
    <w:p>
      <w:pPr>
        <w:pStyle w:val="Normal"/>
        <w:ind w:start="180" w:end="360"/>
        <w:rPr/>
      </w:pPr>
      <w:r>
        <w:rPr/>
        <w:t>Given the 50/50 split in the Senate, there is a danger that price cap legislation will gain traction and materialize in legislation on the Senate side.  Thus far, Enron has been successful in arguing against price caps and the Republicans and the Administration seem determined to make price caps an issue that divides Democrats and Republicans.</w:t>
      </w:r>
    </w:p>
    <w:p>
      <w:pPr>
        <w:pStyle w:val="Normal"/>
        <w:ind w:start="180" w:end="360"/>
        <w:rPr/>
      </w:pPr>
      <w:r>
        <w:rPr/>
      </w:r>
    </w:p>
    <w:p>
      <w:pPr>
        <w:pStyle w:val="Normal"/>
        <w:ind w:start="180" w:end="360"/>
        <w:rPr/>
      </w:pPr>
      <w:r>
        <w:rPr/>
        <w:t xml:space="preserve">On the other hand, Sen. Smith (R- OR) will be in a tough race in 2002 and the Republicans are in danger of losing the Senate in 2002.  In addition, it is not clear whether Sen. Murkowski is solidly against price caps or is willing to trade them for drilling in ANWR.  </w:t>
      </w:r>
    </w:p>
    <w:p>
      <w:pPr>
        <w:pStyle w:val="Normal"/>
        <w:ind w:start="180" w:end="360"/>
        <w:rPr/>
      </w:pPr>
      <w:r>
        <w:rPr/>
      </w:r>
    </w:p>
    <w:p>
      <w:pPr>
        <w:pStyle w:val="Normal"/>
        <w:numPr>
          <w:ilvl w:val="0"/>
          <w:numId w:val="4"/>
        </w:numPr>
        <w:ind w:hanging="360" w:start="540" w:end="360"/>
        <w:rPr>
          <w:b/>
          <w:bCs/>
        </w:rPr>
      </w:pPr>
      <w:r>
        <w:rPr>
          <w:b/>
          <w:bCs/>
        </w:rPr>
        <w:t>Barton Emergency Energy Legislation</w:t>
      </w:r>
    </w:p>
    <w:p>
      <w:pPr>
        <w:pStyle w:val="Normal"/>
        <w:ind w:start="180" w:end="360"/>
        <w:rPr/>
      </w:pPr>
      <w:r>
        <w:rPr/>
        <w:t xml:space="preserve">The Republicans on the House Energy and Air Quality Subcommittee, led by Congressman Barton, have drafted legislation containing short term, emergency measures to alleviate the crises in the Western States comprising the Western Systems Coordinating Council.  Such measures include a mandatory connection policy for distributed generation, mobilizing the Federal Emergency Management Agency (FEMA) and compelling the formation of a Western region RTO.  </w:t>
      </w:r>
    </w:p>
    <w:p>
      <w:pPr>
        <w:pStyle w:val="Normal"/>
        <w:ind w:start="180" w:end="360"/>
        <w:rPr/>
      </w:pPr>
      <w:r>
        <w:rPr/>
      </w:r>
    </w:p>
    <w:p>
      <w:pPr>
        <w:pStyle w:val="Normal"/>
        <w:ind w:start="180" w:end="360"/>
        <w:rPr/>
      </w:pPr>
      <w:r>
        <w:rPr/>
        <w:t>After time for comments from the industry, Barton may introduce the bill at the end of April.  The bill is intended as a political response to Democrats and the State of California.  Little in the bill could be implemented by this summer and few of the provisions would have any beneficial impact on supply or demand.  Thus, there is an open question within the White House whether pursuit of the Barton bill is the correct political tactic.  The belief among the industry is that it is going nowhere and it has already served its limited purpose of responding to Democratic demands for action.  Although a final decision on its inclusion has not been made, Enron has been initially successful in including its demand buy down proposal in the Barton bill.</w:t>
      </w:r>
    </w:p>
    <w:p>
      <w:pPr>
        <w:pStyle w:val="Normal"/>
        <w:ind w:start="180" w:end="360"/>
        <w:rPr/>
      </w:pPr>
      <w:r>
        <w:rPr/>
      </w:r>
    </w:p>
    <w:p>
      <w:pPr>
        <w:pStyle w:val="Normal"/>
        <w:ind w:start="180" w:end="360"/>
        <w:rPr>
          <w:b/>
          <w:bCs/>
          <w:u w:val="single"/>
        </w:rPr>
      </w:pPr>
      <w:r>
        <w:rPr>
          <w:b/>
          <w:bCs/>
          <w:u w:val="single"/>
        </w:rPr>
        <w:t>POLITICAL SCENARIO:</w:t>
      </w:r>
    </w:p>
    <w:p>
      <w:pPr>
        <w:pStyle w:val="Normal"/>
        <w:ind w:start="180" w:end="360"/>
        <w:rPr>
          <w:b/>
          <w:bCs/>
          <w:u w:val="single"/>
        </w:rPr>
      </w:pPr>
      <w:r>
        <w:rPr>
          <w:b/>
          <w:bCs/>
          <w:u w:val="single"/>
        </w:rPr>
      </w:r>
    </w:p>
    <w:p>
      <w:pPr>
        <w:pStyle w:val="Normal"/>
        <w:ind w:start="180" w:end="360"/>
        <w:rPr/>
      </w:pPr>
      <w:r>
        <w:rPr/>
        <w:t xml:space="preserve">The energy debate looks to be one of the most politically polarized issues confronted by the new Bush Administration in its first year.  Both in the West and nationally the two political parties are rapidly cementing very different approaches to the fundamental energy issues confronting our country, and the Democrats so far seem to be winning the political high ground.  In Congress, very different and very partisan legislation has been introduced.  Republican Senators are pressing for the adoption of the policies focused on greater oil and gas production.  To a large degree, the Democrats and the media have successfully portrayed Republican support for ANWR as the poster child of their policy.  Senate Democrats have introduced a dueling legislative plan, which emphasizes conservation, the environment and price caps.  </w:t>
      </w:r>
    </w:p>
    <w:p>
      <w:pPr>
        <w:pStyle w:val="Normal"/>
        <w:ind w:start="180" w:end="360"/>
        <w:rPr/>
      </w:pPr>
      <w:r>
        <w:rPr/>
      </w:r>
    </w:p>
    <w:p>
      <w:pPr>
        <w:pStyle w:val="Normal"/>
        <w:ind w:start="180" w:end="360"/>
        <w:rPr/>
      </w:pPr>
      <w:r>
        <w:rPr/>
        <w:t>Thus, the Bush Administration now finds itself in the classic, liberal-conservative Democratic-Republican dynamic, and Democrats have successfully defined the dynamic as:</w:t>
      </w:r>
    </w:p>
    <w:p>
      <w:pPr>
        <w:pStyle w:val="Normal"/>
        <w:ind w:start="180" w:end="360"/>
        <w:rPr/>
      </w:pPr>
      <w:r>
        <w:rPr/>
      </w:r>
    </w:p>
    <w:p>
      <w:pPr>
        <w:pStyle w:val="BlockText"/>
        <w:ind w:start="180" w:end="360"/>
        <w:jc w:val="start"/>
        <w:rPr>
          <w:rFonts w:ascii="Times New Roman" w:hAnsi="Times New Roman" w:cs="Times New Roman"/>
          <w:sz w:val="24"/>
        </w:rPr>
      </w:pPr>
      <w:r>
        <w:rPr>
          <w:rFonts w:cs="Times New Roman" w:ascii="Times New Roman" w:hAnsi="Times New Roman"/>
          <w:sz w:val="24"/>
        </w:rPr>
        <w:t>Bush</w:t>
        <w:tab/>
        <w:tab/>
        <w:tab/>
        <w:tab/>
        <w:tab/>
        <w:tab/>
        <w:tab/>
        <w:t>Democrats</w:t>
      </w:r>
    </w:p>
    <w:p>
      <w:pPr>
        <w:pStyle w:val="Normal"/>
        <w:ind w:firstLine="180" w:end="360"/>
        <w:rPr/>
      </w:pPr>
      <w:r>
        <w:rPr/>
        <w:t>Anti-environment</w:t>
        <w:tab/>
        <w:tab/>
        <w:tab/>
        <w:tab/>
        <w:tab/>
        <w:t>Pro-environment</w:t>
      </w:r>
    </w:p>
    <w:p>
      <w:pPr>
        <w:pStyle w:val="Normal"/>
        <w:ind w:start="180" w:end="360"/>
        <w:rPr/>
      </w:pPr>
      <w:r>
        <w:rPr/>
        <w:t>Higher prices</w:t>
        <w:tab/>
        <w:tab/>
        <w:tab/>
        <w:tab/>
        <w:tab/>
        <w:t>Lower prices (price caps)</w:t>
      </w:r>
    </w:p>
    <w:p>
      <w:pPr>
        <w:pStyle w:val="Normal"/>
        <w:ind w:start="180" w:end="360"/>
        <w:rPr/>
      </w:pPr>
      <w:r>
        <w:rPr/>
        <w:t>Big oil</w:t>
        <w:tab/>
        <w:tab/>
        <w:tab/>
        <w:tab/>
        <w:tab/>
        <w:tab/>
        <w:t>Consumers</w:t>
      </w:r>
    </w:p>
    <w:p>
      <w:pPr>
        <w:pStyle w:val="Normal"/>
        <w:ind w:start="180" w:end="360"/>
        <w:rPr/>
      </w:pPr>
      <w:r>
        <w:rPr/>
        <w:t>Drilling</w:t>
        <w:tab/>
        <w:tab/>
        <w:tab/>
        <w:tab/>
        <w:tab/>
        <w:tab/>
        <w:t>Conservation</w:t>
      </w:r>
    </w:p>
    <w:p>
      <w:pPr>
        <w:pStyle w:val="Normal"/>
        <w:ind w:start="180" w:end="360"/>
        <w:rPr/>
      </w:pPr>
      <w:r>
        <w:rPr/>
        <w:t>Inaction</w:t>
        <w:tab/>
        <w:tab/>
        <w:tab/>
        <w:tab/>
        <w:tab/>
        <w:tab/>
        <w:t>Action</w:t>
      </w:r>
    </w:p>
    <w:p>
      <w:pPr>
        <w:pStyle w:val="Normal"/>
        <w:ind w:start="180" w:end="360"/>
        <w:rPr/>
      </w:pPr>
      <w:r>
        <w:rPr/>
        <w:t>Dirty</w:t>
        <w:tab/>
        <w:tab/>
        <w:tab/>
        <w:tab/>
        <w:tab/>
        <w:tab/>
        <w:tab/>
        <w:t>Clean</w:t>
      </w:r>
    </w:p>
    <w:p>
      <w:pPr>
        <w:pStyle w:val="Normal"/>
        <w:ind w:start="180" w:end="360"/>
        <w:rPr/>
      </w:pPr>
      <w:r>
        <w:rPr/>
        <w:t>Deregulation</w:t>
        <w:tab/>
        <w:tab/>
        <w:tab/>
        <w:tab/>
        <w:tab/>
        <w:tab/>
        <w:t>Deregulation a failure</w:t>
      </w:r>
    </w:p>
    <w:p>
      <w:pPr>
        <w:pStyle w:val="Normal"/>
        <w:ind w:start="180" w:end="360"/>
        <w:rPr/>
      </w:pPr>
      <w:r>
        <w:rPr/>
        <w:t>Protecting market power</w:t>
        <w:tab/>
        <w:tab/>
        <w:tab/>
        <w:tab/>
        <w:t>Rooting out market abuse</w:t>
      </w:r>
    </w:p>
    <w:p>
      <w:pPr>
        <w:pStyle w:val="Normal"/>
        <w:ind w:start="180" w:end="360"/>
        <w:rPr/>
      </w:pPr>
      <w:r>
        <w:rPr/>
      </w:r>
    </w:p>
    <w:p>
      <w:pPr>
        <w:pStyle w:val="Normal"/>
        <w:ind w:end="360"/>
        <w:rPr/>
      </w:pPr>
      <w:r>
        <w:rPr/>
        <w:t>The Bush Administration cannot win an energy policy debate cast on these terms.  It must change the dynamic.  They need to pick a new fight and in so doing they must “Carterize” the Democrats.  In this new prism, the debate would be had along the following lines:</w:t>
      </w:r>
    </w:p>
    <w:p>
      <w:pPr>
        <w:pStyle w:val="Normal"/>
        <w:ind w:start="180" w:end="360"/>
        <w:rPr/>
      </w:pPr>
      <w:r>
        <w:rPr/>
      </w:r>
    </w:p>
    <w:p>
      <w:pPr>
        <w:pStyle w:val="BlockText"/>
        <w:ind w:start="180" w:end="360"/>
        <w:jc w:val="start"/>
        <w:rPr>
          <w:rFonts w:ascii="Times New Roman" w:hAnsi="Times New Roman" w:cs="Times New Roman"/>
          <w:sz w:val="24"/>
        </w:rPr>
      </w:pPr>
      <w:r>
        <w:rPr>
          <w:rFonts w:cs="Times New Roman" w:ascii="Times New Roman" w:hAnsi="Times New Roman"/>
          <w:sz w:val="24"/>
        </w:rPr>
        <w:t>Bush</w:t>
        <w:tab/>
        <w:tab/>
        <w:tab/>
        <w:tab/>
        <w:tab/>
        <w:tab/>
        <w:tab/>
        <w:t>Democrats</w:t>
      </w:r>
    </w:p>
    <w:p>
      <w:pPr>
        <w:pStyle w:val="Normal"/>
        <w:ind w:start="180" w:end="360"/>
        <w:rPr/>
      </w:pPr>
      <w:r>
        <w:rPr/>
        <w:t>Future</w:t>
        <w:tab/>
        <w:tab/>
        <w:tab/>
        <w:tab/>
        <w:tab/>
        <w:tab/>
        <w:t>Past</w:t>
      </w:r>
    </w:p>
    <w:p>
      <w:pPr>
        <w:pStyle w:val="Normal"/>
        <w:ind w:start="180" w:end="360"/>
        <w:rPr/>
      </w:pPr>
      <w:r>
        <w:rPr/>
        <w:t>Abundant</w:t>
        <w:tab/>
        <w:tab/>
        <w:tab/>
        <w:tab/>
        <w:tab/>
        <w:tab/>
        <w:t>Rationed (blackouts)</w:t>
      </w:r>
    </w:p>
    <w:p>
      <w:pPr>
        <w:pStyle w:val="Normal"/>
        <w:ind w:start="180" w:end="360"/>
        <w:rPr/>
      </w:pPr>
      <w:r>
        <w:rPr/>
        <w:t>Efficiency</w:t>
        <w:tab/>
        <w:tab/>
        <w:tab/>
        <w:tab/>
        <w:tab/>
        <w:tab/>
        <w:t>Waste</w:t>
      </w:r>
    </w:p>
    <w:p>
      <w:pPr>
        <w:pStyle w:val="Normal"/>
        <w:ind w:start="180" w:end="360"/>
        <w:rPr/>
      </w:pPr>
      <w:r>
        <w:rPr/>
        <w:t>New Economy</w:t>
        <w:tab/>
        <w:tab/>
        <w:tab/>
        <w:tab/>
        <w:tab/>
        <w:t>Luddites</w:t>
      </w:r>
    </w:p>
    <w:p>
      <w:pPr>
        <w:pStyle w:val="Normal"/>
        <w:ind w:start="180" w:end="360"/>
        <w:rPr/>
      </w:pPr>
      <w:r>
        <w:rPr/>
        <w:t>Innovation</w:t>
        <w:tab/>
        <w:tab/>
        <w:tab/>
        <w:tab/>
        <w:tab/>
        <w:tab/>
        <w:t>Regulation</w:t>
      </w:r>
    </w:p>
    <w:p>
      <w:pPr>
        <w:pStyle w:val="Normal"/>
        <w:ind w:start="180" w:end="360"/>
        <w:rPr/>
      </w:pPr>
      <w:r>
        <w:rPr/>
        <w:t>Open Markets</w:t>
        <w:tab/>
        <w:tab/>
        <w:tab/>
        <w:tab/>
        <w:tab/>
        <w:t>Government ownership</w:t>
      </w:r>
    </w:p>
    <w:p>
      <w:pPr>
        <w:pStyle w:val="Normal"/>
        <w:ind w:start="180" w:end="360"/>
        <w:rPr/>
      </w:pPr>
      <w:r>
        <w:rPr/>
        <w:t>Jobs</w:t>
        <w:tab/>
        <w:tab/>
        <w:tab/>
        <w:tab/>
        <w:tab/>
        <w:tab/>
        <w:tab/>
        <w:t>Stagnation</w:t>
      </w:r>
    </w:p>
    <w:p>
      <w:pPr>
        <w:pStyle w:val="Normal"/>
        <w:ind w:start="180" w:end="360"/>
        <w:rPr/>
      </w:pPr>
      <w:r>
        <w:rPr/>
        <w:t>2001</w:t>
        <w:tab/>
        <w:tab/>
        <w:tab/>
        <w:tab/>
        <w:tab/>
        <w:tab/>
        <w:tab/>
        <w:t>1977</w:t>
      </w:r>
    </w:p>
    <w:p>
      <w:pPr>
        <w:pStyle w:val="Normal"/>
        <w:ind w:start="180" w:end="360"/>
        <w:rPr/>
      </w:pPr>
      <w:r>
        <w:rPr/>
        <w:t>New infrastructure</w:t>
        <w:tab/>
        <w:tab/>
        <w:tab/>
        <w:tab/>
        <w:tab/>
        <w:t>Crumbling assets</w:t>
      </w:r>
    </w:p>
    <w:p>
      <w:pPr>
        <w:pStyle w:val="Normal"/>
        <w:ind w:start="180" w:end="360"/>
        <w:rPr/>
      </w:pPr>
      <w:r>
        <w:rPr/>
        <w:t>Breaking up market power</w:t>
        <w:tab/>
        <w:tab/>
        <w:tab/>
        <w:tab/>
        <w:t>Status quo</w:t>
      </w:r>
    </w:p>
    <w:p>
      <w:pPr>
        <w:pStyle w:val="Normal"/>
        <w:ind w:start="180" w:end="360"/>
        <w:rPr/>
      </w:pPr>
      <w:r>
        <w:rPr/>
      </w:r>
    </w:p>
    <w:p>
      <w:pPr>
        <w:pStyle w:val="Normal"/>
        <w:ind w:start="180" w:end="360"/>
        <w:rPr/>
      </w:pPr>
      <w:r>
        <w:rPr/>
        <w:t xml:space="preserve">The imperative is to capture the “quality of life” argument.  Whoever defines their proposals on those terms wins.  What the Bush team needs to do is steal a page from the Clinton new economy playbook and to relegate the Democrats to the Carter “eat your peas” playbook.  </w:t>
      </w:r>
    </w:p>
    <w:p>
      <w:pPr>
        <w:pStyle w:val="Normal"/>
        <w:ind w:start="180" w:end="360"/>
        <w:rPr/>
      </w:pPr>
      <w:r>
        <w:rPr/>
      </w:r>
    </w:p>
    <w:p>
      <w:pPr>
        <w:pStyle w:val="Normal"/>
        <w:numPr>
          <w:ilvl w:val="0"/>
          <w:numId w:val="5"/>
        </w:numPr>
        <w:ind w:hanging="360" w:start="540" w:end="360"/>
        <w:rPr/>
      </w:pPr>
      <w:r>
        <w:rPr>
          <w:b/>
          <w:bCs/>
        </w:rPr>
        <w:t>Open Access</w:t>
      </w:r>
    </w:p>
    <w:p>
      <w:pPr>
        <w:pStyle w:val="Normal"/>
        <w:ind w:start="180" w:end="360"/>
        <w:rPr/>
      </w:pPr>
      <w:r>
        <w:rPr/>
        <w:t xml:space="preserve">Our challenge is twofold:  to persuade the Vice President of the need to better define the political terms and messages underpinning the energy debate and to persuade him that Enron’s proposals embody the very core of this message.  Our consultant, Ed Gillespie, is separately making these identical arguments to the Bush political team.  There are four pieces to our power transmission proposals: (1) Open access; (2) streamlined generation interconnection; (3) mandatory RTOs and reliability organizations; and (4) placement of public power and federal power marketing agency transmission facilities under FERC.  By embracing these proposals the Bush Administration could go a long way in solving their political problems in the energy debate and in redefining the terms by which their measures are judged by the public.  </w:t>
      </w:r>
    </w:p>
    <w:p>
      <w:pPr>
        <w:pStyle w:val="Normal"/>
        <w:ind w:start="180" w:end="360"/>
        <w:rPr/>
      </w:pPr>
      <w:r>
        <w:rPr/>
      </w:r>
    </w:p>
    <w:p>
      <w:pPr>
        <w:pStyle w:val="BodyTextIndent"/>
        <w:rPr/>
      </w:pPr>
      <w:r>
        <w:rPr/>
        <w:t>There are several political arguments in support of open access which flow from the “quality of life” terms suggested above.  First, advocacy of a streamlined and uniform regulatory structure for the transmission grid would allow the Administration to say they are for abundant supplies by getting power from where it is to where it is needed.  New supply does not only mean new drilling.  Full open access to the transmission grid, subject to FERC jurisdiction, will result in an increase of 2-5 percent of additional power supply, without building any new generation.  In the Western Interconnect, with generation capacity of approximately 135,000 MW, this could result in an increase of 2,700-6,750 MW of power per day.  This could be the difference between having the lights stay on or go out.</w:t>
      </w:r>
    </w:p>
    <w:p>
      <w:pPr>
        <w:pStyle w:val="Normal"/>
        <w:ind w:start="180" w:end="0"/>
        <w:rPr/>
      </w:pPr>
      <w:r>
        <w:rPr/>
      </w:r>
    </w:p>
    <w:p>
      <w:pPr>
        <w:pStyle w:val="Normal"/>
        <w:ind w:start="180" w:end="0"/>
        <w:rPr/>
      </w:pPr>
      <w:r>
        <w:rPr/>
        <w:t xml:space="preserve">Under current conditions, due to utilities’ monopoly advantages from the native load exception as well as their general lack of motivation to increase throughput, the transmission system is not fully utilized.  However, if FERC were to exercise its jurisdiction over the entire transmission system, utilities would no longer have the ability or incentive to withhold transmission from the market.  Instead, their profit motive would be to maximize throughput, thus making existing transmission capacity that may previously have been underutilized, now utilized to the fullest extent possible.  </w:t>
      </w:r>
    </w:p>
    <w:p>
      <w:pPr>
        <w:pStyle w:val="Normal"/>
        <w:ind w:start="180" w:end="360"/>
        <w:rPr/>
      </w:pPr>
      <w:r>
        <w:rPr/>
      </w:r>
    </w:p>
    <w:p>
      <w:pPr>
        <w:pStyle w:val="Normal"/>
        <w:ind w:start="180" w:end="360"/>
        <w:rPr/>
      </w:pPr>
      <w:r>
        <w:rPr/>
        <w:t>Other evidence that open access will increase and better distribute supply is found by looking at the benefits generated by President Bush’s decision in Order 636.  U.S. natural gas customer customer savings due to natural gas open access since 1985 have exceeded $141.5 billion in nominal dollars, equal to $261 billion today in spending power.  Furthermore, in 1987 pipeline load factors were 68 percent; by 1997 the average load factor was 77.5 percent.  Gas utilization storage was up 73% over the same period.</w:t>
      </w:r>
    </w:p>
    <w:p>
      <w:pPr>
        <w:pStyle w:val="Normal"/>
        <w:ind w:start="180" w:end="360"/>
        <w:rPr/>
      </w:pPr>
      <w:r>
        <w:rPr/>
      </w:r>
    </w:p>
    <w:p>
      <w:pPr>
        <w:pStyle w:val="Normal"/>
        <w:ind w:start="180" w:end="360"/>
        <w:rPr/>
      </w:pPr>
      <w:r>
        <w:rPr/>
        <w:t xml:space="preserve">Second, open access means innovative and functioning markets, which will in turn stimulate new investment in energy infrastructure.  Centralized markets dry up liquidity in forward markets.  Without well functioning forward markets, price uncertainty (inability to hedge forward) increases the cost of capital and the cost of new generation.  </w:t>
      </w:r>
    </w:p>
    <w:p>
      <w:pPr>
        <w:pStyle w:val="Normal"/>
        <w:ind w:start="180" w:end="360"/>
        <w:rPr/>
      </w:pPr>
      <w:r>
        <w:rPr/>
      </w:r>
    </w:p>
    <w:p>
      <w:pPr>
        <w:pStyle w:val="Normal"/>
        <w:ind w:start="180" w:end="360"/>
        <w:rPr/>
      </w:pPr>
      <w:r>
        <w:rPr/>
        <w:t>Third, open access means we will be able to meet future energy demands critical to new technologies.  Technology advancement and investment have been the linchpin of the productivity gains in our economy over the past decade.  Electricity is a key input to the new economy and the interstate transmission grid is the linchpin of our national electricity infrastructure.  Hence a strong and fully open transmission system is essential for future robust economic growth.</w:t>
      </w:r>
    </w:p>
    <w:p>
      <w:pPr>
        <w:pStyle w:val="Normal"/>
        <w:ind w:start="180" w:end="360"/>
        <w:rPr/>
      </w:pPr>
      <w:r>
        <w:rPr/>
      </w:r>
    </w:p>
    <w:p>
      <w:pPr>
        <w:pStyle w:val="Normal"/>
        <w:ind w:start="180" w:end="360"/>
        <w:rPr/>
      </w:pPr>
      <w:r>
        <w:rPr/>
        <w:t xml:space="preserve">Fourth, having FERC complete its responsibility to open the grid instead of leaving it to the legislature solves another political dynamic for the Administration.  Democrats argue that deregulation has failed, and point to California as evidence of the failed deregulation experiment.  In truth, the only element that failed in our country’s deregulation experiment is the politicians’ distortion of what constitutes deregulation.  California was not a deregulation failure.  It was a failure of the political system to truly deregulate.  FERC has the expertise and political capability to do the job correctly allows the Bush Administration to put in place an important part of its new energy marketplace and to do so in a sensible and well structured manner.  </w:t>
      </w:r>
    </w:p>
    <w:p>
      <w:pPr>
        <w:pStyle w:val="Normal"/>
        <w:ind w:start="180" w:end="360"/>
        <w:rPr/>
      </w:pPr>
      <w:r>
        <w:rPr/>
      </w:r>
    </w:p>
    <w:p>
      <w:pPr>
        <w:pStyle w:val="Normal"/>
        <w:ind w:start="180" w:end="360"/>
        <w:rPr/>
      </w:pPr>
      <w:r>
        <w:rPr/>
        <w:t xml:space="preserve">Finally, open access is about reducing market power.  Today’s rigid market structure allows entrenched interests to manipulate the rules of the road and to deny competitors access to the system.  This inevitably results in tighter supplies, less new investment, and higher consumer prices.  Our policies give the Administration the tools it needs to refute opponents’ claims that the Bush plan is simply about protecting incumbent interests.  The Bush plan in fact reduces market power and enhances consumer leverage.  </w:t>
      </w:r>
    </w:p>
    <w:p>
      <w:pPr>
        <w:pStyle w:val="Normal"/>
        <w:ind w:start="180" w:end="360"/>
        <w:rPr/>
      </w:pPr>
      <w:r>
        <w:rPr/>
      </w:r>
    </w:p>
    <w:p>
      <w:pPr>
        <w:pStyle w:val="Normal"/>
        <w:numPr>
          <w:ilvl w:val="0"/>
          <w:numId w:val="5"/>
        </w:numPr>
        <w:ind w:hanging="360" w:start="540" w:end="360"/>
        <w:rPr>
          <w:b/>
          <w:bCs/>
        </w:rPr>
      </w:pPr>
      <w:r>
        <w:rPr>
          <w:b/>
          <w:bCs/>
        </w:rPr>
        <w:t>FERC Confirmations</w:t>
      </w:r>
    </w:p>
    <w:p>
      <w:pPr>
        <w:pStyle w:val="Normal"/>
        <w:ind w:start="180" w:end="360"/>
        <w:rPr/>
      </w:pPr>
      <w:r>
        <w:rPr/>
        <w:t xml:space="preserve">Open access can only be completed once a fully functioning FERC is constituted.  Therefore Enron’s second priority for the meeting is to encourage expedited confirmation of the FERC candidates.  Two excellent candidates have been selected.  The Bush team now needs to finish the job by getting the candidates in place before the summer.  </w:t>
      </w:r>
    </w:p>
    <w:p>
      <w:pPr>
        <w:pStyle w:val="Normal"/>
        <w:ind w:start="180" w:end="360"/>
        <w:rPr/>
      </w:pPr>
      <w:r>
        <w:rPr/>
      </w:r>
    </w:p>
    <w:p>
      <w:pPr>
        <w:pStyle w:val="Normal"/>
        <w:ind w:start="180" w:end="360"/>
        <w:rPr/>
      </w:pPr>
      <w:r>
        <w:rPr/>
        <w:t xml:space="preserve">Western state supporters of price caps have reacted with guarded encouragement about Brownell and Wood.  Governor Davis, in fact, recently characterized Pat Wood in a press conference this week as a “kindred spirit”.  While it is too early to tell, it appears the Western State Senators are not going to use these confirmations as leverage to extract a firm commitment from the Administration on price caps.  </w:t>
      </w:r>
    </w:p>
    <w:p>
      <w:pPr>
        <w:pStyle w:val="Normal"/>
        <w:ind w:start="180" w:end="360"/>
        <w:rPr/>
      </w:pPr>
      <w:r>
        <w:rPr/>
      </w:r>
    </w:p>
    <w:p>
      <w:pPr>
        <w:pStyle w:val="Normal"/>
        <w:ind w:start="180" w:end="360"/>
        <w:rPr/>
      </w:pPr>
      <w:r>
        <w:rPr/>
        <w:t xml:space="preserve">This is not to say pressure for price caps has abated.  To the contrary, as summer nears, pressure continues to mount in Congress for price cap relief and the hue and cry for price caps has altered the debate in two ways.  First, it has increased the likelihood that nothing will get done on energy policy.  Inaction is an untenable outcome for the Administration.  Left unaddressed, our country will see more California’s in the next few years and these energy problems will escalate existing downward trends in the economy.  Second, the price cap standoff has softened the Administration’s willingness to take bold action.  As we know from California, half-hearted measures lead to bigger problems down the road.  </w:t>
      </w:r>
    </w:p>
    <w:p>
      <w:pPr>
        <w:pStyle w:val="Normal"/>
        <w:ind w:start="180" w:end="360"/>
        <w:rPr/>
      </w:pPr>
      <w:r>
        <w:rPr/>
      </w:r>
    </w:p>
    <w:p>
      <w:pPr>
        <w:pStyle w:val="Normal"/>
        <w:ind w:start="180" w:end="360"/>
        <w:rPr/>
      </w:pPr>
      <w:r>
        <w:rPr/>
        <w:t>With Wood and Brownell on board at FERC, the Agency would be able to “release some of the political steam in the system” by adopting more visible pricing steps in Western markets, such as the bid cap measures in place in Texas and the Northeast ISO.  Thus, more aggressive action by the FERC on both market power issues and pricing issues would give the Administration enormous political cover and would allow them to redefine the debate on their own terms.  Expedited confirmation of Wood and Brownell will thus free up the Administration to achieve a good energy policy outcome.</w:t>
      </w:r>
    </w:p>
    <w:p>
      <w:pPr>
        <w:pStyle w:val="Normal"/>
        <w:ind w:start="180" w:end="360"/>
        <w:rPr/>
      </w:pPr>
      <w:r>
        <w:rPr/>
      </w:r>
    </w:p>
    <w:p>
      <w:pPr>
        <w:pStyle w:val="Normal"/>
        <w:ind w:start="180" w:end="360"/>
        <w:rPr/>
      </w:pPr>
      <w:r>
        <w:rPr/>
        <w:t xml:space="preserve">Some of the political and policy arguments outlined here are supported by polling Enron has in the field right now.  We have completed 50% of our “opinion elite” poll.  This is a national poll, covering opinion leaders in the media, regulatory field, industry and legislature.  When asked about potential solutions to the increased demand in electricity confronting our country, the solution receiving the highest level of support is “removing bottlenecks in the nation’s electricity transmission system so power can flow freely from where it is produced to where it is needed.”  Eighty-one percent supported this option; and the survey sample is 50-50% Republican and Democrat.  </w:t>
      </w:r>
    </w:p>
    <w:p>
      <w:pPr>
        <w:pStyle w:val="Normal"/>
        <w:ind w:start="180" w:end="360"/>
        <w:rPr/>
      </w:pPr>
      <w:r>
        <w:rPr/>
      </w:r>
      <w:r>
        <w:br w:type="page"/>
      </w:r>
    </w:p>
    <w:p>
      <w:pPr>
        <w:pStyle w:val="Heading6"/>
        <w:ind w:start="180" w:end="360"/>
        <w:jc w:val="start"/>
        <w:rPr>
          <w:rFonts w:ascii="Times New Roman" w:hAnsi="Times New Roman" w:cs="Times New Roman"/>
          <w:sz w:val="24"/>
        </w:rPr>
      </w:pPr>
      <w:r>
        <w:rPr>
          <w:rFonts w:cs="Times New Roman" w:ascii="Times New Roman" w:hAnsi="Times New Roman"/>
          <w:sz w:val="24"/>
        </w:rPr>
        <w:t>Attachments</w:t>
      </w:r>
    </w:p>
    <w:p>
      <w:pPr>
        <w:pStyle w:val="Normal"/>
        <w:numPr>
          <w:ilvl w:val="0"/>
          <w:numId w:val="3"/>
        </w:numPr>
        <w:ind w:hanging="540" w:start="720" w:end="360"/>
        <w:rPr>
          <w:i/>
          <w:i/>
          <w:iCs/>
        </w:rPr>
      </w:pPr>
      <w:r>
        <w:rPr>
          <w:i/>
          <w:iCs/>
        </w:rPr>
        <w:t>Talking Points for Cheney Meeting</w:t>
      </w:r>
    </w:p>
    <w:p>
      <w:pPr>
        <w:pStyle w:val="Normal"/>
        <w:numPr>
          <w:ilvl w:val="0"/>
          <w:numId w:val="3"/>
        </w:numPr>
        <w:ind w:hanging="540" w:start="720" w:end="360"/>
        <w:rPr>
          <w:i/>
          <w:i/>
          <w:iCs/>
        </w:rPr>
      </w:pPr>
      <w:r>
        <w:rPr>
          <w:i/>
          <w:iCs/>
        </w:rPr>
        <w:t>Enron Position Paper provided to White House Energy Task Force</w:t>
      </w:r>
    </w:p>
    <w:p>
      <w:pPr>
        <w:pStyle w:val="Normal"/>
        <w:numPr>
          <w:ilvl w:val="0"/>
          <w:numId w:val="3"/>
        </w:numPr>
        <w:ind w:hanging="540" w:start="720" w:end="360"/>
        <w:rPr>
          <w:i/>
          <w:i/>
          <w:iCs/>
        </w:rPr>
      </w:pPr>
      <w:r>
        <w:rPr>
          <w:i/>
          <w:iCs/>
        </w:rPr>
        <w:t>Examples of Problems Due to a Lack of Open Access</w:t>
      </w:r>
    </w:p>
    <w:p>
      <w:pPr>
        <w:pStyle w:val="Normal"/>
        <w:numPr>
          <w:ilvl w:val="0"/>
          <w:numId w:val="3"/>
        </w:numPr>
        <w:ind w:hanging="540" w:start="720" w:end="360"/>
        <w:rPr>
          <w:i/>
          <w:i/>
          <w:iCs/>
        </w:rPr>
      </w:pPr>
      <w:r>
        <w:rPr>
          <w:i/>
          <w:iCs/>
        </w:rPr>
        <w:t>Enron Paper on Emergency Measures sent to Barton</w:t>
      </w:r>
    </w:p>
    <w:p>
      <w:pPr>
        <w:pStyle w:val="Normal"/>
        <w:numPr>
          <w:ilvl w:val="0"/>
          <w:numId w:val="3"/>
        </w:numPr>
        <w:ind w:hanging="540" w:start="720" w:end="360"/>
        <w:rPr>
          <w:i/>
          <w:i/>
          <w:iCs/>
        </w:rPr>
      </w:pPr>
      <w:r>
        <w:rPr>
          <w:i/>
          <w:iCs/>
        </w:rPr>
        <w:t>Enron Western Governor Association Position Paper</w:t>
      </w:r>
    </w:p>
    <w:p>
      <w:pPr>
        <w:pStyle w:val="Normal"/>
        <w:numPr>
          <w:ilvl w:val="0"/>
          <w:numId w:val="3"/>
        </w:numPr>
        <w:ind w:hanging="540" w:start="720" w:end="360"/>
        <w:rPr>
          <w:i/>
          <w:i/>
          <w:iCs/>
        </w:rPr>
      </w:pPr>
      <w:r>
        <w:rPr>
          <w:i/>
          <w:iCs/>
        </w:rPr>
        <w:t>Smith/Feinstein Price Cap Legislation</w:t>
      </w:r>
    </w:p>
    <w:p>
      <w:pPr>
        <w:pStyle w:val="Normal"/>
        <w:numPr>
          <w:ilvl w:val="0"/>
          <w:numId w:val="3"/>
        </w:numPr>
        <w:ind w:hanging="540" w:start="720" w:end="360"/>
        <w:rPr>
          <w:i/>
          <w:i/>
          <w:iCs/>
        </w:rPr>
      </w:pPr>
      <w:r>
        <w:rPr>
          <w:i/>
          <w:iCs/>
        </w:rPr>
        <w:t>EPSA Letter on Open Access</w:t>
      </w:r>
    </w:p>
    <w:p>
      <w:pPr>
        <w:pStyle w:val="Normal"/>
        <w:numPr>
          <w:ilvl w:val="0"/>
          <w:numId w:val="3"/>
        </w:numPr>
        <w:ind w:hanging="540" w:start="720" w:end="360"/>
        <w:rPr>
          <w:i/>
          <w:i/>
          <w:iCs/>
        </w:rPr>
      </w:pPr>
      <w:r>
        <w:rPr>
          <w:i/>
          <w:iCs/>
        </w:rPr>
        <w:t>Summary of Democratic Alternative Bill</w:t>
      </w:r>
    </w:p>
    <w:p>
      <w:pPr>
        <w:pStyle w:val="Normal"/>
        <w:numPr>
          <w:ilvl w:val="0"/>
          <w:numId w:val="3"/>
        </w:numPr>
        <w:ind w:hanging="540" w:start="720" w:end="360"/>
        <w:rPr>
          <w:i/>
          <w:i/>
          <w:iCs/>
        </w:rPr>
      </w:pPr>
      <w:r>
        <w:rPr>
          <w:i/>
          <w:iCs/>
        </w:rPr>
        <w:t>Summary of Bush Budget Proposals for Energy</w:t>
      </w:r>
    </w:p>
    <w:p>
      <w:pPr>
        <w:pStyle w:val="Normal"/>
        <w:numPr>
          <w:ilvl w:val="0"/>
          <w:numId w:val="3"/>
        </w:numPr>
        <w:ind w:hanging="540" w:start="720" w:end="360"/>
        <w:rPr>
          <w:i/>
          <w:i/>
          <w:iCs/>
        </w:rPr>
      </w:pPr>
      <w:r>
        <w:rPr>
          <w:i/>
          <w:iCs/>
        </w:rPr>
        <w:t>Enron Demand Buy-Down Proposal</w:t>
      </w:r>
    </w:p>
    <w:p>
      <w:pPr>
        <w:pStyle w:val="Normal"/>
        <w:numPr>
          <w:ilvl w:val="0"/>
          <w:numId w:val="3"/>
        </w:numPr>
        <w:ind w:hanging="540" w:start="720" w:end="360"/>
        <w:rPr>
          <w:i/>
          <w:i/>
          <w:iCs/>
        </w:rPr>
      </w:pPr>
      <w:r>
        <w:rPr>
          <w:i/>
          <w:iCs/>
        </w:rPr>
        <w:t>LNG Talking Points and Project Description</w:t>
      </w:r>
    </w:p>
    <w:p>
      <w:pPr>
        <w:pStyle w:val="Normal"/>
        <w:numPr>
          <w:ilvl w:val="0"/>
          <w:numId w:val="3"/>
        </w:numPr>
        <w:ind w:hanging="540" w:start="720" w:end="360"/>
        <w:rPr>
          <w:i/>
          <w:i/>
          <w:iCs/>
        </w:rPr>
      </w:pPr>
      <w:r>
        <w:rPr>
          <w:i/>
          <w:iCs/>
        </w:rPr>
        <w:t>Talking Points on Steel</w:t>
      </w:r>
    </w:p>
    <w:p>
      <w:pPr>
        <w:pStyle w:val="Normal"/>
        <w:numPr>
          <w:ilvl w:val="0"/>
          <w:numId w:val="3"/>
        </w:numPr>
        <w:ind w:hanging="540" w:start="720" w:end="360"/>
        <w:rPr>
          <w:i/>
          <w:i/>
          <w:iCs/>
        </w:rPr>
      </w:pPr>
      <w:r>
        <w:rPr>
          <w:i/>
          <w:iCs/>
        </w:rPr>
        <w:t>Documents on Carbon Dioxide</w:t>
      </w:r>
      <w:r>
        <w:br w:type="page"/>
      </w:r>
    </w:p>
    <w:p>
      <w:pPr>
        <w:pStyle w:val="Normal"/>
        <w:jc w:val="center"/>
        <w:rPr>
          <w:i/>
          <w:i/>
          <w:iCs/>
        </w:rPr>
      </w:pPr>
      <w:r>
        <w:rPr>
          <w:i/>
          <w:iCs/>
        </w:rPr>
      </w:r>
    </w:p>
    <w:p>
      <w:pPr>
        <w:pStyle w:val="Normal"/>
        <w:ind w:start="180" w:end="36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720"/>
        </w:tabs>
        <w:ind w:start="720" w:hanging="540"/>
      </w:pPr>
      <w:rPr/>
    </w:lvl>
  </w:abstractNum>
  <w:abstractNum w:abstractNumId="3">
    <w:lvl w:ilvl="0">
      <w:start w:val="1"/>
      <w:numFmt w:val="decimal"/>
      <w:lvlText w:val="(%1)"/>
      <w:lvlJc w:val="start"/>
      <w:pPr>
        <w:tabs>
          <w:tab w:val="num" w:pos="720"/>
        </w:tabs>
        <w:ind w:start="720" w:hanging="540"/>
      </w:pPr>
      <w:rPr/>
    </w:lvl>
  </w:abstractNum>
  <w:abstractNum w:abstractNumId="4">
    <w:lvl w:ilvl="0">
      <w:start w:val="4"/>
      <w:numFmt w:val="lowerLetter"/>
      <w:lvlText w:val="%1)"/>
      <w:lvlJc w:val="start"/>
      <w:pPr>
        <w:tabs>
          <w:tab w:val="num" w:pos="540"/>
        </w:tabs>
        <w:ind w:start="540" w:hanging="360"/>
      </w:pPr>
      <w:rPr/>
    </w:lvl>
  </w:abstractNum>
  <w:abstractNum w:abstractNumId="5">
    <w:lvl w:ilvl="0">
      <w:start w:val="1"/>
      <w:numFmt w:val="lowerLetter"/>
      <w:lvlText w:val="%1)"/>
      <w:lvlJc w:val="start"/>
      <w:pPr>
        <w:tabs>
          <w:tab w:val="num" w:pos="540"/>
        </w:tabs>
        <w:ind w:start="540" w:hanging="360"/>
      </w:pPr>
      <w:rPr>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ind w:hanging="0" w:start="360" w:end="0"/>
      <w:outlineLvl w:val="3"/>
    </w:pPr>
    <w:rPr>
      <w:b/>
      <w:bCs/>
    </w:rPr>
  </w:style>
  <w:style w:type="paragraph" w:styleId="Heading5">
    <w:name w:val="heading 5"/>
    <w:basedOn w:val="Normal"/>
    <w:next w:val="Normal"/>
    <w:qFormat/>
    <w:pPr>
      <w:keepNext w:val="true"/>
      <w:numPr>
        <w:ilvl w:val="4"/>
        <w:numId w:val="1"/>
      </w:numPr>
      <w:ind w:hanging="0" w:start="1440" w:end="2520"/>
      <w:jc w:val="both"/>
      <w:outlineLvl w:val="4"/>
    </w:pPr>
    <w:rPr>
      <w:rFonts w:ascii="Arial" w:hAnsi="Arial" w:cs="Arial"/>
      <w:b/>
      <w:bCs/>
      <w:sz w:val="22"/>
    </w:rPr>
  </w:style>
  <w:style w:type="paragraph" w:styleId="Heading6">
    <w:name w:val="heading 6"/>
    <w:basedOn w:val="Normal"/>
    <w:next w:val="Normal"/>
    <w:qFormat/>
    <w:pPr>
      <w:keepNext w:val="true"/>
      <w:numPr>
        <w:ilvl w:val="5"/>
        <w:numId w:val="1"/>
      </w:numPr>
      <w:ind w:hanging="0" w:start="1440" w:end="2520"/>
      <w:jc w:val="both"/>
      <w:outlineLvl w:val="5"/>
    </w:pPr>
    <w:rPr>
      <w:rFonts w:ascii="Arial" w:hAnsi="Arial" w:cs="Arial"/>
      <w:b/>
      <w:bCs/>
      <w:sz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b/>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2520"/>
      <w:jc w:val="both"/>
    </w:pPr>
    <w:rPr>
      <w:rFonts w:ascii="Arial" w:hAnsi="Arial" w:cs="Arial"/>
      <w:b/>
      <w:bC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2001-04-12T14:14:00Z</dcterms:created>
  <dc:creator>Anna and Tom Briggs</dc:creator>
  <dc:description/>
  <dc:language>en-CA</dc:language>
  <cp:lastModifiedBy>lsulliv</cp:lastModifiedBy>
  <cp:lastPrinted>2001-04-13T16:48:00Z</cp:lastPrinted>
  <dcterms:modified xsi:type="dcterms:W3CDTF">2001-04-13T18:24:00Z</dcterms:modified>
  <cp:revision>278</cp:revision>
  <dc:subject/>
  <dc:title>WHITE HOUSE ENERGY TASK FORCE</dc:title>
</cp:coreProperties>
</file>