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t>ENRON, WASHINGTON</w:t>
      </w:r>
    </w:p>
    <w:p>
      <w:pPr>
        <w:pStyle w:val="Normal"/>
        <w:rPr>
          <w:b/>
          <w:bCs/>
          <w:sz w:val="26"/>
        </w:rPr>
      </w:pPr>
      <w:r>
        <w:rPr>
          <w:b/>
          <w:bCs/>
          <w:sz w:val="28"/>
        </w:rPr>
        <w:t>MEMORANDUM</w:t>
      </w:r>
    </w:p>
    <w:p>
      <w:pPr>
        <w:pStyle w:val="Normal"/>
        <w:rPr>
          <w:b/>
          <w:bCs/>
          <w:sz w:val="26"/>
        </w:rPr>
      </w:pPr>
      <w:r>
        <w:rPr>
          <w:b/>
          <w:bCs/>
          <w:sz w:val="26"/>
        </w:rPr>
      </w:r>
    </w:p>
    <w:p>
      <w:pPr>
        <w:pStyle w:val="Normal"/>
        <w:rPr/>
      </w:pPr>
      <w:r>
        <w:rPr>
          <w:b/>
          <w:bCs/>
          <w:sz w:val="26"/>
        </w:rPr>
        <w:t>TO:</w:t>
      </w:r>
      <w:r>
        <w:rPr>
          <w:sz w:val="26"/>
        </w:rPr>
        <w:tab/>
        <w:tab/>
        <w:tab/>
        <w:t>Ken Lay</w:t>
      </w:r>
    </w:p>
    <w:p>
      <w:pPr>
        <w:pStyle w:val="Normal"/>
        <w:rPr>
          <w:sz w:val="26"/>
        </w:rPr>
      </w:pPr>
      <w:r>
        <w:rPr>
          <w:sz w:val="26"/>
        </w:rPr>
      </w:r>
    </w:p>
    <w:p>
      <w:pPr>
        <w:pStyle w:val="Normal"/>
        <w:rPr/>
      </w:pPr>
      <w:r>
        <w:rPr>
          <w:b/>
          <w:bCs/>
          <w:sz w:val="26"/>
        </w:rPr>
        <w:t>THROUGH:</w:t>
      </w:r>
      <w:r>
        <w:rPr>
          <w:sz w:val="26"/>
        </w:rPr>
        <w:tab/>
        <w:t>Rick Shapiro</w:t>
      </w:r>
    </w:p>
    <w:p>
      <w:pPr>
        <w:pStyle w:val="Normal"/>
        <w:rPr>
          <w:sz w:val="26"/>
        </w:rPr>
      </w:pPr>
      <w:r>
        <w:rPr>
          <w:sz w:val="26"/>
        </w:rPr>
        <w:tab/>
        <w:tab/>
        <w:tab/>
        <w:t>Linda Robertson</w:t>
      </w:r>
    </w:p>
    <w:p>
      <w:pPr>
        <w:pStyle w:val="Normal"/>
        <w:rPr>
          <w:sz w:val="26"/>
        </w:rPr>
      </w:pPr>
      <w:r>
        <w:rPr>
          <w:sz w:val="26"/>
        </w:rPr>
      </w:r>
    </w:p>
    <w:p>
      <w:pPr>
        <w:pStyle w:val="Normal"/>
        <w:rPr/>
      </w:pPr>
      <w:r>
        <w:rPr>
          <w:b/>
          <w:bCs/>
          <w:sz w:val="26"/>
        </w:rPr>
        <w:t>FROM:</w:t>
      </w:r>
      <w:r>
        <w:rPr>
          <w:sz w:val="26"/>
        </w:rPr>
        <w:tab/>
        <w:tab/>
        <w:t>John Shelk</w:t>
      </w:r>
    </w:p>
    <w:p>
      <w:pPr>
        <w:pStyle w:val="Normal"/>
        <w:rPr>
          <w:sz w:val="26"/>
        </w:rPr>
      </w:pPr>
      <w:r>
        <w:rPr>
          <w:sz w:val="26"/>
        </w:rPr>
      </w:r>
    </w:p>
    <w:p>
      <w:pPr>
        <w:pStyle w:val="Normal"/>
        <w:rPr/>
      </w:pPr>
      <w:r>
        <w:rPr>
          <w:b/>
          <w:bCs/>
          <w:sz w:val="26"/>
        </w:rPr>
        <w:t>DATE:</w:t>
      </w:r>
      <w:r>
        <w:rPr>
          <w:sz w:val="26"/>
        </w:rPr>
        <w:tab/>
        <w:tab/>
        <w:t>September 10, 2001</w:t>
      </w:r>
    </w:p>
    <w:p>
      <w:pPr>
        <w:pStyle w:val="Normal"/>
        <w:rPr>
          <w:sz w:val="26"/>
        </w:rPr>
      </w:pPr>
      <w:r>
        <w:rPr>
          <w:sz w:val="26"/>
        </w:rPr>
      </w:r>
    </w:p>
    <w:p>
      <w:pPr>
        <w:pStyle w:val="Normal"/>
        <w:rPr>
          <w:sz w:val="26"/>
        </w:rPr>
      </w:pPr>
      <w:r>
        <w:rPr>
          <w:b/>
          <w:bCs/>
          <w:sz w:val="26"/>
        </w:rPr>
        <w:t>RE:</w:t>
      </w:r>
      <w:r>
        <w:rPr>
          <w:sz w:val="26"/>
        </w:rPr>
        <w:tab/>
        <w:tab/>
        <w:tab/>
      </w:r>
      <w:r>
        <w:rPr>
          <w:b/>
          <w:bCs/>
          <w:i/>
          <w:iCs/>
          <w:sz w:val="26"/>
          <w:u w:val="single"/>
        </w:rPr>
        <w:t>Chairman Bingaman's Telephone Call</w:t>
      </w:r>
    </w:p>
    <w:p>
      <w:pPr>
        <w:pStyle w:val="Normal"/>
        <w:rPr>
          <w:sz w:val="26"/>
        </w:rPr>
      </w:pPr>
      <w:r>
        <w:rPr>
          <w:sz w:val="26"/>
        </w:rPr>
      </w:r>
    </w:p>
    <w:p>
      <w:pPr>
        <w:pStyle w:val="Normal"/>
        <w:rPr>
          <w:sz w:val="26"/>
          <w:u w:val="single"/>
        </w:rPr>
      </w:pPr>
      <w:r>
        <w:rPr>
          <w:sz w:val="26"/>
          <w:u w:val="single"/>
        </w:rPr>
        <w:t>Background</w:t>
      </w:r>
    </w:p>
    <w:p>
      <w:pPr>
        <w:pStyle w:val="Normal"/>
        <w:rPr>
          <w:sz w:val="26"/>
          <w:u w:val="single"/>
        </w:rPr>
      </w:pPr>
      <w:r>
        <w:rPr>
          <w:sz w:val="26"/>
          <w:u w:val="single"/>
        </w:rPr>
      </w:r>
    </w:p>
    <w:p>
      <w:pPr>
        <w:pStyle w:val="Normal"/>
        <w:jc w:val="both"/>
        <w:rPr>
          <w:sz w:val="26"/>
        </w:rPr>
      </w:pPr>
      <w:r>
        <w:rPr>
          <w:sz w:val="26"/>
        </w:rPr>
        <w:t>Last Thursday, Senate Energy Chairman Bingaman (D-NM) released draft electricity legislation that the committee will consider as early as Thursday, September 13.  It is not yet clear whether committee Republicans will cooperate with this schedule.</w:t>
      </w:r>
    </w:p>
    <w:p>
      <w:pPr>
        <w:pStyle w:val="Normal"/>
        <w:jc w:val="both"/>
        <w:rPr>
          <w:sz w:val="26"/>
        </w:rPr>
      </w:pPr>
      <w:r>
        <w:rPr>
          <w:sz w:val="26"/>
        </w:rPr>
      </w:r>
    </w:p>
    <w:p>
      <w:pPr>
        <w:pStyle w:val="Normal"/>
        <w:jc w:val="both"/>
        <w:rPr>
          <w:sz w:val="26"/>
        </w:rPr>
      </w:pPr>
      <w:r>
        <w:rPr>
          <w:sz w:val="26"/>
        </w:rPr>
        <w:t>While we are generally pleased with his proposal, there are several notable areas where we have concerns.  We have brought these issues to the attention of commercial executives and counsel for their review.</w:t>
      </w:r>
    </w:p>
    <w:p>
      <w:pPr>
        <w:pStyle w:val="Normal"/>
        <w:jc w:val="both"/>
        <w:rPr>
          <w:sz w:val="26"/>
        </w:rPr>
      </w:pPr>
      <w:r>
        <w:rPr>
          <w:sz w:val="26"/>
        </w:rPr>
      </w:r>
    </w:p>
    <w:p>
      <w:pPr>
        <w:pStyle w:val="Normal"/>
        <w:jc w:val="both"/>
        <w:rPr>
          <w:sz w:val="26"/>
          <w:u w:val="single"/>
        </w:rPr>
      </w:pPr>
      <w:r>
        <w:rPr>
          <w:sz w:val="26"/>
          <w:u w:val="single"/>
        </w:rPr>
        <w:t>Summary of the Bingaman Proposal on Electricity</w:t>
      </w:r>
    </w:p>
    <w:p>
      <w:pPr>
        <w:pStyle w:val="Normal"/>
        <w:jc w:val="both"/>
        <w:rPr>
          <w:sz w:val="26"/>
          <w:u w:val="single"/>
        </w:rPr>
      </w:pPr>
      <w:r>
        <w:rPr>
          <w:sz w:val="26"/>
          <w:u w:val="single"/>
        </w:rPr>
      </w:r>
    </w:p>
    <w:p>
      <w:pPr>
        <w:pStyle w:val="Normal"/>
        <w:jc w:val="both"/>
        <w:rPr>
          <w:sz w:val="26"/>
        </w:rPr>
      </w:pPr>
      <w:r>
        <w:rPr>
          <w:sz w:val="26"/>
        </w:rPr>
        <w:t>On the favorable side:</w:t>
      </w:r>
    </w:p>
    <w:p>
      <w:pPr>
        <w:pStyle w:val="Normal"/>
        <w:jc w:val="both"/>
        <w:rPr>
          <w:sz w:val="26"/>
        </w:rPr>
      </w:pPr>
      <w:r>
        <w:rPr>
          <w:sz w:val="26"/>
        </w:rPr>
      </w:r>
    </w:p>
    <w:p>
      <w:pPr>
        <w:pStyle w:val="Normal"/>
        <w:numPr>
          <w:ilvl w:val="0"/>
          <w:numId w:val="7"/>
        </w:numPr>
        <w:jc w:val="both"/>
        <w:rPr>
          <w:sz w:val="26"/>
        </w:rPr>
      </w:pPr>
      <w:r>
        <w:rPr>
          <w:sz w:val="26"/>
        </w:rPr>
        <w:t>Transmission</w:t>
      </w:r>
    </w:p>
    <w:p>
      <w:pPr>
        <w:pStyle w:val="Normal"/>
        <w:jc w:val="both"/>
        <w:rPr>
          <w:sz w:val="26"/>
        </w:rPr>
      </w:pPr>
      <w:r>
        <w:rPr>
          <w:sz w:val="26"/>
        </w:rPr>
      </w:r>
    </w:p>
    <w:p>
      <w:pPr>
        <w:pStyle w:val="Normal"/>
        <w:numPr>
          <w:ilvl w:val="0"/>
          <w:numId w:val="9"/>
        </w:numPr>
        <w:jc w:val="both"/>
        <w:rPr>
          <w:sz w:val="26"/>
        </w:rPr>
      </w:pPr>
      <w:r>
        <w:rPr>
          <w:sz w:val="26"/>
        </w:rPr>
        <w:t xml:space="preserve">FERC has authority over the </w:t>
      </w:r>
      <w:r>
        <w:rPr>
          <w:sz w:val="26"/>
          <w:u w:val="single"/>
        </w:rPr>
        <w:t>transmission</w:t>
      </w:r>
      <w:r>
        <w:rPr>
          <w:sz w:val="26"/>
        </w:rPr>
        <w:t xml:space="preserve"> component of retail sales.</w:t>
      </w:r>
    </w:p>
    <w:p>
      <w:pPr>
        <w:pStyle w:val="Normal"/>
        <w:numPr>
          <w:ilvl w:val="0"/>
          <w:numId w:val="9"/>
        </w:numPr>
        <w:jc w:val="both"/>
        <w:rPr>
          <w:sz w:val="26"/>
        </w:rPr>
      </w:pPr>
      <w:r>
        <w:rPr>
          <w:sz w:val="26"/>
        </w:rPr>
        <w:t>FERC may order transmitting utilities to join a regional transmission organization (RTO).</w:t>
      </w:r>
    </w:p>
    <w:p>
      <w:pPr>
        <w:pStyle w:val="Normal"/>
        <w:numPr>
          <w:ilvl w:val="0"/>
          <w:numId w:val="9"/>
        </w:numPr>
        <w:jc w:val="both"/>
        <w:rPr>
          <w:sz w:val="26"/>
        </w:rPr>
      </w:pPr>
      <w:r>
        <w:rPr>
          <w:sz w:val="26"/>
        </w:rPr>
        <w:t>FERC transmission jurisdiction is extended to municipal, cooperative and federal utilities.</w:t>
      </w:r>
    </w:p>
    <w:p>
      <w:pPr>
        <w:pStyle w:val="Normal"/>
        <w:ind w:start="720" w:end="0"/>
        <w:jc w:val="both"/>
        <w:rPr>
          <w:sz w:val="26"/>
        </w:rPr>
      </w:pPr>
      <w:r>
        <w:rPr>
          <w:sz w:val="26"/>
        </w:rPr>
      </w:r>
    </w:p>
    <w:p>
      <w:pPr>
        <w:pStyle w:val="Normal"/>
        <w:numPr>
          <w:ilvl w:val="0"/>
          <w:numId w:val="7"/>
        </w:numPr>
        <w:jc w:val="both"/>
        <w:rPr>
          <w:sz w:val="26"/>
        </w:rPr>
      </w:pPr>
      <w:r>
        <w:rPr>
          <w:sz w:val="26"/>
        </w:rPr>
        <w:t xml:space="preserve">Establishes federal </w:t>
      </w:r>
      <w:r>
        <w:rPr>
          <w:sz w:val="26"/>
          <w:u w:val="single"/>
        </w:rPr>
        <w:t>interconnection standards</w:t>
      </w:r>
      <w:r>
        <w:rPr>
          <w:sz w:val="26"/>
        </w:rPr>
        <w:t xml:space="preserve"> to improve access to the grid.</w:t>
      </w:r>
    </w:p>
    <w:p>
      <w:pPr>
        <w:pStyle w:val="Normal"/>
        <w:jc w:val="both"/>
        <w:rPr>
          <w:sz w:val="26"/>
        </w:rPr>
      </w:pPr>
      <w:r>
        <w:rPr>
          <w:sz w:val="26"/>
        </w:rPr>
      </w:r>
    </w:p>
    <w:p>
      <w:pPr>
        <w:pStyle w:val="Normal"/>
        <w:numPr>
          <w:ilvl w:val="0"/>
          <w:numId w:val="7"/>
        </w:numPr>
        <w:jc w:val="both"/>
        <w:rPr>
          <w:sz w:val="26"/>
        </w:rPr>
      </w:pPr>
      <w:r>
        <w:rPr>
          <w:sz w:val="26"/>
        </w:rPr>
        <w:t xml:space="preserve">Requires mandatory </w:t>
      </w:r>
      <w:r>
        <w:rPr>
          <w:sz w:val="26"/>
          <w:u w:val="single"/>
        </w:rPr>
        <w:t>reliability standards</w:t>
      </w:r>
      <w:r>
        <w:rPr>
          <w:sz w:val="26"/>
        </w:rPr>
        <w:t>, but leaves the details to FERC.</w:t>
      </w:r>
    </w:p>
    <w:p>
      <w:pPr>
        <w:pStyle w:val="Normal"/>
        <w:ind w:start="720" w:end="0"/>
        <w:jc w:val="both"/>
        <w:rPr>
          <w:sz w:val="26"/>
        </w:rPr>
      </w:pPr>
      <w:r>
        <w:rPr>
          <w:sz w:val="26"/>
        </w:rPr>
        <w:t>(Note: we strongly prefer this approach to NERC's proposal that would put too many details in statute and favor the current NERC bureaucracy.)</w:t>
      </w:r>
    </w:p>
    <w:p>
      <w:pPr>
        <w:pStyle w:val="Normal"/>
        <w:jc w:val="both"/>
        <w:rPr>
          <w:sz w:val="26"/>
        </w:rPr>
      </w:pPr>
      <w:r>
        <w:rPr>
          <w:sz w:val="26"/>
        </w:rPr>
      </w:r>
    </w:p>
    <w:p>
      <w:pPr>
        <w:pStyle w:val="Normal"/>
        <w:numPr>
          <w:ilvl w:val="0"/>
          <w:numId w:val="7"/>
        </w:numPr>
        <w:jc w:val="both"/>
        <w:rPr>
          <w:sz w:val="26"/>
        </w:rPr>
      </w:pPr>
      <w:r>
        <w:rPr>
          <w:sz w:val="26"/>
        </w:rPr>
        <w:t xml:space="preserve">An RTO could petition FERC for </w:t>
      </w:r>
      <w:r>
        <w:rPr>
          <w:sz w:val="26"/>
          <w:u w:val="single"/>
        </w:rPr>
        <w:t>eminent domain authority</w:t>
      </w:r>
      <w:r>
        <w:rPr>
          <w:sz w:val="26"/>
        </w:rPr>
        <w:t xml:space="preserve"> if the RTO could not obtain state and local siting approval for transmission lines deemed to be important through a regional planning process.</w:t>
      </w:r>
    </w:p>
    <w:p>
      <w:pPr>
        <w:pStyle w:val="Normal"/>
        <w:jc w:val="both"/>
        <w:rPr>
          <w:sz w:val="26"/>
        </w:rPr>
      </w:pPr>
      <w:r>
        <w:rPr>
          <w:sz w:val="26"/>
        </w:rPr>
      </w:r>
    </w:p>
    <w:p>
      <w:pPr>
        <w:pStyle w:val="Normal"/>
        <w:numPr>
          <w:ilvl w:val="0"/>
          <w:numId w:val="7"/>
        </w:numPr>
        <w:jc w:val="both"/>
        <w:rPr>
          <w:sz w:val="26"/>
        </w:rPr>
      </w:pPr>
      <w:r>
        <w:rPr>
          <w:sz w:val="26"/>
        </w:rPr>
        <w:t xml:space="preserve">FERC has authority to require a utility found to have </w:t>
      </w:r>
      <w:r>
        <w:rPr>
          <w:sz w:val="26"/>
          <w:u w:val="single"/>
        </w:rPr>
        <w:t>market power</w:t>
      </w:r>
      <w:r>
        <w:rPr>
          <w:sz w:val="26"/>
        </w:rPr>
        <w:t xml:space="preserve"> to submit a mitigation plan.</w:t>
      </w:r>
    </w:p>
    <w:p>
      <w:pPr>
        <w:pStyle w:val="Normal"/>
        <w:jc w:val="both"/>
        <w:rPr>
          <w:sz w:val="26"/>
        </w:rPr>
      </w:pPr>
      <w:r>
        <w:rPr>
          <w:sz w:val="26"/>
        </w:rPr>
      </w:r>
    </w:p>
    <w:p>
      <w:pPr>
        <w:pStyle w:val="Normal"/>
        <w:numPr>
          <w:ilvl w:val="0"/>
          <w:numId w:val="7"/>
        </w:numPr>
        <w:jc w:val="both"/>
        <w:rPr>
          <w:sz w:val="26"/>
        </w:rPr>
      </w:pPr>
      <w:r>
        <w:rPr>
          <w:sz w:val="26"/>
        </w:rPr>
        <w:t>Federal renewable portfolio standards, net metering and real time metering (although we need to determine potential impact on EES, specifically whether the net metering and real time metering applies to them and if so, how).</w:t>
      </w:r>
    </w:p>
    <w:p>
      <w:pPr>
        <w:pStyle w:val="Normal"/>
        <w:jc w:val="both"/>
        <w:rPr>
          <w:sz w:val="26"/>
        </w:rPr>
      </w:pPr>
      <w:r>
        <w:rPr>
          <w:sz w:val="26"/>
        </w:rPr>
      </w:r>
    </w:p>
    <w:p>
      <w:pPr>
        <w:pStyle w:val="Normal"/>
        <w:jc w:val="both"/>
        <w:rPr>
          <w:sz w:val="26"/>
        </w:rPr>
      </w:pPr>
      <w:r>
        <w:rPr>
          <w:sz w:val="26"/>
        </w:rPr>
        <w:t>The potential problem areas are as follows:</w:t>
      </w:r>
    </w:p>
    <w:p>
      <w:pPr>
        <w:pStyle w:val="Normal"/>
        <w:jc w:val="both"/>
        <w:rPr>
          <w:sz w:val="26"/>
        </w:rPr>
      </w:pPr>
      <w:r>
        <w:rPr>
          <w:sz w:val="26"/>
        </w:rPr>
      </w:r>
    </w:p>
    <w:p>
      <w:pPr>
        <w:pStyle w:val="Normal"/>
        <w:numPr>
          <w:ilvl w:val="0"/>
          <w:numId w:val="8"/>
        </w:numPr>
        <w:jc w:val="both"/>
        <w:rPr>
          <w:sz w:val="26"/>
        </w:rPr>
      </w:pPr>
      <w:r>
        <w:rPr>
          <w:sz w:val="26"/>
          <w:u w:val="single"/>
        </w:rPr>
        <w:t>Transparency</w:t>
      </w:r>
      <w:r>
        <w:rPr>
          <w:sz w:val="26"/>
        </w:rPr>
        <w:t xml:space="preserve"> -- directs FERC to conduct a rulemaking to establish an electronic, Internet-based information system to provide market participants, regulators and the public with real-time information on wholesale electricity prices and transmission services.  In a worst case scenario, this could require ENA and EOL to divulge transaction-specific data that Enron considers very proprietary.</w:t>
      </w:r>
    </w:p>
    <w:p>
      <w:pPr>
        <w:pStyle w:val="Normal"/>
        <w:jc w:val="both"/>
        <w:rPr>
          <w:sz w:val="26"/>
        </w:rPr>
      </w:pPr>
      <w:r>
        <w:rPr>
          <w:sz w:val="26"/>
        </w:rPr>
      </w:r>
    </w:p>
    <w:p>
      <w:pPr>
        <w:pStyle w:val="Normal"/>
        <w:numPr>
          <w:ilvl w:val="0"/>
          <w:numId w:val="8"/>
        </w:numPr>
        <w:jc w:val="both"/>
        <w:rPr>
          <w:sz w:val="26"/>
        </w:rPr>
      </w:pPr>
      <w:r>
        <w:rPr>
          <w:sz w:val="26"/>
          <w:u w:val="single"/>
        </w:rPr>
        <w:t>Market Based Rates</w:t>
      </w:r>
      <w:r>
        <w:rPr>
          <w:sz w:val="26"/>
        </w:rPr>
        <w:t xml:space="preserve"> -- allows market-based rates only if the seller does not have market power and is selling into a "competitive market."  This is another case where the details will be critical.  In a worst case scenario, this could reduce opportunities to sell at market based rates.  (The same section makes refunds effective as early as the date of filing of the complaint, not 60 days later as under current law.)</w:t>
      </w:r>
    </w:p>
    <w:p>
      <w:pPr>
        <w:pStyle w:val="Normal"/>
        <w:jc w:val="both"/>
        <w:rPr>
          <w:sz w:val="26"/>
        </w:rPr>
      </w:pPr>
      <w:r>
        <w:rPr>
          <w:sz w:val="26"/>
        </w:rPr>
      </w:r>
    </w:p>
    <w:p>
      <w:pPr>
        <w:pStyle w:val="Normal"/>
        <w:numPr>
          <w:ilvl w:val="0"/>
          <w:numId w:val="8"/>
        </w:numPr>
        <w:jc w:val="both"/>
        <w:rPr>
          <w:sz w:val="26"/>
        </w:rPr>
      </w:pPr>
      <w:r>
        <w:rPr>
          <w:sz w:val="26"/>
          <w:u w:val="single"/>
        </w:rPr>
        <w:t>Mergers</w:t>
      </w:r>
      <w:r>
        <w:rPr>
          <w:sz w:val="26"/>
        </w:rPr>
        <w:t xml:space="preserve"> -- significantly enhances FERC's role in approving mergers and asset sales involving jurisdictional assets. (We are examining whether this section would impact on an Enron disposition of PGE).</w:t>
      </w:r>
    </w:p>
    <w:p>
      <w:pPr>
        <w:pStyle w:val="Normal"/>
        <w:jc w:val="both"/>
        <w:rPr>
          <w:sz w:val="26"/>
        </w:rPr>
      </w:pPr>
      <w:r>
        <w:rPr>
          <w:sz w:val="26"/>
        </w:rPr>
      </w:r>
    </w:p>
    <w:p>
      <w:pPr>
        <w:pStyle w:val="Normal"/>
        <w:jc w:val="both"/>
        <w:rPr>
          <w:sz w:val="26"/>
          <w:u w:val="single"/>
        </w:rPr>
      </w:pPr>
      <w:r>
        <w:rPr>
          <w:sz w:val="26"/>
          <w:u w:val="single"/>
        </w:rPr>
        <w:t>Talking Points with Chairman Bingaman</w:t>
      </w:r>
    </w:p>
    <w:p>
      <w:pPr>
        <w:pStyle w:val="Normal"/>
        <w:jc w:val="both"/>
        <w:rPr>
          <w:sz w:val="26"/>
          <w:u w:val="single"/>
        </w:rPr>
      </w:pPr>
      <w:r>
        <w:rPr>
          <w:sz w:val="26"/>
          <w:u w:val="single"/>
        </w:rPr>
      </w:r>
    </w:p>
    <w:p>
      <w:pPr>
        <w:pStyle w:val="Normal"/>
        <w:numPr>
          <w:ilvl w:val="0"/>
          <w:numId w:val="2"/>
        </w:numPr>
        <w:jc w:val="both"/>
        <w:rPr>
          <w:sz w:val="26"/>
        </w:rPr>
      </w:pPr>
      <w:r>
        <w:rPr>
          <w:sz w:val="26"/>
        </w:rPr>
        <w:t>Commend him for his leadership and the strong proposal he has put forward.</w:t>
      </w:r>
    </w:p>
    <w:p>
      <w:pPr>
        <w:pStyle w:val="Normal"/>
        <w:jc w:val="both"/>
        <w:rPr>
          <w:sz w:val="26"/>
        </w:rPr>
      </w:pPr>
      <w:r>
        <w:rPr>
          <w:sz w:val="26"/>
        </w:rPr>
      </w:r>
    </w:p>
    <w:p>
      <w:pPr>
        <w:pStyle w:val="Normal"/>
        <w:numPr>
          <w:ilvl w:val="0"/>
          <w:numId w:val="3"/>
        </w:numPr>
        <w:jc w:val="both"/>
        <w:rPr>
          <w:sz w:val="26"/>
        </w:rPr>
      </w:pPr>
      <w:r>
        <w:rPr>
          <w:sz w:val="26"/>
        </w:rPr>
        <w:t>The transmission, interconnection and reliability provisions will significantly improve wholesale power markets by increasing competition through greater open access and nondiscriminatory transmission.</w:t>
      </w:r>
    </w:p>
    <w:p>
      <w:pPr>
        <w:pStyle w:val="Normal"/>
        <w:jc w:val="both"/>
        <w:rPr>
          <w:sz w:val="26"/>
        </w:rPr>
      </w:pPr>
      <w:r>
        <w:rPr>
          <w:sz w:val="26"/>
        </w:rPr>
      </w:r>
    </w:p>
    <w:p>
      <w:pPr>
        <w:pStyle w:val="Normal"/>
        <w:numPr>
          <w:ilvl w:val="0"/>
          <w:numId w:val="3"/>
        </w:numPr>
        <w:jc w:val="both"/>
        <w:rPr>
          <w:sz w:val="26"/>
        </w:rPr>
      </w:pPr>
      <w:r>
        <w:rPr>
          <w:sz w:val="26"/>
        </w:rPr>
        <w:t>Enron is in the forefront of working with like-minded interests to pursue the same goals on transmission as Chairman Bingaman in the legislative and regulatory arenas.  We stand ready to be of whatever assistance he seeks as the markup process begins.</w:t>
      </w:r>
    </w:p>
    <w:p>
      <w:pPr>
        <w:pStyle w:val="Normal"/>
        <w:jc w:val="both"/>
        <w:rPr>
          <w:sz w:val="26"/>
        </w:rPr>
      </w:pPr>
      <w:r>
        <w:rPr>
          <w:sz w:val="26"/>
        </w:rPr>
      </w:r>
    </w:p>
    <w:p>
      <w:pPr>
        <w:pStyle w:val="Normal"/>
        <w:numPr>
          <w:ilvl w:val="0"/>
          <w:numId w:val="6"/>
        </w:numPr>
        <w:jc w:val="both"/>
        <w:rPr>
          <w:sz w:val="26"/>
        </w:rPr>
      </w:pPr>
      <w:r>
        <w:rPr>
          <w:sz w:val="26"/>
        </w:rPr>
        <w:t>We are very concerned that several key sections may be drafted too broadly -- particularly the "transparency" and market-based rate sections.</w:t>
      </w:r>
    </w:p>
    <w:p>
      <w:pPr>
        <w:pStyle w:val="Normal"/>
        <w:jc w:val="both"/>
        <w:rPr>
          <w:sz w:val="26"/>
        </w:rPr>
      </w:pPr>
      <w:r>
        <w:rPr>
          <w:sz w:val="26"/>
        </w:rPr>
      </w:r>
    </w:p>
    <w:p>
      <w:pPr>
        <w:pStyle w:val="Normal"/>
        <w:numPr>
          <w:ilvl w:val="0"/>
          <w:numId w:val="6"/>
        </w:numPr>
        <w:jc w:val="both"/>
        <w:rPr>
          <w:sz w:val="26"/>
        </w:rPr>
      </w:pPr>
      <w:r>
        <w:rPr>
          <w:sz w:val="26"/>
        </w:rPr>
        <w:t xml:space="preserve">Rather than take the approach of the Chairman’s mark, legislating specific policy for the Commission in the two areas, both matters are better left to the Commission for its study and action.  These are highly sensitive commercial areas that should be considered in a “regulatory, not political” environment.  </w:t>
      </w:r>
    </w:p>
    <w:p>
      <w:pPr>
        <w:pStyle w:val="Normal"/>
        <w:jc w:val="both"/>
        <w:rPr>
          <w:sz w:val="26"/>
        </w:rPr>
      </w:pPr>
      <w:r>
        <w:rPr>
          <w:sz w:val="26"/>
        </w:rPr>
      </w:r>
    </w:p>
    <w:p>
      <w:pPr>
        <w:pStyle w:val="Normal"/>
        <w:numPr>
          <w:ilvl w:val="0"/>
          <w:numId w:val="1"/>
        </w:numPr>
        <w:jc w:val="both"/>
        <w:rPr>
          <w:sz w:val="26"/>
        </w:rPr>
      </w:pPr>
      <w:r>
        <w:rPr>
          <w:sz w:val="26"/>
        </w:rPr>
        <w:t>Enron has been a leader on transparency issues -- working with Senator Wyden on his bill that focuses on data needed to increase competition and enhance transmission.  However, any legislation should not require the release of transaction-specific wholesale prices and related information that is proprietary, particularly to the public and thus to competitors.  (We already supply data and EOL access to FERC.)</w:t>
      </w:r>
    </w:p>
    <w:p>
      <w:pPr>
        <w:pStyle w:val="Normal"/>
        <w:jc w:val="both"/>
        <w:rPr>
          <w:sz w:val="26"/>
        </w:rPr>
      </w:pPr>
      <w:r>
        <w:rPr>
          <w:sz w:val="26"/>
        </w:rPr>
      </w:r>
    </w:p>
    <w:p>
      <w:pPr>
        <w:pStyle w:val="Normal"/>
        <w:numPr>
          <w:ilvl w:val="0"/>
          <w:numId w:val="5"/>
        </w:numPr>
        <w:jc w:val="both"/>
        <w:rPr>
          <w:sz w:val="26"/>
        </w:rPr>
      </w:pPr>
      <w:r>
        <w:rPr>
          <w:sz w:val="26"/>
        </w:rPr>
        <w:t>On market based rates, the language he has proposed is under review.  The concern here, as on transparency, is to be certain not to enact so sweeping a provision, or tie FERC's hands on the details of the rulemaking, that it does more harm than good.</w:t>
      </w:r>
    </w:p>
    <w:p>
      <w:pPr>
        <w:pStyle w:val="Normal"/>
        <w:jc w:val="both"/>
        <w:rPr>
          <w:sz w:val="26"/>
        </w:rPr>
      </w:pPr>
      <w:r>
        <w:rPr>
          <w:sz w:val="26"/>
        </w:rPr>
      </w:r>
    </w:p>
    <w:p>
      <w:pPr>
        <w:pStyle w:val="Normal"/>
        <w:numPr>
          <w:ilvl w:val="0"/>
          <w:numId w:val="4"/>
        </w:numPr>
        <w:jc w:val="both"/>
        <w:rPr>
          <w:sz w:val="26"/>
        </w:rPr>
      </w:pPr>
      <w:r>
        <w:rPr>
          <w:sz w:val="26"/>
        </w:rPr>
        <w:t>You might wish to ask him about what reaction to his proposals he has received from Republicans and others.</w:t>
      </w:r>
    </w:p>
    <w:p>
      <w:pPr>
        <w:pStyle w:val="Normal"/>
        <w:jc w:val="both"/>
        <w:rPr>
          <w:sz w:val="26"/>
        </w:rPr>
      </w:pPr>
      <w:r>
        <w:rPr>
          <w:sz w:val="26"/>
        </w:rPr>
      </w:r>
    </w:p>
    <w:p>
      <w:pPr>
        <w:pStyle w:val="Normal"/>
        <w:jc w:val="both"/>
        <w:rPr>
          <w:sz w:val="26"/>
          <w:u w:val="single"/>
        </w:rPr>
      </w:pPr>
      <w:r>
        <w:rPr>
          <w:sz w:val="26"/>
          <w:u w:val="single"/>
        </w:rPr>
        <w:t>Political Matters</w:t>
      </w:r>
    </w:p>
    <w:p>
      <w:pPr>
        <w:pStyle w:val="Normal"/>
        <w:jc w:val="both"/>
        <w:rPr>
          <w:sz w:val="26"/>
          <w:u w:val="single"/>
        </w:rPr>
      </w:pPr>
      <w:r>
        <w:rPr>
          <w:sz w:val="26"/>
          <w:u w:val="single"/>
        </w:rPr>
      </w:r>
    </w:p>
    <w:p>
      <w:pPr>
        <w:pStyle w:val="Normal"/>
        <w:jc w:val="both"/>
        <w:rPr>
          <w:sz w:val="26"/>
        </w:rPr>
      </w:pPr>
      <w:r>
        <w:rPr>
          <w:sz w:val="26"/>
        </w:rPr>
        <w:t>Just so you know, Chairman Bingaman called us requesting that Enron participate in a technology event that the Democratic Senatorial Campaign Committee is hosting this week in which he is playing a major role.  Per the Chairman’s request, Enron has contributed $50,000 to the DSCC for this purpose.  Without mentioning specifics, you may want to commend the Chairman for his role in the event, noting that Enron is participating because of his leadership.</w:t>
      </w:r>
    </w:p>
    <w:p>
      <w:pPr>
        <w:pStyle w:val="Normal"/>
        <w:jc w:val="both"/>
        <w:rPr>
          <w:sz w:val="26"/>
        </w:rPr>
      </w:pPr>
      <w:r>
        <w:rPr>
          <w:sz w:val="26"/>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2001-09-10T10:12:00Z</dcterms:created>
  <dc:creator>Information Systems</dc:creator>
  <dc:description/>
  <dc:language>en-CA</dc:language>
  <cp:lastModifiedBy>lsulliv</cp:lastModifiedBy>
  <cp:lastPrinted>2001-09-10T08:47:00Z</cp:lastPrinted>
  <dcterms:modified xsi:type="dcterms:W3CDTF">2001-09-10T10:30:00Z</dcterms:modified>
  <cp:revision>18</cp:revision>
  <dc:subject/>
  <dc:title>September 10, 2001</dc:title>
</cp:coreProperties>
</file>