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t>LAW DEPARTMENT BULLETS - December 1, 2000</w:t>
      </w:r>
    </w:p>
    <w:p>
      <w:pPr>
        <w:pStyle w:val="Normal"/>
        <w:rPr/>
      </w:pPr>
      <w:r>
        <w:rPr/>
      </w:r>
    </w:p>
    <w:p>
      <w:pPr>
        <w:pStyle w:val="Normal"/>
        <w:rPr/>
      </w:pPr>
      <w:r>
        <w:rPr/>
      </w:r>
    </w:p>
    <w:p>
      <w:pPr>
        <w:pStyle w:val="BodyText"/>
        <w:ind w:hanging="720" w:start="720" w:end="0"/>
        <w:jc w:val="both"/>
        <w:rPr/>
      </w:pPr>
      <w:r>
        <w:rPr/>
        <w:t>1.</w:t>
        <w:tab/>
        <w:t>Kansas Ad Valorem Taxes.  The final Settlement documents were filed with FERC on November 20.  Comments were filed November 30, and all that we have seen are positive with the possible exception of KIOGA.  The KCC has reinstigated its investigation into the distribution of FERC non-jurisdictional refunds by pipelines and has sent data requests to Northern.  We requested an extension of time to answer the requests.  It looks like a hearing will be held in May 2001.  Mary Kay Miller briefed the Kansas Special Committee on Utilities on the settlement on November 29.</w:t>
      </w:r>
    </w:p>
    <w:p>
      <w:pPr>
        <w:pStyle w:val="BodyText"/>
        <w:ind w:hanging="720" w:start="720" w:end="0"/>
        <w:jc w:val="both"/>
        <w:rPr/>
      </w:pPr>
      <w:r>
        <w:rPr/>
      </w:r>
    </w:p>
    <w:p>
      <w:pPr>
        <w:pStyle w:val="BodyTextIndent3"/>
        <w:rPr/>
      </w:pPr>
      <w:r>
        <w:rPr/>
        <w:t>2.</w:t>
        <w:tab/>
        <w:t>Order No. 637 Compliance.  Customer meeting was held November 30 and December 1 in Omaha. Progress was made; however, customers desire additional data prior to meeting again.  The next meeting is tentatively set for January.</w:t>
      </w:r>
    </w:p>
    <w:p>
      <w:pPr>
        <w:pStyle w:val="BodyTextIndent3"/>
        <w:rPr/>
      </w:pPr>
      <w:r>
        <w:rPr/>
      </w:r>
    </w:p>
    <w:p>
      <w:pPr>
        <w:pStyle w:val="BodyTextIndent3"/>
        <w:rPr/>
      </w:pPr>
      <w:r>
        <w:rPr/>
        <w:t>3.</w:t>
        <w:tab/>
        <w:t>SLA Filing.  Northern is preparing the documentation requested by the Commission’s order which is due Wednesday, December 13, 2000.</w:t>
      </w:r>
    </w:p>
    <w:p>
      <w:pPr>
        <w:pStyle w:val="Normal"/>
        <w:spacing w:lineRule="atLeast" w:line="240"/>
        <w:ind w:hanging="720" w:start="720" w:end="0"/>
        <w:jc w:val="both"/>
        <w:rPr>
          <w:color w:val="000000"/>
          <w:lang w:eastAsia="en-US"/>
        </w:rPr>
      </w:pPr>
      <w:r>
        <w:rPr>
          <w:color w:val="000000"/>
          <w:lang w:eastAsia="en-US"/>
        </w:rPr>
      </w:r>
    </w:p>
    <w:p>
      <w:pPr>
        <w:pStyle w:val="BodyTextIndent"/>
        <w:rPr>
          <w:color w:val="000000"/>
          <w:lang w:eastAsia="en-US"/>
        </w:rPr>
      </w:pPr>
      <w:r>
        <w:rPr/>
        <w:t>4.</w:t>
        <w:tab/>
        <w:t>Oakland, Iowa lawsuit.  We have been served with a petition filed by five employees of a third party contractor alleging that they were exposed to asbestos while removing piping at the Oakland, Iowa plant in 1998.  We will vigorously defend the lawsuit.</w:t>
      </w:r>
    </w:p>
    <w:p>
      <w:pPr>
        <w:pStyle w:val="BodyTextIndent3"/>
        <w:rPr>
          <w:color w:val="000000"/>
          <w:lang w:eastAsia="en-US"/>
        </w:rPr>
      </w:pPr>
      <w:r>
        <w:rPr>
          <w:color w:val="000000"/>
          <w:lang w:eastAsia="en-US"/>
        </w:rPr>
      </w:r>
    </w:p>
    <w:p>
      <w:pPr>
        <w:pStyle w:val="BodyTextIndent3"/>
        <w:rPr/>
      </w:pPr>
      <w:r>
        <w:rPr/>
        <w:t>5.</w:t>
        <w:tab/>
        <w:t>Imbalance Netting and Trading.  PNM protested Transwestern’s compliance filing on imbalance netting and trading.</w:t>
      </w:r>
    </w:p>
    <w:p>
      <w:pPr>
        <w:pStyle w:val="Normal"/>
        <w:spacing w:lineRule="atLeast" w:line="240"/>
        <w:ind w:hanging="720" w:start="720" w:end="0"/>
        <w:jc w:val="both"/>
        <w:rPr>
          <w:color w:val="000000"/>
          <w:lang w:eastAsia="en-US"/>
        </w:rPr>
      </w:pPr>
      <w:r>
        <w:rPr>
          <w:color w:val="000000"/>
          <w:lang w:eastAsia="en-US"/>
        </w:rPr>
      </w:r>
    </w:p>
    <w:p>
      <w:pPr>
        <w:pStyle w:val="BodyTextIndent3"/>
        <w:rPr/>
      </w:pPr>
      <w:r>
        <w:rPr/>
        <w:t>6.</w:t>
        <w:tab/>
        <w:t>FERC CWIP Audit.  All responses due FERC Staff are complete.</w:t>
      </w:r>
    </w:p>
    <w:p>
      <w:pPr>
        <w:pStyle w:val="Normal"/>
        <w:spacing w:lineRule="atLeast" w:line="240"/>
        <w:ind w:hanging="720" w:start="720" w:end="0"/>
        <w:jc w:val="both"/>
        <w:rPr/>
      </w:pPr>
      <w:r>
        <w:rPr/>
      </w:r>
    </w:p>
    <w:p>
      <w:pPr>
        <w:pStyle w:val="BodyTextIndent3"/>
        <w:rPr/>
      </w:pPr>
      <w:r>
        <w:rPr/>
        <w:t>7.</w:t>
        <w:tab/>
        <w:t>TW Expansion.  Legal is working with regulatory and the TW Commercial group regarding follow-up of the open season.</w:t>
      </w:r>
    </w:p>
    <w:p>
      <w:pPr>
        <w:pStyle w:val="BodyTextIndent3"/>
        <w:rPr/>
      </w:pPr>
      <w:r>
        <w:rPr/>
      </w:r>
    </w:p>
    <w:p>
      <w:pPr>
        <w:pStyle w:val="BodyTextIndent3"/>
        <w:rPr/>
      </w:pPr>
      <w:r>
        <w:rPr/>
        <w:t>8.</w:t>
        <w:tab/>
        <w:t>Seagull Shoreline Laterals.  The sale by Northern to El Paso Offshore should close today.  The money is not yet in the bank however.</w:t>
      </w:r>
    </w:p>
    <w:p>
      <w:pPr>
        <w:pStyle w:val="BodyTextIndent3"/>
        <w:rPr/>
      </w:pPr>
      <w:r>
        <w:rPr/>
      </w:r>
    </w:p>
    <w:p>
      <w:pPr>
        <w:pStyle w:val="BodyTextIndent3"/>
        <w:rPr/>
      </w:pPr>
      <w:r>
        <w:rPr/>
        <w:t>9.</w:t>
        <w:tab/>
        <w:t>Oneok.  We have heard nothing from Oneok.</w:t>
      </w:r>
    </w:p>
    <w:p>
      <w:pPr>
        <w:pStyle w:val="BodyTextIndent3"/>
        <w:rPr/>
      </w:pPr>
      <w:r>
        <w:rPr/>
      </w:r>
    </w:p>
    <w:sectPr>
      <w:type w:val="nextPage"/>
      <w:pgSz w:w="12240" w:h="15840"/>
      <w:pgMar w:left="1440" w:right="144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tLeast" w:line="240"/>
      <w:jc w:val="both"/>
      <w:outlineLvl w:val="0"/>
    </w:pPr>
    <w:rPr>
      <w:b/>
      <w:color w:val="000000"/>
      <w:lang w:eastAsia="en-U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720" w:start="720" w:end="0"/>
    </w:pPr>
    <w:rPr>
      <w:color w:val="000000"/>
      <w:lang w:eastAsia="en-US"/>
    </w:rPr>
  </w:style>
  <w:style w:type="paragraph" w:styleId="BodyTextIndent3">
    <w:name w:val="Body Text Indent 3"/>
    <w:basedOn w:val="Normal"/>
    <w:qFormat/>
    <w:pPr>
      <w:spacing w:lineRule="atLeast" w:line="240"/>
      <w:ind w:hanging="720" w:start="720" w:end="0"/>
      <w:jc w:val="both"/>
    </w:pPr>
    <w:rPr>
      <w:color w:val="000000"/>
      <w:lang w:eastAsia="en-US"/>
    </w:rPr>
  </w:style>
  <w:style w:type="paragraph" w:styleId="BodyTextIndent">
    <w:name w:val="Body Text Indent"/>
    <w:basedOn w:val="Normal"/>
    <w:pPr>
      <w:spacing w:lineRule="atLeast" w:line="240"/>
      <w:ind w:hanging="720" w:start="72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2000-12-01T12:13:00Z</dcterms:created>
  <dc:creator>Enron</dc:creator>
  <dc:description/>
  <dc:language>en-CA</dc:language>
  <cp:lastModifiedBy>Enron</cp:lastModifiedBy>
  <cp:lastPrinted>2000-12-01T14:10:00Z</cp:lastPrinted>
  <dcterms:modified xsi:type="dcterms:W3CDTF">2000-12-01T17:48:00Z</dcterms:modified>
  <cp:revision>15</cp:revision>
  <dc:subject/>
  <dc:title>LAW DEPARTMENT BULLETS – May 19, 2000</dc:title>
</cp:coreProperties>
</file>