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360" w:after="120"/>
        <w:rPr>
          <w:i w:val="false"/>
          <w:i w:val="false"/>
        </w:rPr>
      </w:pPr>
      <w:r>
        <w:rPr>
          <w:i w:val="false"/>
        </w:rPr>
        <w:t>SCE and QF Parties Blueprint for Reforming QF Energy Pricing</w:t>
      </w:r>
    </w:p>
    <w:p>
      <w:pPr>
        <w:pStyle w:val="Heading"/>
        <w:rPr>
          <w:i w:val="false"/>
          <w:i w:val="false"/>
        </w:rPr>
      </w:pPr>
      <w:r>
        <w:rPr>
          <w:i w:val="false"/>
        </w:rPr>
        <w:t>(January 24, 2001, 4:30 p.m. Draft)</w:t>
      </w:r>
    </w:p>
    <w:p>
      <w:pPr>
        <w:pStyle w:val="Normal"/>
        <w:rPr>
          <w:rFonts w:ascii="Arial" w:hAnsi="Arial" w:cs="Arial"/>
          <w:i/>
          <w:i/>
        </w:rPr>
      </w:pPr>
      <w:r>
        <w:rPr>
          <w:rFonts w:cs="Arial" w:ascii="Arial" w:hAnsi="Arial"/>
          <w:i/>
        </w:rPr>
      </w:r>
    </w:p>
    <w:p>
      <w:pPr>
        <w:pStyle w:val="Normal"/>
        <w:tabs>
          <w:tab w:val="clear" w:pos="720"/>
          <w:tab w:val="left" w:pos="-1440" w:leader="none"/>
        </w:tabs>
        <w:ind w:hanging="720" w:start="720" w:end="0"/>
        <w:rPr/>
      </w:pPr>
      <w:r>
        <w:rPr>
          <w:rFonts w:cs="Arial" w:ascii="Arial" w:hAnsi="Arial"/>
          <w:b/>
        </w:rPr>
        <w:fldChar w:fldCharType="begin"/>
      </w:r>
      <w:r>
        <w:rPr>
          <w:b/>
          <w:rFonts w:cs="Arial" w:ascii="Arial" w:hAnsi="Arial"/>
        </w:rPr>
        <w:instrText xml:space="preserve"> SEQ ParaNumbers1_0 \* ARABIC </w:instrText>
      </w:r>
      <w:r>
        <w:rPr>
          <w:b/>
          <w:rFonts w:cs="Arial" w:ascii="Arial" w:hAnsi="Arial"/>
        </w:rPr>
        <w:fldChar w:fldCharType="separate"/>
      </w:r>
      <w:r>
        <w:rPr>
          <w:b/>
          <w:rFonts w:cs="Arial" w:ascii="Arial" w:hAnsi="Arial"/>
        </w:rPr>
        <w:t>1</w:t>
      </w:r>
      <w:r>
        <w:rPr>
          <w:b/>
          <w:rFonts w:cs="Arial" w:ascii="Arial" w:hAnsi="Arial"/>
        </w:rPr>
        <w:fldChar w:fldCharType="end"/>
      </w:r>
      <w:r>
        <w:rPr>
          <w:rFonts w:cs="Arial" w:ascii="Arial" w:hAnsi="Arial"/>
          <w:b/>
        </w:rPr>
        <w:t>.</w:t>
        <w:tab/>
      </w:r>
      <w:r>
        <w:rPr>
          <w:rFonts w:cs="Arial" w:ascii="Arial" w:hAnsi="Arial"/>
          <w:b/>
          <w:u w:val="single"/>
        </w:rPr>
        <w:t>Objective</w:t>
      </w:r>
    </w:p>
    <w:p>
      <w:pPr>
        <w:pStyle w:val="Normal"/>
        <w:tabs>
          <w:tab w:val="clear" w:pos="720"/>
          <w:tab w:val="left" w:pos="-1440" w:leader="none"/>
        </w:tabs>
        <w:ind w:hanging="720" w:start="720" w:end="0"/>
        <w:rPr>
          <w:rFonts w:ascii="Arial" w:hAnsi="Arial" w:cs="Arial"/>
          <w:b/>
          <w:u w:val="single"/>
          <w:lang w:val="en-CA"/>
        </w:rPr>
      </w:pPr>
      <w:r>
        <w:rPr>
          <w:rFonts w:cs="Arial" w:ascii="Arial" w:hAnsi="Arial"/>
          <w:b/>
          <w:u w:val="single"/>
          <w:lang w:val="en-CA"/>
        </w:rPr>
      </w:r>
    </w:p>
    <w:p>
      <w:pPr>
        <w:pStyle w:val="Normal"/>
        <w:tabs>
          <w:tab w:val="clear" w:pos="720"/>
          <w:tab w:val="left" w:pos="-1440" w:leader="none"/>
        </w:tabs>
        <w:ind w:hanging="720" w:start="720" w:end="0"/>
        <w:rPr>
          <w:rFonts w:ascii="Arial" w:hAnsi="Arial" w:cs="Arial"/>
        </w:rPr>
      </w:pPr>
      <w:r>
        <w:rPr>
          <w:rFonts w:cs="Arial" w:ascii="Arial" w:hAnsi="Arial"/>
        </w:rPr>
        <w:tab/>
        <w:t xml:space="preserve">The objective of this Blueprint is to modify Pub. Util. Code Section 390 to accomplish the following:  </w:t>
      </w:r>
    </w:p>
    <w:p>
      <w:pPr>
        <w:pStyle w:val="Normal"/>
        <w:tabs>
          <w:tab w:val="clear" w:pos="720"/>
          <w:tab w:val="left" w:pos="-1440" w:leader="none"/>
        </w:tabs>
        <w:ind w:hanging="720" w:start="720" w:end="0"/>
        <w:rPr>
          <w:rFonts w:ascii="Arial" w:hAnsi="Arial" w:cs="Arial"/>
        </w:rPr>
      </w:pPr>
      <w:r>
        <w:rPr>
          <w:rFonts w:cs="Arial" w:ascii="Arial" w:hAnsi="Arial"/>
        </w:rPr>
      </w:r>
    </w:p>
    <w:p>
      <w:pPr>
        <w:pStyle w:val="Normal"/>
        <w:tabs>
          <w:tab w:val="clear" w:pos="720"/>
          <w:tab w:val="left" w:pos="-1440" w:leader="none"/>
        </w:tabs>
        <w:rPr>
          <w:rFonts w:ascii="Arial" w:hAnsi="Arial" w:cs="Arial"/>
        </w:rPr>
      </w:pPr>
      <w:r>
        <w:rPr>
          <w:rFonts w:cs="Arial" w:ascii="Arial" w:hAnsi="Arial"/>
        </w:rPr>
        <w:tab/>
        <w:t>a.</w:t>
        <w:tab/>
        <w:t>To secure the stability of California rates at reasonable levels;</w:t>
      </w:r>
    </w:p>
    <w:p>
      <w:pPr>
        <w:pStyle w:val="Normal"/>
        <w:tabs>
          <w:tab w:val="clear" w:pos="720"/>
          <w:tab w:val="left" w:pos="-1440" w:leader="none"/>
        </w:tabs>
        <w:rPr>
          <w:rFonts w:ascii="Arial" w:hAnsi="Arial" w:cs="Arial"/>
        </w:rPr>
      </w:pPr>
      <w:r>
        <w:rPr>
          <w:rFonts w:cs="Arial" w:ascii="Arial" w:hAnsi="Arial"/>
        </w:rPr>
      </w:r>
    </w:p>
    <w:p>
      <w:pPr>
        <w:pStyle w:val="Normal"/>
        <w:tabs>
          <w:tab w:val="clear" w:pos="720"/>
          <w:tab w:val="left" w:pos="-1440" w:leader="none"/>
        </w:tabs>
        <w:ind w:hanging="720" w:start="1440" w:end="0"/>
        <w:rPr>
          <w:rFonts w:ascii="Arial" w:hAnsi="Arial" w:cs="Arial"/>
        </w:rPr>
      </w:pPr>
      <w:r>
        <w:rPr>
          <w:rFonts w:cs="Arial" w:ascii="Arial" w:hAnsi="Arial"/>
        </w:rPr>
        <w:t>b.</w:t>
        <w:tab/>
        <w:t>To assure the commercial and operational viability of California’s existing QF generating resources in order to sustain delivery of generation from existing generating facilities;</w:t>
      </w:r>
    </w:p>
    <w:p>
      <w:pPr>
        <w:pStyle w:val="Normal"/>
        <w:tabs>
          <w:tab w:val="clear" w:pos="720"/>
          <w:tab w:val="left" w:pos="-1440" w:leader="none"/>
        </w:tabs>
        <w:ind w:hanging="720" w:start="1440" w:end="0"/>
        <w:rPr>
          <w:rFonts w:ascii="Arial" w:hAnsi="Arial" w:cs="Arial"/>
        </w:rPr>
      </w:pPr>
      <w:r>
        <w:rPr>
          <w:rFonts w:cs="Arial" w:ascii="Arial" w:hAnsi="Arial"/>
        </w:rPr>
      </w:r>
    </w:p>
    <w:p>
      <w:pPr>
        <w:pStyle w:val="Normal"/>
        <w:tabs>
          <w:tab w:val="clear" w:pos="720"/>
          <w:tab w:val="left" w:pos="-1440" w:leader="none"/>
        </w:tabs>
        <w:ind w:hanging="720" w:start="720" w:end="0"/>
        <w:rPr>
          <w:rFonts w:ascii="Arial" w:hAnsi="Arial" w:cs="Arial"/>
        </w:rPr>
      </w:pPr>
      <w:r>
        <w:rPr>
          <w:rFonts w:cs="Arial" w:ascii="Arial" w:hAnsi="Arial"/>
        </w:rPr>
        <w:tab/>
        <w:t>c.</w:t>
        <w:tab/>
        <w:t>To facilitate the restoration of the financial health of SCE.</w:t>
      </w:r>
    </w:p>
    <w:p>
      <w:pPr>
        <w:pStyle w:val="Normal"/>
        <w:rPr>
          <w:rFonts w:ascii="Arial" w:hAnsi="Arial" w:cs="Arial"/>
        </w:rPr>
      </w:pPr>
      <w:r>
        <w:rPr>
          <w:rFonts w:cs="Arial" w:ascii="Arial" w:hAnsi="Arial"/>
        </w:rPr>
      </w:r>
    </w:p>
    <w:p>
      <w:pPr>
        <w:pStyle w:val="Normal"/>
        <w:tabs>
          <w:tab w:val="clear" w:pos="720"/>
          <w:tab w:val="left" w:pos="-1440" w:leader="none"/>
        </w:tabs>
        <w:ind w:hanging="720" w:start="720" w:end="0"/>
        <w:rPr/>
      </w:pPr>
      <w:r>
        <w:rPr>
          <w:rFonts w:cs="Arial" w:ascii="Arial" w:hAnsi="Arial"/>
          <w:b/>
        </w:rPr>
        <w:fldChar w:fldCharType="begin"/>
      </w:r>
      <w:r>
        <w:rPr>
          <w:b/>
          <w:rFonts w:cs="Arial" w:ascii="Arial" w:hAnsi="Arial"/>
        </w:rPr>
        <w:instrText xml:space="preserve"> SEQ ParaNumbers1_0 \* ARABIC </w:instrText>
      </w:r>
      <w:r>
        <w:rPr>
          <w:b/>
          <w:rFonts w:cs="Arial" w:ascii="Arial" w:hAnsi="Arial"/>
        </w:rPr>
        <w:fldChar w:fldCharType="separate"/>
      </w:r>
      <w:r>
        <w:rPr>
          <w:b/>
          <w:rFonts w:cs="Arial" w:ascii="Arial" w:hAnsi="Arial"/>
        </w:rPr>
        <w:t>2</w:t>
      </w:r>
      <w:r>
        <w:rPr>
          <w:b/>
          <w:rFonts w:cs="Arial" w:ascii="Arial" w:hAnsi="Arial"/>
        </w:rPr>
        <w:fldChar w:fldCharType="end"/>
      </w:r>
      <w:r>
        <w:rPr>
          <w:rFonts w:cs="Arial" w:ascii="Arial" w:hAnsi="Arial"/>
          <w:b/>
        </w:rPr>
        <w:t>.</w:t>
        <w:tab/>
      </w:r>
      <w:r>
        <w:rPr>
          <w:rFonts w:cs="Arial" w:ascii="Arial" w:hAnsi="Arial"/>
          <w:b/>
          <w:u w:val="single"/>
        </w:rPr>
        <w:t>Forbearance Issues</w:t>
      </w:r>
      <w:r>
        <w:rPr>
          <w:rFonts w:cs="Arial" w:ascii="Arial" w:hAnsi="Arial"/>
        </w:rPr>
        <w:t xml:space="preserve">  [Under development and negotiation] </w:t>
      </w:r>
    </w:p>
    <w:p>
      <w:pPr>
        <w:pStyle w:val="Normal"/>
        <w:tabs>
          <w:tab w:val="clear" w:pos="720"/>
          <w:tab w:val="left" w:pos="-1440" w:leader="none"/>
        </w:tabs>
        <w:ind w:hanging="720" w:start="720" w:end="0"/>
        <w:rPr>
          <w:rFonts w:ascii="Arial" w:hAnsi="Arial" w:cs="Arial"/>
        </w:rPr>
      </w:pPr>
      <w:r>
        <w:rPr>
          <w:rFonts w:cs="Arial" w:ascii="Arial" w:hAnsi="Arial"/>
        </w:rPr>
      </w:r>
    </w:p>
    <w:p>
      <w:pPr>
        <w:pStyle w:val="Normal"/>
        <w:tabs>
          <w:tab w:val="clear" w:pos="720"/>
          <w:tab w:val="left" w:pos="-1440" w:leader="none"/>
        </w:tabs>
        <w:ind w:hanging="720" w:start="720" w:end="0"/>
        <w:rPr/>
      </w:pPr>
      <w:r>
        <w:rPr>
          <w:rFonts w:cs="Arial" w:ascii="Arial" w:hAnsi="Arial"/>
          <w:b/>
        </w:rPr>
        <w:t>3.</w:t>
        <w:tab/>
      </w:r>
      <w:r>
        <w:rPr>
          <w:rFonts w:cs="Arial" w:ascii="Arial" w:hAnsi="Arial"/>
          <w:b/>
          <w:u w:val="single"/>
        </w:rPr>
        <w:t>Pricing Principles Applicable To All QFs</w:t>
      </w:r>
    </w:p>
    <w:p>
      <w:pPr>
        <w:pStyle w:val="Normal"/>
        <w:tabs>
          <w:tab w:val="clear" w:pos="720"/>
          <w:tab w:val="left" w:pos="-1440" w:leader="none"/>
        </w:tabs>
        <w:ind w:hanging="720" w:start="720" w:end="0"/>
        <w:rPr>
          <w:rFonts w:ascii="Arial" w:hAnsi="Arial" w:cs="Arial"/>
          <w:b/>
          <w:u w:val="single"/>
        </w:rPr>
      </w:pPr>
      <w:r>
        <w:rPr>
          <w:rFonts w:cs="Arial" w:ascii="Arial" w:hAnsi="Arial"/>
          <w:b/>
          <w:u w:val="single"/>
        </w:rPr>
      </w:r>
    </w:p>
    <w:p>
      <w:pPr>
        <w:pStyle w:val="Normal"/>
        <w:tabs>
          <w:tab w:val="clear" w:pos="720"/>
          <w:tab w:val="left" w:pos="-1440" w:leader="none"/>
        </w:tabs>
        <w:ind w:hanging="720" w:start="1440" w:end="0"/>
        <w:rPr>
          <w:rFonts w:ascii="Arial" w:hAnsi="Arial" w:cs="Arial"/>
        </w:rPr>
      </w:pPr>
      <w:r>
        <w:rPr>
          <w:rFonts w:cs="Arial" w:ascii="Arial" w:hAnsi="Arial"/>
        </w:rPr>
        <w:t>a.</w:t>
        <w:tab/>
        <w:t>The pricing methodologies set forth in Sections 4 and 5 below shall be in force for a period of five years commencing on the Effective Date.</w:t>
      </w:r>
    </w:p>
    <w:p>
      <w:pPr>
        <w:pStyle w:val="Normal"/>
        <w:tabs>
          <w:tab w:val="clear" w:pos="720"/>
          <w:tab w:val="left" w:pos="-1440" w:leader="none"/>
        </w:tabs>
        <w:ind w:hanging="720" w:start="720" w:end="0"/>
        <w:rPr>
          <w:rFonts w:ascii="Arial" w:hAnsi="Arial" w:cs="Arial"/>
        </w:rPr>
      </w:pPr>
      <w:r>
        <w:rPr>
          <w:rFonts w:cs="Arial" w:ascii="Arial" w:hAnsi="Arial"/>
        </w:rPr>
      </w:r>
    </w:p>
    <w:p>
      <w:pPr>
        <w:pStyle w:val="Normal"/>
        <w:tabs>
          <w:tab w:val="clear" w:pos="720"/>
          <w:tab w:val="left" w:pos="-1440" w:leader="none"/>
        </w:tabs>
        <w:ind w:hanging="720" w:start="1440" w:end="0"/>
        <w:rPr>
          <w:rFonts w:ascii="Arial" w:hAnsi="Arial" w:cs="Arial"/>
        </w:rPr>
      </w:pPr>
      <w:r>
        <w:rPr>
          <w:rFonts w:cs="Arial" w:ascii="Arial" w:hAnsi="Arial"/>
        </w:rPr>
        <w:t>b.</w:t>
        <w:tab/>
        <w:t xml:space="preserve">Contract capacity provisions in existing contracts shall not be modified. </w:t>
      </w:r>
    </w:p>
    <w:p>
      <w:pPr>
        <w:pStyle w:val="Normal"/>
        <w:tabs>
          <w:tab w:val="clear" w:pos="720"/>
          <w:tab w:val="left" w:pos="-1440" w:leader="none"/>
        </w:tabs>
        <w:ind w:hanging="720" w:start="1440" w:end="0"/>
        <w:rPr>
          <w:rFonts w:ascii="Arial" w:hAnsi="Arial" w:cs="Arial"/>
        </w:rPr>
      </w:pPr>
      <w:r>
        <w:rPr>
          <w:rFonts w:cs="Arial" w:ascii="Arial" w:hAnsi="Arial"/>
        </w:rPr>
      </w:r>
    </w:p>
    <w:p>
      <w:pPr>
        <w:pStyle w:val="Normal"/>
        <w:tabs>
          <w:tab w:val="clear" w:pos="720"/>
          <w:tab w:val="left" w:pos="-1440" w:leader="none"/>
        </w:tabs>
        <w:ind w:hanging="720" w:start="1440" w:end="0"/>
        <w:rPr>
          <w:rFonts w:ascii="Arial" w:hAnsi="Arial" w:cs="Arial"/>
        </w:rPr>
      </w:pPr>
      <w:r>
        <w:rPr>
          <w:rFonts w:cs="Arial" w:ascii="Arial" w:hAnsi="Arial"/>
        </w:rPr>
        <w:t>c.</w:t>
        <w:tab/>
        <w:t xml:space="preserve">Current time-of-delivery and seasonal payment allocation factors, as determined by the Commission, shall continue to apply. </w:t>
      </w:r>
    </w:p>
    <w:p>
      <w:pPr>
        <w:pStyle w:val="Normal"/>
        <w:tabs>
          <w:tab w:val="clear" w:pos="720"/>
          <w:tab w:val="left" w:pos="-1440" w:leader="none"/>
        </w:tabs>
        <w:ind w:hanging="720" w:start="1440" w:end="0"/>
        <w:rPr>
          <w:rFonts w:ascii="Arial" w:hAnsi="Arial" w:cs="Arial"/>
        </w:rPr>
      </w:pPr>
      <w:r>
        <w:rPr>
          <w:rFonts w:cs="Arial" w:ascii="Arial" w:hAnsi="Arial"/>
        </w:rPr>
      </w:r>
    </w:p>
    <w:p>
      <w:pPr>
        <w:pStyle w:val="Normal"/>
        <w:tabs>
          <w:tab w:val="clear" w:pos="720"/>
          <w:tab w:val="left" w:pos="-1440" w:leader="none"/>
        </w:tabs>
        <w:ind w:hanging="720" w:start="1440" w:end="0"/>
        <w:rPr>
          <w:rFonts w:ascii="Arial" w:hAnsi="Arial" w:cs="Arial"/>
        </w:rPr>
      </w:pPr>
      <w:r>
        <w:rPr>
          <w:rFonts w:cs="Arial" w:ascii="Arial" w:hAnsi="Arial"/>
        </w:rPr>
        <w:t>d.</w:t>
        <w:tab/>
        <w:t>Energy line loss factors (at both the transmission and distribution level) shall be set at 1.0 unless otherwise specifically set forth in a contract.</w:t>
      </w:r>
    </w:p>
    <w:p>
      <w:pPr>
        <w:pStyle w:val="Normal"/>
        <w:tabs>
          <w:tab w:val="clear" w:pos="720"/>
          <w:tab w:val="left" w:pos="-1440" w:leader="none"/>
        </w:tabs>
        <w:ind w:hanging="720" w:start="1440" w:end="0"/>
        <w:rPr>
          <w:rFonts w:ascii="Arial" w:hAnsi="Arial" w:cs="Arial"/>
        </w:rPr>
      </w:pPr>
      <w:r>
        <w:rPr>
          <w:rFonts w:cs="Arial" w:ascii="Arial" w:hAnsi="Arial"/>
        </w:rPr>
      </w:r>
    </w:p>
    <w:p>
      <w:pPr>
        <w:pStyle w:val="Normal"/>
        <w:tabs>
          <w:tab w:val="clear" w:pos="720"/>
          <w:tab w:val="left" w:pos="-1440" w:leader="none"/>
        </w:tabs>
        <w:ind w:hanging="720" w:start="1440" w:end="0"/>
        <w:rPr>
          <w:rFonts w:ascii="Arial" w:hAnsi="Arial" w:cs="Arial"/>
        </w:rPr>
      </w:pPr>
      <w:r>
        <w:rPr>
          <w:rFonts w:cs="Arial" w:ascii="Arial" w:hAnsi="Arial"/>
        </w:rPr>
        <w:t>e.</w:t>
        <w:tab/>
        <w:t>The ability of QFs to exercise the one-time, irrevocable option to elect Power Exchange-based SRAC pricing pursuant to Pub. Util. Code Section 390(c) is terminated.</w:t>
      </w:r>
    </w:p>
    <w:p>
      <w:pPr>
        <w:pStyle w:val="Normal"/>
        <w:tabs>
          <w:tab w:val="clear" w:pos="720"/>
          <w:tab w:val="left" w:pos="-1440" w:leader="none"/>
        </w:tabs>
        <w:ind w:hanging="720" w:start="1440" w:end="0"/>
        <w:rPr>
          <w:rFonts w:ascii="Arial" w:hAnsi="Arial" w:cs="Arial"/>
        </w:rPr>
      </w:pPr>
      <w:r>
        <w:rPr>
          <w:rFonts w:cs="Arial" w:ascii="Arial" w:hAnsi="Arial"/>
        </w:rPr>
      </w:r>
    </w:p>
    <w:p>
      <w:pPr>
        <w:pStyle w:val="Normal"/>
        <w:tabs>
          <w:tab w:val="clear" w:pos="720"/>
          <w:tab w:val="left" w:pos="-1440" w:leader="none"/>
        </w:tabs>
        <w:ind w:hanging="720" w:start="1440" w:end="0"/>
        <w:rPr>
          <w:rFonts w:ascii="Arial" w:hAnsi="Arial" w:cs="Arial"/>
        </w:rPr>
      </w:pPr>
      <w:r>
        <w:rPr>
          <w:rFonts w:cs="Arial" w:ascii="Arial" w:hAnsi="Arial"/>
        </w:rPr>
        <w:t>f.</w:t>
        <w:tab/>
        <w:t>Unless otherwise agreed by the parties hereto, five years from the Effective Date, the SRAC pricing methodology shall revert to the SRAC methodology as approved by the Commission</w:t>
      </w:r>
    </w:p>
    <w:p>
      <w:pPr>
        <w:pStyle w:val="Normal"/>
        <w:tabs>
          <w:tab w:val="clear" w:pos="720"/>
          <w:tab w:val="left" w:pos="-1440" w:leader="none"/>
        </w:tabs>
        <w:ind w:hanging="720" w:start="1440" w:end="0"/>
        <w:rPr>
          <w:rFonts w:ascii="Arial" w:hAnsi="Arial" w:cs="Arial"/>
        </w:rPr>
      </w:pPr>
      <w:r>
        <w:rPr>
          <w:rFonts w:cs="Arial" w:ascii="Arial" w:hAnsi="Arial"/>
        </w:rPr>
      </w:r>
    </w:p>
    <w:p>
      <w:pPr>
        <w:pStyle w:val="Normal"/>
        <w:tabs>
          <w:tab w:val="clear" w:pos="720"/>
          <w:tab w:val="left" w:pos="-1440" w:leader="none"/>
        </w:tabs>
        <w:ind w:hanging="720" w:start="1440" w:end="0"/>
        <w:rPr>
          <w:rFonts w:ascii="Arial" w:hAnsi="Arial" w:cs="Arial"/>
        </w:rPr>
      </w:pPr>
      <w:r>
        <w:rPr>
          <w:rFonts w:cs="Arial" w:ascii="Arial" w:hAnsi="Arial"/>
        </w:rPr>
        <w:t>g.</w:t>
        <w:tab/>
        <w:t>The parties hereto agree that the pricing methodologies set forth herein yield rates of payment to the QF Parties which are just and reasonable, and that any and all of the costs to SCE associated with the implementation of such pricing methodologies are deemed reasonable for all purposes.</w:t>
      </w:r>
    </w:p>
    <w:p>
      <w:pPr>
        <w:pStyle w:val="Normal"/>
        <w:tabs>
          <w:tab w:val="clear" w:pos="720"/>
          <w:tab w:val="left" w:pos="-1440" w:leader="none"/>
        </w:tabs>
        <w:ind w:hanging="720" w:start="2160" w:end="0"/>
        <w:rPr>
          <w:rFonts w:ascii="Arial" w:hAnsi="Arial" w:cs="Arial"/>
        </w:rPr>
      </w:pPr>
      <w:r>
        <w:rPr>
          <w:rFonts w:cs="Arial" w:ascii="Arial" w:hAnsi="Arial"/>
        </w:rPr>
      </w:r>
    </w:p>
    <w:p>
      <w:pPr>
        <w:pStyle w:val="Normal"/>
        <w:tabs>
          <w:tab w:val="clear" w:pos="720"/>
          <w:tab w:val="left" w:pos="-1440" w:leader="none"/>
        </w:tabs>
        <w:ind w:hanging="720" w:start="720" w:end="0"/>
        <w:rPr/>
      </w:pPr>
      <w:r>
        <w:rPr>
          <w:rFonts w:cs="Arial" w:ascii="Arial" w:hAnsi="Arial"/>
          <w:b/>
        </w:rPr>
        <w:t>4.</w:t>
        <w:tab/>
      </w:r>
      <w:r>
        <w:rPr>
          <w:rFonts w:cs="Arial" w:ascii="Arial" w:hAnsi="Arial"/>
          <w:b/>
          <w:u w:val="single"/>
        </w:rPr>
        <w:t>Pricing Methodology for Gas-Fired Generators</w:t>
      </w:r>
    </w:p>
    <w:p>
      <w:pPr>
        <w:pStyle w:val="Normal"/>
        <w:tabs>
          <w:tab w:val="clear" w:pos="720"/>
          <w:tab w:val="left" w:pos="-1440" w:leader="none"/>
        </w:tabs>
        <w:ind w:hanging="720" w:start="720" w:end="0"/>
        <w:rPr>
          <w:rFonts w:ascii="Arial" w:hAnsi="Arial" w:cs="Arial"/>
          <w:b/>
          <w:u w:val="single"/>
        </w:rPr>
      </w:pPr>
      <w:r>
        <w:rPr>
          <w:rFonts w:cs="Arial" w:ascii="Arial" w:hAnsi="Arial"/>
          <w:b/>
          <w:u w:val="single"/>
        </w:rPr>
      </w:r>
    </w:p>
    <w:p>
      <w:pPr>
        <w:pStyle w:val="Normal"/>
        <w:tabs>
          <w:tab w:val="clear" w:pos="720"/>
          <w:tab w:val="left" w:pos="-1440" w:leader="none"/>
        </w:tabs>
        <w:ind w:hanging="720" w:start="1440" w:end="0"/>
        <w:rPr>
          <w:rFonts w:ascii="Arial" w:hAnsi="Arial" w:cs="Arial"/>
        </w:rPr>
      </w:pPr>
      <w:r>
        <w:rPr>
          <w:rFonts w:cs="Arial" w:ascii="Arial" w:hAnsi="Arial"/>
        </w:rPr>
        <w:t>a.</w:t>
        <w:tab/>
        <w:t>The methodology described in this section is applicable only to QFs which use natural gas as their primary fuel (“gas-fired generators”).</w:t>
      </w:r>
    </w:p>
    <w:p>
      <w:pPr>
        <w:pStyle w:val="Normal"/>
        <w:tabs>
          <w:tab w:val="clear" w:pos="720"/>
          <w:tab w:val="left" w:pos="-1440" w:leader="none"/>
        </w:tabs>
        <w:ind w:hanging="720" w:start="1440" w:end="0"/>
        <w:rPr>
          <w:rFonts w:ascii="Arial" w:hAnsi="Arial" w:cs="Arial"/>
        </w:rPr>
      </w:pPr>
      <w:r>
        <w:rPr>
          <w:rFonts w:cs="Arial" w:ascii="Arial" w:hAnsi="Arial"/>
        </w:rPr>
        <w:tab/>
      </w:r>
    </w:p>
    <w:p>
      <w:pPr>
        <w:pStyle w:val="Normal"/>
        <w:tabs>
          <w:tab w:val="clear" w:pos="720"/>
          <w:tab w:val="left" w:pos="-1440" w:leader="none"/>
        </w:tabs>
        <w:ind w:hanging="720" w:start="1440" w:end="0"/>
        <w:rPr>
          <w:rFonts w:ascii="Arial" w:hAnsi="Arial" w:cs="Arial"/>
        </w:rPr>
      </w:pPr>
      <w:r>
        <w:rPr>
          <w:rFonts w:cs="Arial" w:ascii="Arial" w:hAnsi="Arial"/>
        </w:rPr>
        <w:t>b.</w:t>
        <w:tab/>
        <w:t>The purpose of the methodology applicable to gas-fired generators  is to link the prices for SRAC provided by gas-fired generators to the long-term cost of firm burner tip gas prices.</w:t>
      </w:r>
    </w:p>
    <w:p>
      <w:pPr>
        <w:pStyle w:val="Normal"/>
        <w:tabs>
          <w:tab w:val="clear" w:pos="720"/>
          <w:tab w:val="left" w:pos="-1440" w:leader="none"/>
        </w:tabs>
        <w:ind w:hanging="720" w:start="1440" w:end="0"/>
        <w:rPr>
          <w:rFonts w:ascii="Arial" w:hAnsi="Arial" w:cs="Arial"/>
        </w:rPr>
      </w:pPr>
      <w:r>
        <w:rPr>
          <w:rFonts w:cs="Arial" w:ascii="Arial" w:hAnsi="Arial"/>
        </w:rPr>
      </w:r>
    </w:p>
    <w:p>
      <w:pPr>
        <w:pStyle w:val="Normal"/>
        <w:tabs>
          <w:tab w:val="clear" w:pos="720"/>
          <w:tab w:val="left" w:pos="-1440" w:leader="none"/>
        </w:tabs>
        <w:ind w:hanging="720" w:start="1440" w:end="0"/>
        <w:rPr>
          <w:rFonts w:ascii="Arial" w:hAnsi="Arial" w:cs="Arial"/>
        </w:rPr>
      </w:pPr>
      <w:r>
        <w:rPr>
          <w:rFonts w:cs="Arial" w:ascii="Arial" w:hAnsi="Arial"/>
        </w:rPr>
        <w:t>c.</w:t>
        <w:tab/>
        <w:t>Except as provided in Section 4(e) below, the annual average SRAC energy payment for gas-fired generators shall be determined pursuant to the following Energy Pricing Formula, expressed in cents/kWh:</w:t>
      </w:r>
    </w:p>
    <w:p>
      <w:pPr>
        <w:pStyle w:val="Normal"/>
        <w:tabs>
          <w:tab w:val="clear" w:pos="720"/>
          <w:tab w:val="left" w:pos="-1440" w:leader="none"/>
        </w:tabs>
        <w:rPr>
          <w:rFonts w:ascii="Arial" w:hAnsi="Arial" w:cs="Arial"/>
        </w:rPr>
      </w:pPr>
      <w:r>
        <w:rPr>
          <w:rFonts w:cs="Arial" w:ascii="Arial" w:hAnsi="Arial"/>
        </w:rPr>
      </w:r>
    </w:p>
    <w:p>
      <w:pPr>
        <w:pStyle w:val="Normal"/>
        <w:tabs>
          <w:tab w:val="clear" w:pos="720"/>
          <w:tab w:val="left" w:pos="-1440" w:leader="none"/>
        </w:tabs>
        <w:ind w:start="1440" w:end="0"/>
        <w:jc w:val="center"/>
        <w:rPr>
          <w:rFonts w:ascii="Arial" w:hAnsi="Arial" w:cs="Arial"/>
        </w:rPr>
      </w:pPr>
      <w:r>
        <w:rPr>
          <w:rFonts w:cs="Arial" w:ascii="Arial" w:hAnsi="Arial"/>
        </w:rPr>
        <w:t>[((9,821 x GP)/10,000) + (0.30 x CPI)]</w:t>
      </w:r>
    </w:p>
    <w:p>
      <w:pPr>
        <w:pStyle w:val="Normal"/>
        <w:tabs>
          <w:tab w:val="clear" w:pos="720"/>
          <w:tab w:val="left" w:pos="-1440" w:leader="none"/>
        </w:tabs>
        <w:ind w:hanging="720" w:start="1440" w:end="0"/>
        <w:rPr>
          <w:rFonts w:ascii="Arial" w:hAnsi="Arial" w:cs="Arial"/>
        </w:rPr>
      </w:pPr>
      <w:r>
        <w:rPr>
          <w:rFonts w:cs="Arial" w:ascii="Arial" w:hAnsi="Arial"/>
        </w:rPr>
      </w:r>
    </w:p>
    <w:p>
      <w:pPr>
        <w:pStyle w:val="Normal"/>
        <w:tabs>
          <w:tab w:val="clear" w:pos="720"/>
          <w:tab w:val="left" w:pos="-1440" w:leader="none"/>
        </w:tabs>
        <w:ind w:hanging="720" w:start="1440" w:end="0"/>
        <w:rPr>
          <w:rFonts w:ascii="Arial" w:hAnsi="Arial" w:cs="Arial"/>
        </w:rPr>
      </w:pPr>
      <w:r>
        <w:rPr>
          <w:rFonts w:cs="Arial" w:ascii="Arial" w:hAnsi="Arial"/>
        </w:rPr>
        <w:tab/>
        <w:t xml:space="preserve">Where </w:t>
      </w:r>
    </w:p>
    <w:p>
      <w:pPr>
        <w:pStyle w:val="Normal"/>
        <w:tabs>
          <w:tab w:val="clear" w:pos="720"/>
          <w:tab w:val="left" w:pos="-1440" w:leader="none"/>
        </w:tabs>
        <w:ind w:hanging="720" w:start="1440" w:end="0"/>
        <w:rPr>
          <w:rFonts w:ascii="Arial" w:hAnsi="Arial" w:cs="Arial"/>
        </w:rPr>
      </w:pPr>
      <w:r>
        <w:rPr>
          <w:rFonts w:cs="Arial" w:ascii="Arial" w:hAnsi="Arial"/>
        </w:rPr>
      </w:r>
    </w:p>
    <w:p>
      <w:pPr>
        <w:pStyle w:val="Normal"/>
        <w:tabs>
          <w:tab w:val="clear" w:pos="720"/>
          <w:tab w:val="left" w:pos="-1440" w:leader="none"/>
        </w:tabs>
        <w:ind w:hanging="720" w:start="2880" w:end="0"/>
        <w:rPr>
          <w:rFonts w:ascii="Arial" w:hAnsi="Arial" w:cs="Arial"/>
        </w:rPr>
      </w:pPr>
      <w:r>
        <w:rPr>
          <w:rFonts w:cs="Arial" w:ascii="Arial" w:hAnsi="Arial"/>
        </w:rPr>
        <w:t>1.</w:t>
        <w:tab/>
        <w:t>GP is a five-year firm price for gas delivered at the Southern California border, which price is actually available to the seller, plus the SoCalGas tariff intrastate transportation rate (including all surcharges).</w:t>
      </w:r>
    </w:p>
    <w:p>
      <w:pPr>
        <w:pStyle w:val="Normal"/>
        <w:tabs>
          <w:tab w:val="clear" w:pos="720"/>
          <w:tab w:val="left" w:pos="-1440" w:leader="none"/>
        </w:tabs>
        <w:ind w:hanging="2160" w:start="2880" w:end="0"/>
        <w:rPr>
          <w:rFonts w:ascii="Arial" w:hAnsi="Arial" w:cs="Arial"/>
        </w:rPr>
      </w:pPr>
      <w:r>
        <w:rPr>
          <w:rFonts w:cs="Arial" w:ascii="Arial" w:hAnsi="Arial"/>
        </w:rPr>
      </w:r>
    </w:p>
    <w:p>
      <w:pPr>
        <w:pStyle w:val="Normal"/>
        <w:tabs>
          <w:tab w:val="clear" w:pos="720"/>
          <w:tab w:val="left" w:pos="-1440" w:leader="none"/>
        </w:tabs>
        <w:ind w:hanging="720" w:start="2880" w:end="0"/>
        <w:rPr>
          <w:rFonts w:ascii="Arial" w:hAnsi="Arial" w:cs="Arial"/>
        </w:rPr>
      </w:pPr>
      <w:r>
        <w:rPr>
          <w:rFonts w:cs="Arial" w:ascii="Arial" w:hAnsi="Arial"/>
        </w:rPr>
        <w:t>2.</w:t>
        <w:tab/>
        <w:t>Operation and Maintenance payments shall be set at $0.003 per kWh and escalate annually beginning on the first anniversary of the Effective Date and thereafter during the period during which these principles are in force at CPI.</w:t>
      </w:r>
    </w:p>
    <w:p>
      <w:pPr>
        <w:pStyle w:val="Normal"/>
        <w:tabs>
          <w:tab w:val="clear" w:pos="720"/>
          <w:tab w:val="left" w:pos="-1440" w:leader="none"/>
        </w:tabs>
        <w:ind w:hanging="720" w:start="2880" w:end="0"/>
        <w:rPr>
          <w:rFonts w:ascii="Arial" w:hAnsi="Arial" w:cs="Arial"/>
        </w:rPr>
      </w:pPr>
      <w:r>
        <w:rPr>
          <w:rFonts w:cs="Arial" w:ascii="Arial" w:hAnsi="Arial"/>
        </w:rPr>
      </w:r>
    </w:p>
    <w:p>
      <w:pPr>
        <w:pStyle w:val="Normal"/>
        <w:tabs>
          <w:tab w:val="clear" w:pos="720"/>
          <w:tab w:val="left" w:pos="-1440" w:leader="none"/>
        </w:tabs>
        <w:ind w:hanging="720" w:start="2880" w:end="0"/>
        <w:rPr>
          <w:rFonts w:ascii="Arial" w:hAnsi="Arial" w:cs="Arial"/>
        </w:rPr>
      </w:pPr>
      <w:r>
        <w:rPr>
          <w:rFonts w:cs="Arial" w:ascii="Arial" w:hAnsi="Arial"/>
        </w:rPr>
        <w:t>3.</w:t>
        <w:tab/>
        <w:t>CPI shall mean the most applicable Consumer Price Index.</w:t>
      </w:r>
    </w:p>
    <w:p>
      <w:pPr>
        <w:pStyle w:val="Normal"/>
        <w:tabs>
          <w:tab w:val="clear" w:pos="720"/>
          <w:tab w:val="left" w:pos="-1440" w:leader="none"/>
        </w:tabs>
        <w:ind w:hanging="720" w:start="1440" w:end="0"/>
        <w:rPr>
          <w:rFonts w:ascii="Arial" w:hAnsi="Arial" w:cs="Arial"/>
        </w:rPr>
      </w:pPr>
      <w:r>
        <w:rPr>
          <w:rFonts w:cs="Arial" w:ascii="Arial" w:hAnsi="Arial"/>
        </w:rPr>
        <w:tab/>
      </w:r>
    </w:p>
    <w:p>
      <w:pPr>
        <w:pStyle w:val="Normal"/>
        <w:tabs>
          <w:tab w:val="clear" w:pos="720"/>
          <w:tab w:val="left" w:pos="-1440" w:leader="none"/>
        </w:tabs>
        <w:ind w:hanging="720" w:start="1440" w:end="0"/>
        <w:rPr>
          <w:rFonts w:ascii="Arial" w:hAnsi="Arial" w:cs="Arial"/>
        </w:rPr>
      </w:pPr>
      <w:r>
        <w:rPr>
          <w:rFonts w:cs="Arial" w:ascii="Arial" w:hAnsi="Arial"/>
        </w:rPr>
        <w:t>d.</w:t>
        <w:tab/>
        <w:t>Except as provided in Section 4(e) below, beginning on the Effective Date, and extending thereafter for a period to be agreed upon by the parties (the “Posting Period”), SCE will post a price of $5.60/MMBtu (the “Posted Price”) for delivery at the Southern California border for a five-year period inclusive of SoCalGas tariffed intrastate transportation rate (plus surcharges).  Each gas-fired generator will be randomly pre-assigned to a specific tranche in a manner to be agreed upon by the parties.  Each gas-fired generator within a particular tranche will have three (3) days from the commencement of the tranche within which to either (i) accept the Posted Price or (ii) claim a higher actual procurement cost.  Each gas-fired generator claiming a gas procurement cost pursuant to Section 4(d)(ii) shall, within 30 days of the posting date for the applicable tranche, have the burden of establishing the actual cost of gas procured by such generator in a manner satisfactory to both SCE and the Commission.  Information provided to SCE and the Commission pursuant to this section shall be accorded confidentiality protection pursuant to P. U. Code Section 583 and General Order 66-C.  In the event that a gas-fired generator claiming a higher gas procurement cost pursuant to Section 4(d)(ii) fails to provide information satisfactory to establish its actual cost of procuring gas within such 30 day period, then the gas price applicable to such gas-fired generator shall be the Posted Price for the applicable tranche.</w:t>
      </w:r>
    </w:p>
    <w:p>
      <w:pPr>
        <w:pStyle w:val="Normal"/>
        <w:tabs>
          <w:tab w:val="clear" w:pos="720"/>
          <w:tab w:val="left" w:pos="-1440" w:leader="none"/>
        </w:tabs>
        <w:ind w:hanging="720" w:start="1440" w:end="0"/>
        <w:rPr>
          <w:rFonts w:ascii="Arial" w:hAnsi="Arial" w:cs="Arial"/>
        </w:rPr>
      </w:pPr>
      <w:r>
        <w:rPr>
          <w:rFonts w:cs="Arial" w:ascii="Arial" w:hAnsi="Arial"/>
        </w:rPr>
      </w:r>
    </w:p>
    <w:p>
      <w:pPr>
        <w:pStyle w:val="Normal"/>
        <w:tabs>
          <w:tab w:val="clear" w:pos="720"/>
          <w:tab w:val="left" w:pos="-1440" w:leader="none"/>
        </w:tabs>
        <w:ind w:hanging="720" w:start="1440" w:end="0"/>
        <w:rPr>
          <w:rFonts w:ascii="Arial" w:hAnsi="Arial" w:cs="Arial"/>
        </w:rPr>
      </w:pPr>
      <w:r>
        <w:rPr>
          <w:rFonts w:cs="Arial" w:ascii="Arial" w:hAnsi="Arial"/>
        </w:rPr>
        <w:t>e.</w:t>
        <w:tab/>
        <w:t>The pricing provisions in this Section 4(e) are applicable only to Kern River Cogeneration Company, Sycamore Cogeneration Company, Midway Sunset Cogeneration Company and Watson Cogeneration Company (individually, a “Project” and collectively the “Projects”).</w:t>
      </w:r>
    </w:p>
    <w:p>
      <w:pPr>
        <w:pStyle w:val="Normal"/>
        <w:tabs>
          <w:tab w:val="clear" w:pos="720"/>
          <w:tab w:val="left" w:pos="-1440" w:leader="none"/>
        </w:tabs>
        <w:ind w:hanging="720" w:start="1440" w:end="0"/>
        <w:rPr>
          <w:rFonts w:ascii="Arial" w:hAnsi="Arial" w:cs="Arial"/>
        </w:rPr>
      </w:pPr>
      <w:r>
        <w:rPr>
          <w:rFonts w:cs="Arial" w:ascii="Arial" w:hAnsi="Arial"/>
        </w:rPr>
      </w:r>
    </w:p>
    <w:p>
      <w:pPr>
        <w:pStyle w:val="Normal"/>
        <w:tabs>
          <w:tab w:val="clear" w:pos="720"/>
          <w:tab w:val="left" w:pos="-1440" w:leader="none"/>
        </w:tabs>
        <w:ind w:hanging="1440" w:start="2880" w:end="0"/>
        <w:rPr>
          <w:rFonts w:ascii="Arial" w:hAnsi="Arial" w:cs="Arial"/>
        </w:rPr>
      </w:pPr>
      <w:r>
        <w:rPr>
          <w:rFonts w:cs="Arial" w:ascii="Arial" w:hAnsi="Arial"/>
        </w:rPr>
        <w:t>1.</w:t>
        <w:tab/>
        <w:t>Within 30 days of the Effective Date, the pricing terms and all other necessary terms of the existing bilateral contracts between SCE and the Projects shall be modified such that the annual weighted average energy and capacity payments to such QFs in the aggregate does not exceed 7.8 cents/kWh at an assumed burnertip gas price of $5.60/MMBtu.</w:t>
      </w:r>
    </w:p>
    <w:p>
      <w:pPr>
        <w:pStyle w:val="Normal"/>
        <w:tabs>
          <w:tab w:val="clear" w:pos="720"/>
          <w:tab w:val="left" w:pos="-1440" w:leader="none"/>
        </w:tabs>
        <w:ind w:hanging="1440" w:start="2880" w:end="0"/>
        <w:rPr>
          <w:rFonts w:ascii="Arial" w:hAnsi="Arial" w:cs="Arial"/>
        </w:rPr>
      </w:pPr>
      <w:r>
        <w:rPr>
          <w:rFonts w:cs="Arial" w:ascii="Arial" w:hAnsi="Arial"/>
        </w:rPr>
      </w:r>
    </w:p>
    <w:p>
      <w:pPr>
        <w:pStyle w:val="Normal"/>
        <w:tabs>
          <w:tab w:val="clear" w:pos="720"/>
          <w:tab w:val="left" w:pos="-1440" w:leader="none"/>
        </w:tabs>
        <w:ind w:hanging="1440" w:start="2880" w:end="0"/>
        <w:rPr>
          <w:rFonts w:ascii="Arial" w:hAnsi="Arial" w:cs="Arial"/>
        </w:rPr>
      </w:pPr>
      <w:r>
        <w:rPr>
          <w:rFonts w:cs="Arial" w:ascii="Arial" w:hAnsi="Arial"/>
        </w:rPr>
        <w:t>2.</w:t>
        <w:tab/>
        <w:t>The actual gas price used for the purpose of modifying the pricing provisions in each Project’s contract with SCE shall be the greater of either (i) $5.60/MMBtu or (ii) the actual price incurred by a Project to procure natural gas.  Each Project claiming a gas price pursuant to Section 4(e)(ii) shall, within 30 days of the Effective Date, have the burden of establishing the actual cost of gas procured in a manner satisfactory to both SCE and the Commission.  Information provided to SCE and the Commission pursuant to this section shall be accorded confidentiality protection pursuant to P. U. Code Section 583 and General Order 66-C.</w:t>
      </w:r>
    </w:p>
    <w:p>
      <w:pPr>
        <w:pStyle w:val="Normal"/>
        <w:tabs>
          <w:tab w:val="clear" w:pos="720"/>
          <w:tab w:val="left" w:pos="-1440" w:leader="none"/>
        </w:tabs>
        <w:rPr>
          <w:rFonts w:ascii="Arial" w:hAnsi="Arial" w:cs="Arial"/>
        </w:rPr>
      </w:pPr>
      <w:r>
        <w:rPr>
          <w:rFonts w:cs="Arial" w:ascii="Arial" w:hAnsi="Arial"/>
        </w:rPr>
      </w:r>
    </w:p>
    <w:p>
      <w:pPr>
        <w:pStyle w:val="Normal"/>
        <w:tabs>
          <w:tab w:val="clear" w:pos="720"/>
          <w:tab w:val="left" w:pos="-1440" w:leader="none"/>
        </w:tabs>
        <w:ind w:hanging="1440" w:start="2880" w:end="0"/>
        <w:rPr>
          <w:rFonts w:ascii="Arial" w:hAnsi="Arial" w:cs="Arial"/>
        </w:rPr>
      </w:pPr>
      <w:r>
        <w:rPr>
          <w:rFonts w:cs="Arial" w:ascii="Arial" w:hAnsi="Arial"/>
        </w:rPr>
      </w:r>
    </w:p>
    <w:p>
      <w:pPr>
        <w:pStyle w:val="Normal"/>
        <w:tabs>
          <w:tab w:val="clear" w:pos="720"/>
          <w:tab w:val="left" w:pos="-1440" w:leader="none"/>
        </w:tabs>
        <w:ind w:hanging="1440" w:start="2880" w:end="0"/>
        <w:rPr>
          <w:rFonts w:ascii="Arial" w:hAnsi="Arial" w:cs="Arial"/>
        </w:rPr>
      </w:pPr>
      <w:r>
        <w:rPr>
          <w:rFonts w:cs="Arial" w:ascii="Arial" w:hAnsi="Arial"/>
        </w:rPr>
        <w:t>3.</w:t>
        <w:tab/>
        <w:t xml:space="preserve">A tracking account shall be established on the Effective Date or as soon thereafter as is practicably possible to true up, on each anniversary of the Effective Date, the actual total payments made to the Projects for energy and capacity to the product of the total kWhs of deliveries (as reflected on the monthly statements for the Projects) and the True Up Price.  For purposes of this Section 4(e)(3) the True Up Price shall be the greater of 7.8 cents per kWh or the value defined by the formula:  </w:t>
      </w:r>
    </w:p>
    <w:p>
      <w:pPr>
        <w:pStyle w:val="Normal"/>
        <w:tabs>
          <w:tab w:val="clear" w:pos="720"/>
          <w:tab w:val="left" w:pos="-1440" w:leader="none"/>
        </w:tabs>
        <w:ind w:hanging="1440" w:start="2880" w:end="0"/>
        <w:rPr>
          <w:rFonts w:ascii="Arial" w:hAnsi="Arial" w:cs="Arial"/>
        </w:rPr>
      </w:pPr>
      <w:r>
        <w:rPr>
          <w:rFonts w:cs="Arial" w:ascii="Arial" w:hAnsi="Arial"/>
        </w:rPr>
        <w:tab/>
      </w:r>
    </w:p>
    <w:p>
      <w:pPr>
        <w:pStyle w:val="Normal"/>
        <w:tabs>
          <w:tab w:val="clear" w:pos="720"/>
          <w:tab w:val="left" w:pos="-1440" w:leader="none"/>
        </w:tabs>
        <w:ind w:hanging="1440" w:start="2880" w:end="0"/>
        <w:rPr>
          <w:rFonts w:ascii="Arial" w:hAnsi="Arial" w:cs="Arial"/>
        </w:rPr>
      </w:pPr>
      <w:r>
        <w:rPr>
          <w:rFonts w:cs="Arial" w:ascii="Arial" w:hAnsi="Arial"/>
        </w:rPr>
        <w:tab/>
        <w:t>(7.8 cents/kWh –2.12 cents/kWh)</w:t>
        <w:br/>
        <w:t>*(actual gas price in $ /MMBtu/$5.60/MMBtu) +</w:t>
        <w:br/>
        <w:t>+ 2.12 cents/kWh</w:t>
      </w:r>
    </w:p>
    <w:p>
      <w:pPr>
        <w:pStyle w:val="Normal"/>
        <w:tabs>
          <w:tab w:val="clear" w:pos="720"/>
          <w:tab w:val="left" w:pos="-1440" w:leader="none"/>
        </w:tabs>
        <w:ind w:hanging="1440" w:start="2880" w:end="0"/>
        <w:rPr>
          <w:rFonts w:ascii="Arial" w:hAnsi="Arial" w:cs="Arial"/>
        </w:rPr>
      </w:pPr>
      <w:r>
        <w:rPr>
          <w:rFonts w:cs="Arial" w:ascii="Arial" w:hAnsi="Arial"/>
        </w:rPr>
      </w:r>
    </w:p>
    <w:p>
      <w:pPr>
        <w:pStyle w:val="Normal"/>
        <w:tabs>
          <w:tab w:val="clear" w:pos="720"/>
          <w:tab w:val="left" w:pos="-1440" w:leader="none"/>
        </w:tabs>
        <w:ind w:hanging="1440" w:start="2880" w:end="0"/>
        <w:rPr>
          <w:rFonts w:ascii="Arial" w:hAnsi="Arial" w:cs="Arial"/>
        </w:rPr>
      </w:pPr>
      <w:r>
        <w:rPr>
          <w:rFonts w:cs="Arial" w:ascii="Arial" w:hAnsi="Arial"/>
        </w:rPr>
        <w:tab/>
        <w:t xml:space="preserve">where the “actual gas price” is the weighted average price on an aggregate basis for the Projects expressed in $/MMBtu.  </w:t>
      </w:r>
    </w:p>
    <w:p>
      <w:pPr>
        <w:pStyle w:val="Normal"/>
        <w:tabs>
          <w:tab w:val="clear" w:pos="720"/>
          <w:tab w:val="left" w:pos="-1440" w:leader="none"/>
        </w:tabs>
        <w:ind w:hanging="1440" w:start="2880" w:end="0"/>
        <w:rPr>
          <w:rFonts w:ascii="Arial" w:hAnsi="Arial" w:cs="Arial"/>
        </w:rPr>
      </w:pPr>
      <w:r>
        <w:rPr>
          <w:rFonts w:cs="Arial" w:ascii="Arial" w:hAnsi="Arial"/>
        </w:rPr>
      </w:r>
    </w:p>
    <w:p>
      <w:pPr>
        <w:pStyle w:val="Normal"/>
        <w:tabs>
          <w:tab w:val="clear" w:pos="720"/>
          <w:tab w:val="left" w:pos="-1440" w:leader="none"/>
        </w:tabs>
        <w:ind w:hanging="1440" w:start="2880" w:end="0"/>
        <w:rPr>
          <w:rFonts w:ascii="Arial" w:hAnsi="Arial" w:cs="Arial"/>
        </w:rPr>
      </w:pPr>
      <w:r>
        <w:rPr>
          <w:rFonts w:cs="Arial" w:ascii="Arial" w:hAnsi="Arial"/>
        </w:rPr>
        <w:tab/>
        <w:t xml:space="preserve">The balancing account shall bear interest at a three month commercial paper rate compounded monthly.  In the event that the resulting balance on any anniversary date shows that a portfolio price in excess of True Up Price  has been paid by SCE in the preceding year, then that amount, plus accumulated interest thereon, shall be paid to SCE within 15 days of SCE’s invoice for same.  </w:t>
      </w:r>
    </w:p>
    <w:p>
      <w:pPr>
        <w:pStyle w:val="Normal"/>
        <w:tabs>
          <w:tab w:val="clear" w:pos="720"/>
          <w:tab w:val="left" w:pos="-1440" w:leader="none"/>
        </w:tabs>
        <w:ind w:hanging="1440" w:start="2880" w:end="0"/>
        <w:rPr>
          <w:rFonts w:ascii="Arial" w:hAnsi="Arial" w:cs="Arial"/>
        </w:rPr>
      </w:pPr>
      <w:r>
        <w:rPr>
          <w:rFonts w:cs="Arial" w:ascii="Arial" w:hAnsi="Arial"/>
        </w:rPr>
        <w:tab/>
      </w:r>
    </w:p>
    <w:p>
      <w:pPr>
        <w:pStyle w:val="Normal"/>
        <w:tabs>
          <w:tab w:val="clear" w:pos="720"/>
          <w:tab w:val="left" w:pos="-1440" w:leader="none"/>
        </w:tabs>
        <w:ind w:hanging="720" w:start="1440" w:end="0"/>
        <w:rPr>
          <w:rFonts w:ascii="Arial" w:hAnsi="Arial" w:cs="Arial"/>
        </w:rPr>
      </w:pPr>
      <w:r>
        <w:rPr>
          <w:rFonts w:cs="Arial" w:ascii="Arial" w:hAnsi="Arial"/>
        </w:rPr>
      </w:r>
    </w:p>
    <w:p>
      <w:pPr>
        <w:pStyle w:val="Normal"/>
        <w:tabs>
          <w:tab w:val="clear" w:pos="720"/>
          <w:tab w:val="left" w:pos="-1440" w:leader="none"/>
        </w:tabs>
        <w:ind w:hanging="720" w:start="1440" w:end="0"/>
        <w:rPr>
          <w:rFonts w:ascii="Arial" w:hAnsi="Arial" w:cs="Arial"/>
        </w:rPr>
      </w:pPr>
      <w:r>
        <w:rPr>
          <w:rFonts w:cs="Arial" w:ascii="Arial" w:hAnsi="Arial"/>
        </w:rPr>
        <w:t>f.</w:t>
        <w:tab/>
        <w:t>Any gas-fired generator or Project which elects the gas pricing option pursuant to Section 4(d)(ii) or 4(e)(ii) above shall be subject to periodic audit by SCE to confirm that the generator’s actual gas procurement costs have not deviated from the pricing disclosed pursuant to Section 4(d)(ii) or 4(e)(ii), as applicable.  The parties shall support legislative initiatives for enhancing the creditworthiness of the revised contracts.  California state entities or other entities may secure, at the option of the QF, gas supplies for QF resources and provide gas pursuant to bilateral contracts.</w:t>
      </w:r>
    </w:p>
    <w:p>
      <w:pPr>
        <w:pStyle w:val="Normal"/>
        <w:tabs>
          <w:tab w:val="clear" w:pos="720"/>
          <w:tab w:val="left" w:pos="-1440" w:leader="none"/>
        </w:tabs>
        <w:ind w:hanging="720" w:start="1440" w:end="0"/>
        <w:rPr>
          <w:rFonts w:ascii="Arial" w:hAnsi="Arial" w:cs="Arial"/>
        </w:rPr>
      </w:pPr>
      <w:r>
        <w:rPr>
          <w:rFonts w:cs="Arial" w:ascii="Arial" w:hAnsi="Arial"/>
        </w:rPr>
      </w:r>
    </w:p>
    <w:p>
      <w:pPr>
        <w:pStyle w:val="Normal"/>
        <w:tabs>
          <w:tab w:val="clear" w:pos="720"/>
          <w:tab w:val="left" w:pos="-1440" w:leader="none"/>
        </w:tabs>
        <w:ind w:hanging="720" w:start="1440" w:end="0"/>
        <w:rPr>
          <w:rFonts w:ascii="Arial" w:hAnsi="Arial" w:cs="Arial"/>
        </w:rPr>
      </w:pPr>
      <w:r>
        <w:rPr>
          <w:rFonts w:cs="Arial" w:ascii="Arial" w:hAnsi="Arial"/>
        </w:rPr>
        <w:t>g.</w:t>
        <w:tab/>
        <w:t>Except as expressly provided herein, nothing in this Blueprint shall be construed to require a QF party to divulge proprietary cost or price information, or to provide access, either physically, financially or contractually, to actual gas cost acquisition arrangements.</w:t>
      </w:r>
    </w:p>
    <w:p>
      <w:pPr>
        <w:pStyle w:val="Normal"/>
        <w:tabs>
          <w:tab w:val="clear" w:pos="720"/>
          <w:tab w:val="left" w:pos="-1440" w:leader="none"/>
        </w:tabs>
        <w:rPr>
          <w:rFonts w:ascii="Arial" w:hAnsi="Arial" w:cs="Arial"/>
        </w:rPr>
      </w:pPr>
      <w:r>
        <w:rPr>
          <w:rFonts w:cs="Arial" w:ascii="Arial" w:hAnsi="Arial"/>
        </w:rPr>
      </w:r>
    </w:p>
    <w:p>
      <w:pPr>
        <w:pStyle w:val="Normal"/>
        <w:tabs>
          <w:tab w:val="clear" w:pos="720"/>
          <w:tab w:val="left" w:pos="-1440" w:leader="none"/>
        </w:tabs>
        <w:rPr/>
      </w:pPr>
      <w:r>
        <w:rPr>
          <w:rFonts w:cs="Arial" w:ascii="Arial" w:hAnsi="Arial"/>
          <w:b/>
        </w:rPr>
        <w:t>5.</w:t>
      </w:r>
      <w:r>
        <w:rPr>
          <w:rFonts w:cs="Arial" w:ascii="Arial" w:hAnsi="Arial"/>
        </w:rPr>
        <w:tab/>
      </w:r>
      <w:r>
        <w:rPr>
          <w:rFonts w:cs="Arial" w:ascii="Arial" w:hAnsi="Arial"/>
          <w:b/>
          <w:u w:val="single"/>
        </w:rPr>
        <w:t>Pricing Methodology Applicable To Non Gas-Fired Generators</w:t>
      </w:r>
    </w:p>
    <w:p>
      <w:pPr>
        <w:pStyle w:val="Normal"/>
        <w:tabs>
          <w:tab w:val="clear" w:pos="720"/>
          <w:tab w:val="left" w:pos="-1440" w:leader="none"/>
        </w:tabs>
        <w:ind w:hanging="1440" w:start="2160" w:end="0"/>
        <w:rPr>
          <w:rFonts w:ascii="Arial" w:hAnsi="Arial" w:cs="Arial"/>
          <w:b/>
          <w:u w:val="single"/>
        </w:rPr>
      </w:pPr>
      <w:r>
        <w:rPr>
          <w:rFonts w:cs="Arial" w:ascii="Arial" w:hAnsi="Arial"/>
          <w:b/>
          <w:u w:val="single"/>
        </w:rPr>
      </w:r>
    </w:p>
    <w:p>
      <w:pPr>
        <w:pStyle w:val="Normal"/>
        <w:tabs>
          <w:tab w:val="clear" w:pos="720"/>
          <w:tab w:val="left" w:pos="-1440" w:leader="none"/>
        </w:tabs>
        <w:ind w:hanging="720" w:start="1440" w:end="0"/>
        <w:rPr>
          <w:rFonts w:ascii="Arial" w:hAnsi="Arial" w:cs="Arial"/>
        </w:rPr>
      </w:pPr>
      <w:r>
        <w:rPr>
          <w:rFonts w:cs="Arial" w:ascii="Arial" w:hAnsi="Arial"/>
        </w:rPr>
        <w:t>a.</w:t>
        <w:tab/>
        <w:t>Except as provided in Section 5(c) below, this pricing methodology is applicable to all small power production facilities and cogeneration facilities, the primary fuel of which is not natural gas (“non gas-fired generators”).</w:t>
      </w:r>
    </w:p>
    <w:p>
      <w:pPr>
        <w:pStyle w:val="Normal"/>
        <w:tabs>
          <w:tab w:val="clear" w:pos="720"/>
          <w:tab w:val="left" w:pos="-1440" w:leader="none"/>
        </w:tabs>
        <w:ind w:hanging="720" w:start="1440" w:end="0"/>
        <w:rPr>
          <w:rFonts w:ascii="Arial" w:hAnsi="Arial" w:cs="Arial"/>
        </w:rPr>
      </w:pPr>
      <w:r>
        <w:rPr>
          <w:rFonts w:cs="Arial" w:ascii="Arial" w:hAnsi="Arial"/>
        </w:rPr>
      </w:r>
    </w:p>
    <w:p>
      <w:pPr>
        <w:pStyle w:val="Normal"/>
        <w:tabs>
          <w:tab w:val="clear" w:pos="720"/>
          <w:tab w:val="left" w:pos="-1440" w:leader="none"/>
        </w:tabs>
        <w:ind w:hanging="720" w:start="1440" w:end="0"/>
        <w:rPr>
          <w:rFonts w:ascii="Arial" w:hAnsi="Arial" w:cs="Arial"/>
        </w:rPr>
      </w:pPr>
      <w:r>
        <w:rPr>
          <w:rFonts w:cs="Arial" w:ascii="Arial" w:hAnsi="Arial"/>
        </w:rPr>
        <w:t>b.</w:t>
        <w:tab/>
        <w:t>The short run avoided cost of energy for non gas-fired generators is 5.37 cents per kWh for five years from the Effective Date.</w:t>
      </w:r>
    </w:p>
    <w:p>
      <w:pPr>
        <w:pStyle w:val="Normal"/>
        <w:rPr>
          <w:rFonts w:ascii="Arial" w:hAnsi="Arial" w:cs="Arial"/>
        </w:rPr>
      </w:pPr>
      <w:r>
        <w:rPr>
          <w:rFonts w:cs="Arial" w:ascii="Arial" w:hAnsi="Arial"/>
        </w:rPr>
      </w:r>
    </w:p>
    <w:p>
      <w:pPr>
        <w:pStyle w:val="Normal"/>
        <w:tabs>
          <w:tab w:val="clear" w:pos="720"/>
          <w:tab w:val="left" w:pos="-1440" w:leader="none"/>
        </w:tabs>
        <w:ind w:hanging="720" w:start="720" w:end="0"/>
        <w:rPr/>
      </w:pPr>
      <w:r>
        <w:rPr>
          <w:rFonts w:cs="Arial" w:ascii="Arial" w:hAnsi="Arial"/>
          <w:b/>
        </w:rPr>
        <w:t>6.</w:t>
        <w:tab/>
      </w:r>
      <w:r>
        <w:rPr>
          <w:rFonts w:cs="Arial" w:ascii="Arial" w:hAnsi="Arial"/>
          <w:b/>
          <w:u w:val="single"/>
        </w:rPr>
        <w:t>Best Efforts And Mutual Cooperation</w:t>
      </w:r>
      <w:r>
        <w:rPr>
          <w:rFonts w:cs="Arial" w:ascii="Arial" w:hAnsi="Arial"/>
          <w:b/>
        </w:rPr>
        <w:t xml:space="preserve"> </w:t>
      </w:r>
    </w:p>
    <w:p>
      <w:pPr>
        <w:pStyle w:val="Normal"/>
        <w:tabs>
          <w:tab w:val="clear" w:pos="720"/>
          <w:tab w:val="left" w:pos="-1440" w:leader="none"/>
        </w:tabs>
        <w:ind w:hanging="720" w:start="720" w:end="0"/>
        <w:rPr>
          <w:rFonts w:ascii="Arial" w:hAnsi="Arial" w:cs="Arial"/>
          <w:b/>
        </w:rPr>
      </w:pPr>
      <w:r>
        <w:rPr>
          <w:rFonts w:cs="Arial" w:ascii="Arial" w:hAnsi="Arial"/>
          <w:b/>
        </w:rPr>
      </w:r>
    </w:p>
    <w:p>
      <w:pPr>
        <w:pStyle w:val="Normal"/>
        <w:tabs>
          <w:tab w:val="clear" w:pos="720"/>
          <w:tab w:val="left" w:pos="-1440" w:leader="none"/>
        </w:tabs>
        <w:rPr>
          <w:rFonts w:ascii="Arial" w:hAnsi="Arial" w:cs="Arial"/>
        </w:rPr>
      </w:pPr>
      <w:r>
        <w:rPr>
          <w:rFonts w:cs="Arial" w:ascii="Arial" w:hAnsi="Arial"/>
        </w:rPr>
        <w:tab/>
        <w:t>SCE and the QF Parties shall take all good faith actions to assure that these principles are fully adopted and supported by all state and federal regulatory, legislative and executive entities.</w:t>
      </w:r>
    </w:p>
    <w:p>
      <w:pPr>
        <w:pStyle w:val="Normal"/>
        <w:rPr>
          <w:rFonts w:ascii="Arial" w:hAnsi="Arial" w:cs="Arial"/>
        </w:rPr>
      </w:pPr>
      <w:r>
        <w:rPr>
          <w:rFonts w:cs="Arial" w:ascii="Arial" w:hAnsi="Arial"/>
        </w:rPr>
      </w:r>
    </w:p>
    <w:p>
      <w:pPr>
        <w:pStyle w:val="Normal"/>
        <w:rPr/>
      </w:pPr>
      <w:r>
        <w:rPr>
          <w:rFonts w:cs="Arial" w:ascii="Arial" w:hAnsi="Arial"/>
          <w:b/>
        </w:rPr>
        <w:t>7.</w:t>
        <w:tab/>
      </w:r>
      <w:r>
        <w:rPr>
          <w:rFonts w:cs="Arial" w:ascii="Arial" w:hAnsi="Arial"/>
          <w:b/>
          <w:u w:val="single"/>
        </w:rPr>
        <w:t>Effective Date</w:t>
      </w:r>
    </w:p>
    <w:p>
      <w:pPr>
        <w:pStyle w:val="Normal"/>
        <w:rPr>
          <w:rFonts w:ascii="Arial" w:hAnsi="Arial" w:cs="Arial"/>
          <w:b/>
          <w:u w:val="single"/>
        </w:rPr>
      </w:pPr>
      <w:r>
        <w:rPr>
          <w:rFonts w:cs="Arial" w:ascii="Arial" w:hAnsi="Arial"/>
          <w:b/>
          <w:u w:val="single"/>
        </w:rPr>
      </w:r>
    </w:p>
    <w:p>
      <w:pPr>
        <w:pStyle w:val="Normal"/>
        <w:rPr>
          <w:rFonts w:ascii="Arial" w:hAnsi="Arial" w:cs="Arial"/>
        </w:rPr>
      </w:pPr>
      <w:r>
        <w:rPr>
          <w:rFonts w:cs="Arial" w:ascii="Arial" w:hAnsi="Arial"/>
        </w:rPr>
        <w:tab/>
        <w:t>February 1, 2001 is the Effective Date.</w:t>
      </w:r>
    </w:p>
    <w:p>
      <w:pPr>
        <w:pStyle w:val="Normal"/>
        <w:rPr>
          <w:rFonts w:ascii="Arial" w:hAnsi="Arial" w:cs="Arial"/>
        </w:rPr>
      </w:pPr>
      <w:r>
        <w:rPr>
          <w:rFonts w:cs="Arial" w:ascii="Arial" w:hAnsi="Arial"/>
        </w:rPr>
      </w:r>
    </w:p>
    <w:p>
      <w:pPr>
        <w:pStyle w:val="Normal"/>
        <w:rPr/>
      </w:pPr>
      <w:r>
        <w:rPr>
          <w:rFonts w:cs="Arial" w:ascii="Arial" w:hAnsi="Arial"/>
          <w:b/>
        </w:rPr>
        <w:t>8.</w:t>
        <w:tab/>
      </w:r>
      <w:r>
        <w:rPr>
          <w:rFonts w:cs="Arial" w:ascii="Arial" w:hAnsi="Arial"/>
          <w:b/>
          <w:u w:val="single"/>
        </w:rPr>
        <w:t>Signatures</w:t>
      </w:r>
    </w:p>
    <w:p>
      <w:pPr>
        <w:pStyle w:val="Normal"/>
        <w:rPr>
          <w:rFonts w:ascii="Arial" w:hAnsi="Arial" w:cs="Arial"/>
        </w:rPr>
      </w:pPr>
      <w:r>
        <w:rPr>
          <w:rFonts w:cs="Arial" w:ascii="Arial" w:hAnsi="Arial"/>
        </w:rPr>
        <w:tab/>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NewCenturySchlbk">
    <w:charset w:val="00" w:characterSet="windows-1252"/>
    <w:family w:val="roman"/>
    <w:pitch w:val="variable"/>
  </w:font>
  <w:font w:name="Times">
    <w:altName w:val="Times New Roman"/>
    <w:charset w:val="00" w:characterSet="windows-1252"/>
    <w:family w:val="roman"/>
    <w:pitch w:val="variable"/>
  </w:font>
  <w:font w:name="Garamond">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0"/>
      </w:rPr>
    </w:pPr>
    <w:r>
      <w:rPr>
        <w:sz w:val="20"/>
      </w:rPr>
      <w:fldChar w:fldCharType="begin"/>
    </w:r>
    <w:r>
      <w:rPr>
        <w:sz w:val="20"/>
      </w:rPr>
      <w:instrText xml:space="preserve"> FILENAME </w:instrText>
    </w:r>
    <w:r>
      <w:rPr>
        <w:sz w:val="20"/>
      </w:rPr>
      <w:fldChar w:fldCharType="separate"/>
    </w:r>
    <w:r>
      <w:rPr>
        <w:sz w:val="20"/>
      </w:rPr>
      <w:t>LatestDeal-9369a30b156fa72afda3daca2e6df1e9289544fffa68d805ee7809d509c0cbf5.doc</w:t>
    </w:r>
    <w:r>
      <w:rPr>
        <w:sz w:val="20"/>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Roman"/>
      <w:lvlText w:val="%1."/>
      <w:lvlJc w:val="start"/>
      <w:pPr>
        <w:tabs>
          <w:tab w:val="num" w:pos="0"/>
        </w:tabs>
        <w:ind w:start="0" w:hanging="0"/>
      </w:pPr>
      <w:rPr>
        <w:u w:val="none"/>
        <w:color w:val="0000FF"/>
      </w:rPr>
    </w:lvl>
    <w:lvl w:ilvl="1">
      <w:start w:val="1"/>
      <w:numFmt w:val="upperLetter"/>
      <w:lvlText w:val="%2."/>
      <w:lvlJc w:val="start"/>
      <w:pPr>
        <w:tabs>
          <w:tab w:val="num" w:pos="720"/>
        </w:tabs>
        <w:ind w:start="720" w:hanging="720"/>
      </w:pPr>
      <w:rPr>
        <w:u w:val="none"/>
        <w:color w:val="0000FF"/>
      </w:rPr>
    </w:lvl>
    <w:lvl w:ilvl="2">
      <w:start w:val="1"/>
      <w:numFmt w:val="decimal"/>
      <w:lvlText w:val="%3."/>
      <w:lvlJc w:val="start"/>
      <w:pPr>
        <w:tabs>
          <w:tab w:val="num" w:pos="720"/>
        </w:tabs>
        <w:ind w:start="1440" w:hanging="720"/>
      </w:pPr>
      <w:rPr>
        <w:u w:val="none"/>
        <w:color w:val="0000FF"/>
      </w:rPr>
    </w:lvl>
    <w:lvl w:ilvl="3">
      <w:start w:val="1"/>
      <w:numFmt w:val="lowerLetter"/>
      <w:lvlText w:val="%4)"/>
      <w:lvlJc w:val="start"/>
      <w:pPr>
        <w:tabs>
          <w:tab w:val="num" w:pos="720"/>
        </w:tabs>
        <w:ind w:start="2160" w:hanging="720"/>
      </w:pPr>
      <w:rPr>
        <w:u w:val="none"/>
        <w:color w:val="0000FF"/>
      </w:rPr>
    </w:lvl>
    <w:lvl w:ilvl="4">
      <w:start w:val="1"/>
      <w:numFmt w:val="decimal"/>
      <w:lvlText w:val="(%5)"/>
      <w:lvlJc w:val="start"/>
      <w:pPr>
        <w:tabs>
          <w:tab w:val="num" w:pos="720"/>
        </w:tabs>
        <w:ind w:start="2880" w:hanging="720"/>
      </w:pPr>
      <w:rPr>
        <w:u w:val="none"/>
        <w:color w:val="0000FF"/>
      </w:rPr>
    </w:lvl>
    <w:lvl w:ilvl="5">
      <w:start w:val="1"/>
      <w:numFmt w:val="lowerLetter"/>
      <w:lvlText w:val="(%6)"/>
      <w:lvlJc w:val="start"/>
      <w:pPr>
        <w:tabs>
          <w:tab w:val="num" w:pos="720"/>
        </w:tabs>
        <w:ind w:start="3600" w:hanging="720"/>
      </w:pPr>
      <w:rPr>
        <w:u w:val="none"/>
        <w:color w:val="0000FF"/>
      </w:rPr>
    </w:lvl>
    <w:lvl w:ilvl="6">
      <w:start w:val="1"/>
      <w:numFmt w:val="lowerRoman"/>
      <w:lvlText w:val="(%7)"/>
      <w:lvlJc w:val="start"/>
      <w:pPr>
        <w:tabs>
          <w:tab w:val="num" w:pos="720"/>
        </w:tabs>
        <w:ind w:start="4320" w:hanging="720"/>
      </w:pPr>
      <w:rPr>
        <w:u w:val="none"/>
        <w:color w:val="0000FF"/>
      </w:rPr>
    </w:lvl>
    <w:lvl w:ilvl="7">
      <w:start w:val="1"/>
      <w:numFmt w:val="lowerLetter"/>
      <w:lvlText w:val="(%8)"/>
      <w:lvlJc w:val="start"/>
      <w:pPr>
        <w:tabs>
          <w:tab w:val="num" w:pos="720"/>
        </w:tabs>
        <w:ind w:start="5040" w:hanging="720"/>
      </w:pPr>
      <w:rPr>
        <w:u w:val="none"/>
        <w:color w:val="0000FF"/>
      </w:rPr>
    </w:lvl>
    <w:lvl w:ilvl="8">
      <w:start w:val="1"/>
      <w:numFmt w:val="lowerRoman"/>
      <w:lvlText w:val="(%9)"/>
      <w:lvlJc w:val="start"/>
      <w:pPr>
        <w:tabs>
          <w:tab w:val="num" w:pos="720"/>
        </w:tabs>
        <w:ind w:start="5760" w:hanging="720"/>
      </w:pPr>
      <w:rPr>
        <w:u w:val="none"/>
        <w:color w:val="0000FF"/>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NewCenturySchlbk" w:hAnsi="NewCenturySchlbk" w:eastAsia="Times New Roman" w:cs="NewCenturySchlbk"/>
      <w:color w:val="auto"/>
      <w:sz w:val="24"/>
      <w:szCs w:val="20"/>
      <w:lang w:val="en-US" w:eastAsia="zh-CN" w:bidi="hi-IN"/>
    </w:rPr>
  </w:style>
  <w:style w:type="paragraph" w:styleId="Heading1">
    <w:name w:val="heading 1"/>
    <w:basedOn w:val="Normal"/>
    <w:next w:val="Normal"/>
    <w:qFormat/>
    <w:pPr>
      <w:keepNext w:val="true"/>
      <w:keepLines/>
      <w:numPr>
        <w:ilvl w:val="0"/>
        <w:numId w:val="2"/>
      </w:numPr>
      <w:spacing w:lineRule="exact" w:line="480" w:before="240" w:after="120"/>
      <w:jc w:val="center"/>
      <w:outlineLvl w:val="0"/>
    </w:pPr>
    <w:rPr>
      <w:rFonts w:ascii="NewCenturySchlbk" w:hAnsi="NewCenturySchlbk" w:cs="NewCenturySchlbk"/>
      <w:b/>
      <w:caps/>
      <w:sz w:val="24"/>
      <w:u w:val="single"/>
    </w:rPr>
  </w:style>
  <w:style w:type="paragraph" w:styleId="Heading2">
    <w:name w:val="heading 2"/>
    <w:basedOn w:val="Heading1"/>
    <w:next w:val="Normal"/>
    <w:qFormat/>
    <w:pPr>
      <w:numPr>
        <w:ilvl w:val="0"/>
        <w:numId w:val="2"/>
      </w:numPr>
      <w:jc w:val="start"/>
      <w:outlineLvl w:val="1"/>
    </w:pPr>
    <w:rPr>
      <w:caps w:val="false"/>
      <w:smallCaps w:val="false"/>
    </w:rPr>
  </w:style>
  <w:style w:type="paragraph" w:styleId="Heading3">
    <w:name w:val="heading 3"/>
    <w:basedOn w:val="Heading2"/>
    <w:next w:val="Normal"/>
    <w:qFormat/>
    <w:pPr>
      <w:numPr>
        <w:ilvl w:val="0"/>
        <w:numId w:val="2"/>
      </w:numPr>
      <w:outlineLvl w:val="2"/>
    </w:pPr>
    <w:rPr/>
  </w:style>
  <w:style w:type="paragraph" w:styleId="Heading4">
    <w:name w:val="heading 4"/>
    <w:basedOn w:val="Heading2"/>
    <w:next w:val="Normal"/>
    <w:qFormat/>
    <w:pPr>
      <w:numPr>
        <w:ilvl w:val="0"/>
        <w:numId w:val="2"/>
      </w:numPr>
      <w:outlineLvl w:val="3"/>
    </w:pPr>
    <w:rPr/>
  </w:style>
  <w:style w:type="paragraph" w:styleId="Heading5">
    <w:name w:val="heading 5"/>
    <w:basedOn w:val="Heading2"/>
    <w:next w:val="Normal"/>
    <w:qFormat/>
    <w:pPr>
      <w:numPr>
        <w:ilvl w:val="0"/>
        <w:numId w:val="2"/>
      </w:numPr>
      <w:outlineLvl w:val="4"/>
    </w:pPr>
    <w:rPr/>
  </w:style>
  <w:style w:type="paragraph" w:styleId="Heading6">
    <w:name w:val="heading 6"/>
    <w:basedOn w:val="Heading2"/>
    <w:next w:val="Normal"/>
    <w:qFormat/>
    <w:pPr>
      <w:numPr>
        <w:ilvl w:val="0"/>
        <w:numId w:val="2"/>
      </w:numPr>
      <w:outlineLvl w:val="5"/>
    </w:pPr>
    <w:rPr/>
  </w:style>
  <w:style w:type="paragraph" w:styleId="Heading7">
    <w:name w:val="heading 7"/>
    <w:basedOn w:val="Heading2"/>
    <w:next w:val="Normal"/>
    <w:qFormat/>
    <w:pPr>
      <w:numPr>
        <w:ilvl w:val="0"/>
        <w:numId w:val="2"/>
      </w:numPr>
      <w:outlineLvl w:val="6"/>
    </w:pPr>
    <w:rPr/>
  </w:style>
  <w:style w:type="paragraph" w:styleId="Heading8">
    <w:name w:val="heading 8"/>
    <w:basedOn w:val="Heading2"/>
    <w:next w:val="Normal"/>
    <w:qFormat/>
    <w:pPr>
      <w:numPr>
        <w:ilvl w:val="0"/>
        <w:numId w:val="2"/>
      </w:numPr>
      <w:outlineLvl w:val="7"/>
    </w:pPr>
    <w:rPr/>
  </w:style>
  <w:style w:type="paragraph" w:styleId="Heading9">
    <w:name w:val="heading 9"/>
    <w:basedOn w:val="Heading2"/>
    <w:next w:val="Normal"/>
    <w:qFormat/>
    <w:pPr>
      <w:numPr>
        <w:ilvl w:val="0"/>
        <w:numId w:val="2"/>
      </w:numPr>
      <w:outlineLvl w:val="8"/>
    </w:pPr>
    <w:rPr/>
  </w:style>
  <w:style w:type="character" w:styleId="WW8Num1z0">
    <w:name w:val="WW8Num1z0"/>
    <w:qFormat/>
    <w:rPr>
      <w:color w:val="0000FF"/>
      <w:u w:val="none"/>
    </w:rPr>
  </w:style>
  <w:style w:type="character" w:styleId="DefaultParagraphFont">
    <w:name w:val="Default Paragraph Font"/>
    <w:qFormat/>
    <w:rPr/>
  </w:style>
  <w:style w:type="character" w:styleId="LineNumber">
    <w:name w:val="line number"/>
    <w:basedOn w:val="DefaultParagraphFont"/>
    <w:rPr/>
  </w:style>
  <w:style w:type="character" w:styleId="PageNumber">
    <w:name w:val="page number"/>
    <w:basedOn w:val="DefaultParagraphFont"/>
    <w:rPr/>
  </w:style>
  <w:style w:type="character" w:styleId="zDocDate">
    <w:name w:val="zDocDate"/>
    <w:basedOn w:val="DefaultParagraphFont"/>
    <w:qFormat/>
    <w:rPr>
      <w:rFonts w:ascii="NewCenturySchlbk" w:hAnsi="NewCenturySchlbk" w:cs="NewCenturySchlbk"/>
      <w:color w:val="0000FF"/>
      <w:sz w:val="24"/>
      <w:u w:val="none"/>
    </w:rPr>
  </w:style>
  <w:style w:type="character" w:styleId="CommentReference">
    <w:name w:val="Comment Reference"/>
    <w:basedOn w:val="DefaultParagraphFont"/>
    <w:qFormat/>
    <w:rPr>
      <w:color w:val="0000FF"/>
      <w:u w:val="double"/>
    </w:rPr>
  </w:style>
  <w:style w:type="character" w:styleId="FootnoteCharacters">
    <w:name w:val="Footnote Characters"/>
    <w:basedOn w:val="DefaultParagraphFont"/>
    <w:qFormat/>
    <w:rPr>
      <w:color w:val="FF0000"/>
      <w:sz w:val="16"/>
      <w:u w:val="single"/>
      <w:vertAlign w:val="superscript"/>
    </w:rPr>
  </w:style>
  <w:style w:type="character" w:styleId="zzAttorneysFor">
    <w:name w:val="zzAttorneysFor"/>
    <w:basedOn w:val="DefaultParagraphFont"/>
    <w:qFormat/>
    <w:rPr/>
  </w:style>
  <w:style w:type="character" w:styleId="FooterPageNum">
    <w:name w:val="FooterPageNum"/>
    <w:basedOn w:val="DefaultParagraphFont"/>
    <w:qFormat/>
    <w:rPr>
      <w:rFonts w:ascii="NewCenturySchlbk" w:hAnsi="NewCenturySchlbk" w:cs="NewCenturySchlbk"/>
      <w:sz w:val="20"/>
    </w:rPr>
  </w:style>
  <w:style w:type="paragraph" w:styleId="Heading">
    <w:name w:val="Heading"/>
    <w:basedOn w:val="Normal"/>
    <w:next w:val="BodyText"/>
    <w:qFormat/>
    <w:pPr>
      <w:keepNext w:val="true"/>
      <w:keepLines/>
      <w:suppressLineNumbers/>
      <w:spacing w:before="360" w:after="120"/>
      <w:jc w:val="center"/>
    </w:pPr>
    <w:rPr>
      <w:b/>
      <w:i/>
      <w:sz w:val="26"/>
    </w:rPr>
  </w:style>
  <w:style w:type="paragraph" w:styleId="BodyText">
    <w:name w:val="Body Text"/>
    <w:basedOn w:val="Normal"/>
    <w:pPr>
      <w:spacing w:lineRule="atLeast" w:line="240" w:before="0" w:after="240"/>
      <w:ind w:firstLine="360" w:start="0" w:end="0"/>
      <w:jc w:val="both"/>
    </w:pPr>
    <w:rPr>
      <w:kern w:val="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ing1Text">
    <w:name w:val="Heading 1 Text"/>
    <w:basedOn w:val="Normal"/>
    <w:qFormat/>
    <w:pPr>
      <w:spacing w:lineRule="atLeast" w:line="480"/>
      <w:ind w:firstLine="720" w:start="0" w:end="0"/>
    </w:pPr>
    <w:rPr>
      <w:rFonts w:ascii="NewCenturySchlbk" w:hAnsi="NewCenturySchlbk" w:cs="NewCenturySchlbk"/>
      <w:sz w:val="24"/>
    </w:rPr>
  </w:style>
  <w:style w:type="paragraph" w:styleId="Heading2Text">
    <w:name w:val="Heading 2 Text"/>
    <w:basedOn w:val="Heading1Text"/>
    <w:qFormat/>
    <w:pPr/>
    <w:rPr/>
  </w:style>
  <w:style w:type="paragraph" w:styleId="Heading3Text">
    <w:name w:val="Heading 3 Text"/>
    <w:basedOn w:val="Heading2Text"/>
    <w:qFormat/>
    <w:pPr>
      <w:ind w:firstLine="720" w:start="720" w:end="0"/>
    </w:pPr>
    <w:rPr/>
  </w:style>
  <w:style w:type="paragraph" w:styleId="Index1">
    <w:name w:val="index 1"/>
    <w:basedOn w:val="Normal"/>
    <w:next w:val="Index2"/>
    <w:pPr>
      <w:keepNext w:val="true"/>
      <w:keepLines/>
      <w:spacing w:lineRule="atLeast" w:line="240" w:before="240" w:after="0"/>
      <w:jc w:val="center"/>
    </w:pPr>
    <w:rPr>
      <w:rFonts w:ascii="NewCenturySchlbk" w:hAnsi="NewCenturySchlbk" w:cs="NewCenturySchlbk"/>
      <w:b/>
      <w:sz w:val="24"/>
    </w:rPr>
  </w:style>
  <w:style w:type="paragraph" w:styleId="Index2">
    <w:name w:val="index 2"/>
    <w:basedOn w:val="Normal"/>
    <w:pPr>
      <w:keepNext w:val="true"/>
      <w:keepLines/>
      <w:tabs>
        <w:tab w:val="clear" w:pos="720"/>
        <w:tab w:val="right" w:pos="8640" w:leader="dot"/>
      </w:tabs>
      <w:spacing w:lineRule="atLeast" w:line="240" w:before="120" w:after="0"/>
      <w:ind w:hanging="360" w:start="360" w:end="1440"/>
    </w:pPr>
    <w:rPr>
      <w:rFonts w:ascii="NewCenturySchlbk" w:hAnsi="NewCenturySchlbk" w:cs="NewCenturySchlbk"/>
      <w:sz w:val="24"/>
    </w:rPr>
  </w:style>
  <w:style w:type="paragraph" w:styleId="Index3">
    <w:name w:val="index 3"/>
    <w:basedOn w:val="Normal"/>
    <w:pPr>
      <w:tabs>
        <w:tab w:val="left" w:pos="720" w:leader="none"/>
        <w:tab w:val="right" w:pos="8640" w:leader="dot"/>
      </w:tabs>
      <w:spacing w:lineRule="exact" w:line="240"/>
      <w:ind w:hanging="0" w:start="360" w:end="1440"/>
    </w:pPr>
    <w:rPr>
      <w:rFonts w:ascii="NewCenturySchlbk" w:hAnsi="NewCenturySchlbk" w:cs="NewCenturySchlbk"/>
      <w:sz w:val="24"/>
    </w:rPr>
  </w:style>
  <w:style w:type="paragraph" w:styleId="Index4">
    <w:name w:val="Index 4"/>
    <w:basedOn w:val="Normal"/>
    <w:next w:val="Normal"/>
    <w:qFormat/>
    <w:pPr>
      <w:ind w:hanging="0" w:start="1080" w:end="0"/>
    </w:pPr>
    <w:rPr>
      <w:rFonts w:ascii="NewCenturySchlbk" w:hAnsi="NewCenturySchlbk" w:cs="NewCenturySchlbk"/>
      <w:sz w:val="24"/>
    </w:rPr>
  </w:style>
  <w:style w:type="paragraph" w:styleId="Index5">
    <w:name w:val="Index 5"/>
    <w:basedOn w:val="Normal"/>
    <w:next w:val="Normal"/>
    <w:qFormat/>
    <w:pPr>
      <w:ind w:hanging="0" w:start="1440" w:end="0"/>
    </w:pPr>
    <w:rPr>
      <w:rFonts w:ascii="NewCenturySchlbk" w:hAnsi="NewCenturySchlbk" w:cs="NewCenturySchlbk"/>
      <w:sz w:val="24"/>
    </w:rPr>
  </w:style>
  <w:style w:type="paragraph" w:styleId="Index6">
    <w:name w:val="Index 6"/>
    <w:basedOn w:val="Normal"/>
    <w:next w:val="Normal"/>
    <w:qFormat/>
    <w:pPr>
      <w:ind w:hanging="0" w:start="1800" w:end="0"/>
    </w:pPr>
    <w:rPr>
      <w:rFonts w:ascii="NewCenturySchlbk" w:hAnsi="NewCenturySchlbk" w:cs="NewCenturySchlbk"/>
      <w:sz w:val="24"/>
    </w:rPr>
  </w:style>
  <w:style w:type="paragraph" w:styleId="Index7">
    <w:name w:val="Index 7"/>
    <w:basedOn w:val="Normal"/>
    <w:next w:val="Normal"/>
    <w:qFormat/>
    <w:pPr>
      <w:ind w:hanging="0" w:start="2160" w:end="0"/>
    </w:pPr>
    <w:rPr>
      <w:rFonts w:ascii="NewCenturySchlbk" w:hAnsi="NewCenturySchlbk" w:cs="NewCenturySchlbk"/>
      <w:sz w:val="24"/>
    </w:rPr>
  </w:style>
  <w:style w:type="paragraph" w:styleId="InterrogResponse">
    <w:name w:val="Interrog Response"/>
    <w:basedOn w:val="Normal"/>
    <w:qFormat/>
    <w:pPr>
      <w:spacing w:lineRule="exact" w:line="480"/>
    </w:pPr>
    <w:rPr>
      <w:rFonts w:ascii="NewCenturySchlbk" w:hAnsi="NewCenturySchlbk" w:cs="NewCenturySchlbk"/>
      <w:b/>
      <w:sz w:val="24"/>
    </w:rPr>
  </w:style>
  <w:style w:type="paragraph" w:styleId="Interrogatory">
    <w:name w:val="Interrogatory"/>
    <w:basedOn w:val="Normal"/>
    <w:next w:val="Heading1Text"/>
    <w:qFormat/>
    <w:pPr>
      <w:spacing w:lineRule="exact" w:line="480"/>
    </w:pPr>
    <w:rPr>
      <w:rFonts w:ascii="NewCenturySchlbk" w:hAnsi="NewCenturySchlbk" w:cs="NewCenturySchlbk"/>
      <w:b/>
      <w:sz w:val="24"/>
    </w:rPr>
  </w:style>
  <w:style w:type="paragraph" w:styleId="Interrogatory1">
    <w:name w:val="Interrogatory 1"/>
    <w:basedOn w:val="Normal"/>
    <w:next w:val="Normal"/>
    <w:qFormat/>
    <w:pPr>
      <w:keepNext w:val="true"/>
      <w:keepLines/>
      <w:spacing w:before="240" w:after="0"/>
    </w:pPr>
    <w:rPr>
      <w:rFonts w:ascii="NewCenturySchlbk" w:hAnsi="NewCenturySchlbk" w:cs="NewCenturySchlbk"/>
      <w:b/>
      <w:sz w:val="24"/>
      <w:u w:val="single"/>
    </w:rPr>
  </w:style>
  <w:style w:type="paragraph" w:styleId="Interrogatory1Text">
    <w:name w:val="Interrogatory 1 Text"/>
    <w:basedOn w:val="Normal"/>
    <w:qFormat/>
    <w:pPr>
      <w:spacing w:lineRule="exact" w:line="480"/>
      <w:ind w:firstLine="720" w:start="0" w:end="0"/>
    </w:pPr>
    <w:rPr>
      <w:rFonts w:ascii="NewCenturySchlbk" w:hAnsi="NewCenturySchlbk" w:cs="NewCenturySchlbk"/>
      <w:sz w:val="24"/>
    </w:rPr>
  </w:style>
  <w:style w:type="paragraph" w:styleId="Interrogatory2">
    <w:name w:val="Interrogatory 2"/>
    <w:basedOn w:val="Interrogatory1"/>
    <w:next w:val="Normal"/>
    <w:qFormat/>
    <w:pPr/>
    <w:rPr/>
  </w:style>
  <w:style w:type="paragraph" w:styleId="Interrogatory2Text">
    <w:name w:val="Interrogatory 2 Text"/>
    <w:basedOn w:val="Interrogatory1Text"/>
    <w:qFormat/>
    <w:pPr/>
    <w:rPr/>
  </w:style>
  <w:style w:type="paragraph" w:styleId="Interrogatory3">
    <w:name w:val="Interrogatory 3"/>
    <w:basedOn w:val="Interrogatory1"/>
    <w:next w:val="Normal"/>
    <w:qFormat/>
    <w:pPr/>
    <w:rPr/>
  </w:style>
  <w:style w:type="paragraph" w:styleId="Interrogatory3Text">
    <w:name w:val="Interrogatory 3 Text"/>
    <w:basedOn w:val="Interrogatory1Text"/>
    <w:qFormat/>
    <w:pPr/>
    <w:rPr/>
  </w:style>
  <w:style w:type="paragraph" w:styleId="Interrogatory4">
    <w:name w:val="Interrogatory 4"/>
    <w:basedOn w:val="Interrogatory1"/>
    <w:next w:val="Normal"/>
    <w:qFormat/>
    <w:pPr/>
    <w:rPr/>
  </w:style>
  <w:style w:type="paragraph" w:styleId="Interrogatory4Text">
    <w:name w:val="Interrogatory 4 Text"/>
    <w:basedOn w:val="Interrogatory1Text"/>
    <w:qFormat/>
    <w:pPr/>
    <w:rPr/>
  </w:style>
  <w:style w:type="paragraph" w:styleId="Interrogatory5">
    <w:name w:val="Interrogatory 5"/>
    <w:basedOn w:val="Interrogatory1"/>
    <w:next w:val="Normal"/>
    <w:qFormat/>
    <w:pPr/>
    <w:rPr/>
  </w:style>
  <w:style w:type="paragraph" w:styleId="Interrogatory5Text">
    <w:name w:val="Interrogatory 5 Text"/>
    <w:basedOn w:val="Interrogatory1Text"/>
    <w:qFormat/>
    <w:pPr/>
    <w:rPr/>
  </w:style>
  <w:style w:type="paragraph" w:styleId="Interrogatory6">
    <w:name w:val="Interrogatory 6"/>
    <w:basedOn w:val="Interrogatory1"/>
    <w:next w:val="Normal"/>
    <w:qFormat/>
    <w:pPr/>
    <w:rPr/>
  </w:style>
  <w:style w:type="paragraph" w:styleId="Interrogatory6Text">
    <w:name w:val="Interrogatory 6 Text"/>
    <w:basedOn w:val="Interrogatory1Text"/>
    <w:qFormat/>
    <w:pPr/>
    <w:rPr/>
  </w:style>
  <w:style w:type="paragraph" w:styleId="Interrogatory7">
    <w:name w:val="Interrogatory 7"/>
    <w:basedOn w:val="Interrogatory1"/>
    <w:next w:val="Normal"/>
    <w:qFormat/>
    <w:pPr/>
    <w:rPr/>
  </w:style>
  <w:style w:type="paragraph" w:styleId="Interrogatory7Text">
    <w:name w:val="Interrogatory 7 Text"/>
    <w:basedOn w:val="Interrogatory1Text"/>
    <w:qFormat/>
    <w:pPr/>
    <w:rPr/>
  </w:style>
  <w:style w:type="paragraph" w:styleId="Interrogatory8">
    <w:name w:val="Interrogatory 8"/>
    <w:basedOn w:val="Interrogatory1"/>
    <w:next w:val="Normal"/>
    <w:qFormat/>
    <w:pPr/>
    <w:rPr/>
  </w:style>
  <w:style w:type="paragraph" w:styleId="Interrogatory8Text">
    <w:name w:val="Interrogatory 8 Text"/>
    <w:basedOn w:val="Interrogatory1Text"/>
    <w:qFormat/>
    <w:pPr/>
    <w:rPr/>
  </w:style>
  <w:style w:type="paragraph" w:styleId="IndexHeading">
    <w:name w:val="index heading"/>
    <w:basedOn w:val="Normal"/>
    <w:next w:val="Index1"/>
    <w:pPr/>
    <w:rPr>
      <w:rFonts w:ascii="NewCenturySchlbk" w:hAnsi="NewCenturySchlbk" w:cs="NewCenturySchlbk"/>
      <w:sz w:val="24"/>
    </w:rPr>
  </w:style>
  <w:style w:type="paragraph" w:styleId="InsideAddress">
    <w:name w:val="Inside Address"/>
    <w:basedOn w:val="Normal"/>
    <w:qFormat/>
    <w:pPr>
      <w:spacing w:lineRule="exact" w:line="480"/>
    </w:pPr>
    <w:rPr>
      <w:rFonts w:ascii="NewCenturySchlbk" w:hAnsi="NewCenturySchlbk" w:cs="NewCenturySchlbk"/>
      <w:color w:val="FF0000"/>
      <w:sz w:val="24"/>
    </w:rPr>
  </w:style>
  <w:style w:type="paragraph" w:styleId="LetterText">
    <w:name w:val="Letter Text"/>
    <w:basedOn w:val="Normal"/>
    <w:qFormat/>
    <w:pPr>
      <w:spacing w:before="240" w:after="0"/>
      <w:ind w:firstLine="1440" w:start="0" w:end="0"/>
    </w:pPr>
    <w:rPr>
      <w:rFonts w:ascii="NewCenturySchlbk" w:hAnsi="NewCenturySchlbk" w:cs="NewCenturySchlbk"/>
      <w:sz w:val="24"/>
    </w:rPr>
  </w:style>
  <w:style w:type="paragraph" w:styleId="ListBullet">
    <w:name w:val="List Bullet"/>
    <w:basedOn w:val="Normal"/>
    <w:pPr>
      <w:ind w:hanging="720" w:start="720" w:end="0"/>
    </w:pPr>
    <w:rPr>
      <w:rFonts w:ascii="NewCenturySchlbk" w:hAnsi="NewCenturySchlbk" w:cs="NewCenturySchlbk"/>
      <w:sz w:val="24"/>
    </w:rPr>
  </w:style>
  <w:style w:type="paragraph" w:styleId="ListBullet2">
    <w:name w:val="List Bullet 2"/>
    <w:basedOn w:val="ListBullet"/>
    <w:pPr>
      <w:ind w:hanging="720" w:start="1440" w:end="0"/>
    </w:pPr>
    <w:rPr/>
  </w:style>
  <w:style w:type="paragraph" w:styleId="ListBullet3">
    <w:name w:val="List Bullet 3"/>
    <w:basedOn w:val="ListBullet"/>
    <w:pPr>
      <w:ind w:hanging="720" w:start="2160" w:end="0"/>
    </w:pPr>
    <w:rPr/>
  </w:style>
  <w:style w:type="paragraph" w:styleId="ListBullet4">
    <w:name w:val="List Bullet 4"/>
    <w:basedOn w:val="ListBullet"/>
    <w:pPr>
      <w:ind w:hanging="720" w:start="2880" w:end="0"/>
    </w:pPr>
    <w:rPr/>
  </w:style>
  <w:style w:type="paragraph" w:styleId="ListBullet5">
    <w:name w:val="List Bullet 5"/>
    <w:basedOn w:val="ListBullet"/>
    <w:pPr>
      <w:ind w:hanging="720" w:start="3600" w:end="0"/>
    </w:pPr>
    <w:rPr/>
  </w:style>
  <w:style w:type="paragraph" w:styleId="List6">
    <w:name w:val="List 6"/>
    <w:basedOn w:val="ListBullet"/>
    <w:qFormat/>
    <w:pPr>
      <w:ind w:hanging="720" w:start="4320" w:end="0"/>
    </w:pPr>
    <w:rPr/>
  </w:style>
  <w:style w:type="paragraph" w:styleId="List7">
    <w:name w:val="List 7"/>
    <w:basedOn w:val="ListBullet"/>
    <w:qFormat/>
    <w:pPr>
      <w:ind w:hanging="720" w:start="5040" w:end="0"/>
    </w:pPr>
    <w:rPr/>
  </w:style>
  <w:style w:type="paragraph" w:styleId="MemoText">
    <w:name w:val="Memo Text"/>
    <w:basedOn w:val="Normal"/>
    <w:qFormat/>
    <w:pPr>
      <w:spacing w:before="240" w:after="0"/>
      <w:ind w:hanging="0" w:start="0" w:end="-360"/>
    </w:pPr>
    <w:rPr/>
  </w:style>
  <w:style w:type="paragraph" w:styleId="NormalIndent">
    <w:name w:val="Normal Indent"/>
    <w:basedOn w:val="Normal"/>
    <w:qFormat/>
    <w:pPr>
      <w:ind w:firstLine="1440" w:start="0" w:end="0"/>
    </w:pPr>
    <w:rPr/>
  </w:style>
  <w:style w:type="paragraph" w:styleId="PlainText">
    <w:name w:val="Plain Text"/>
    <w:basedOn w:val="Normal"/>
    <w:qFormat/>
    <w:pPr/>
    <w:rPr/>
  </w:style>
  <w:style w:type="paragraph" w:styleId="PleadingText">
    <w:name w:val="Pleading Text"/>
    <w:basedOn w:val="Normal"/>
    <w:qFormat/>
    <w:pPr>
      <w:spacing w:lineRule="exact" w:line="480"/>
    </w:pPr>
    <w:rPr/>
  </w:style>
  <w:style w:type="paragraph" w:styleId="Quote1">
    <w:name w:val="Quote 1"/>
    <w:basedOn w:val="Normal"/>
    <w:qFormat/>
    <w:pPr>
      <w:spacing w:before="240" w:after="0"/>
      <w:ind w:hanging="0" w:start="1440" w:end="1440"/>
    </w:pPr>
    <w:rPr/>
  </w:style>
  <w:style w:type="paragraph" w:styleId="Quote2">
    <w:name w:val="Quote 2"/>
    <w:basedOn w:val="Quote1"/>
    <w:qFormat/>
    <w:pPr>
      <w:ind w:hanging="0" w:start="2160" w:end="2160"/>
    </w:pPr>
    <w:rPr/>
  </w:style>
  <w:style w:type="paragraph" w:styleId="Quote3">
    <w:name w:val="Quote 3"/>
    <w:basedOn w:val="Quote2"/>
    <w:qFormat/>
    <w:pPr>
      <w:ind w:hanging="0" w:start="2880" w:end="2880"/>
    </w:pPr>
    <w:rPr/>
  </w:style>
  <w:style w:type="paragraph" w:styleId="Quote4">
    <w:name w:val="Quote 4"/>
    <w:basedOn w:val="Quote2"/>
    <w:qFormat/>
    <w:pPr>
      <w:ind w:hanging="0" w:start="3600" w:end="3600"/>
    </w:pPr>
    <w:rPr/>
  </w:style>
  <w:style w:type="paragraph" w:styleId="Quote5">
    <w:name w:val="Quote 5"/>
    <w:basedOn w:val="Quote2"/>
    <w:qFormat/>
    <w:pPr>
      <w:ind w:hanging="0" w:start="4320" w:end="4320"/>
    </w:pPr>
    <w:rPr/>
  </w:style>
  <w:style w:type="paragraph" w:styleId="Quote6">
    <w:name w:val="Quote 6"/>
    <w:basedOn w:val="Quote2"/>
    <w:qFormat/>
    <w:pPr>
      <w:ind w:hanging="0" w:start="4320" w:end="4320"/>
    </w:pPr>
    <w:rPr/>
  </w:style>
  <w:style w:type="paragraph" w:styleId="Quote7">
    <w:name w:val="Quote 7"/>
    <w:basedOn w:val="Quote2"/>
    <w:qFormat/>
    <w:pPr>
      <w:ind w:hanging="0" w:start="4320" w:end="4320"/>
    </w:pPr>
    <w:rPr/>
  </w:style>
  <w:style w:type="paragraph" w:styleId="Quote8">
    <w:name w:val="Quote 8"/>
    <w:basedOn w:val="Quote2"/>
    <w:qFormat/>
    <w:pPr>
      <w:ind w:hanging="0" w:start="4320" w:end="4320"/>
    </w:pPr>
    <w:rPr/>
  </w:style>
  <w:style w:type="paragraph" w:styleId="Quote9">
    <w:name w:val="Quote 9"/>
    <w:basedOn w:val="Quote2"/>
    <w:qFormat/>
    <w:pPr>
      <w:ind w:hanging="0" w:start="4320" w:end="4320"/>
    </w:pPr>
    <w:rPr/>
  </w:style>
  <w:style w:type="paragraph" w:styleId="QuoteFootnote">
    <w:name w:val="Quote Footnote"/>
    <w:basedOn w:val="Normal"/>
    <w:qFormat/>
    <w:pPr>
      <w:spacing w:lineRule="atLeast" w:line="240"/>
      <w:ind w:hanging="0" w:start="1440" w:end="0"/>
    </w:pPr>
    <w:rPr/>
  </w:style>
  <w:style w:type="paragraph" w:styleId="TOC1">
    <w:name w:val="toc 1"/>
    <w:basedOn w:val="Normal"/>
    <w:pPr>
      <w:tabs>
        <w:tab w:val="left" w:pos="720" w:leader="none"/>
        <w:tab w:val="right" w:pos="8640" w:leader="dot"/>
      </w:tabs>
      <w:spacing w:lineRule="atLeast" w:line="240" w:before="240" w:after="0"/>
      <w:ind w:hanging="720" w:start="720" w:end="1440"/>
    </w:pPr>
    <w:rPr>
      <w:caps/>
    </w:rPr>
  </w:style>
  <w:style w:type="paragraph" w:styleId="TOC2">
    <w:name w:val="toc 2"/>
    <w:basedOn w:val="TOC1"/>
    <w:next w:val="Normal"/>
    <w:pPr>
      <w:tabs>
        <w:tab w:val="clear" w:pos="720"/>
        <w:tab w:val="left" w:pos="1440" w:leader="none"/>
        <w:tab w:val="right" w:pos="8640" w:leader="dot"/>
      </w:tabs>
      <w:ind w:hanging="720" w:start="1440" w:end="1440"/>
    </w:pPr>
    <w:rPr>
      <w:caps w:val="false"/>
      <w:smallCaps w:val="false"/>
    </w:rPr>
  </w:style>
  <w:style w:type="paragraph" w:styleId="TOC3">
    <w:name w:val="toc 3"/>
    <w:basedOn w:val="TOC1"/>
    <w:next w:val="Normal"/>
    <w:pPr>
      <w:tabs>
        <w:tab w:val="clear" w:pos="720"/>
        <w:tab w:val="left" w:pos="2160" w:leader="none"/>
        <w:tab w:val="right" w:pos="8640" w:leader="dot"/>
      </w:tabs>
      <w:ind w:hanging="720" w:start="2160" w:end="1440"/>
    </w:pPr>
    <w:rPr>
      <w:caps w:val="false"/>
      <w:smallCaps w:val="false"/>
    </w:rPr>
  </w:style>
  <w:style w:type="paragraph" w:styleId="TOC4">
    <w:name w:val="toc 4"/>
    <w:basedOn w:val="TOC1"/>
    <w:next w:val="Normal"/>
    <w:pPr>
      <w:tabs>
        <w:tab w:val="clear" w:pos="720"/>
        <w:tab w:val="left" w:pos="2880" w:leader="none"/>
        <w:tab w:val="right" w:pos="8640" w:leader="dot"/>
      </w:tabs>
      <w:ind w:hanging="720" w:start="2880" w:end="1440"/>
    </w:pPr>
    <w:rPr>
      <w:caps w:val="false"/>
      <w:smallCaps w:val="false"/>
    </w:rPr>
  </w:style>
  <w:style w:type="paragraph" w:styleId="TOC5">
    <w:name w:val="toc 5"/>
    <w:basedOn w:val="TOC1"/>
    <w:next w:val="Normal"/>
    <w:pPr>
      <w:tabs>
        <w:tab w:val="clear" w:pos="720"/>
        <w:tab w:val="left" w:pos="3600" w:leader="none"/>
        <w:tab w:val="right" w:pos="8640" w:leader="dot"/>
      </w:tabs>
      <w:ind w:hanging="720" w:start="3600" w:end="1440"/>
    </w:pPr>
    <w:rPr>
      <w:caps w:val="false"/>
      <w:smallCaps w:val="false"/>
    </w:rPr>
  </w:style>
  <w:style w:type="paragraph" w:styleId="TOC6">
    <w:name w:val="toc 6"/>
    <w:basedOn w:val="TOC1"/>
    <w:next w:val="Normal"/>
    <w:pPr>
      <w:tabs>
        <w:tab w:val="clear" w:pos="720"/>
        <w:tab w:val="left" w:pos="4320" w:leader="none"/>
        <w:tab w:val="right" w:pos="8640" w:leader="dot"/>
      </w:tabs>
      <w:ind w:hanging="720" w:start="4320" w:end="1440"/>
    </w:pPr>
    <w:rPr>
      <w:caps w:val="false"/>
      <w:smallCaps w:val="false"/>
    </w:rPr>
  </w:style>
  <w:style w:type="paragraph" w:styleId="TOC7">
    <w:name w:val="toc 7"/>
    <w:basedOn w:val="TOC1"/>
    <w:next w:val="Normal"/>
    <w:pPr>
      <w:tabs>
        <w:tab w:val="clear" w:pos="720"/>
        <w:tab w:val="left" w:pos="5040" w:leader="none"/>
        <w:tab w:val="right" w:pos="8640" w:leader="dot"/>
      </w:tabs>
      <w:ind w:hanging="720" w:start="5040" w:end="1440"/>
    </w:pPr>
    <w:rPr>
      <w:caps w:val="false"/>
      <w:smallCaps w:val="false"/>
    </w:rPr>
  </w:style>
  <w:style w:type="paragraph" w:styleId="TOCColumnHeading">
    <w:name w:val="TOC Column Heading"/>
    <w:basedOn w:val="Normal"/>
    <w:qFormat/>
    <w:pPr/>
    <w:rPr>
      <w:sz w:val="20"/>
    </w:rPr>
  </w:style>
  <w:style w:type="paragraph" w:styleId="TOCTitle">
    <w:name w:val="TOC Title"/>
    <w:basedOn w:val="Normal"/>
    <w:qFormat/>
    <w:pPr>
      <w:keepNext w:val="true"/>
      <w:keepLines/>
      <w:spacing w:before="120" w:after="120"/>
      <w:jc w:val="center"/>
    </w:pPr>
    <w:rPr>
      <w:b/>
      <w:sz w:val="28"/>
    </w:rPr>
  </w:style>
  <w:style w:type="paragraph" w:styleId="TOCtable">
    <w:name w:val="TOCtable"/>
    <w:basedOn w:val="Normal"/>
    <w:qFormat/>
    <w:pPr>
      <w:shd w:fill="000000" w:val="clear"/>
      <w:spacing w:lineRule="atLeast" w:line="240"/>
      <w:jc w:val="center"/>
    </w:pPr>
    <w:rPr>
      <w:b/>
      <w:color w:val="FFFFFF"/>
    </w:rPr>
  </w:style>
  <w:style w:type="paragraph" w:styleId="zAppNo">
    <w:name w:val="zAppNo"/>
    <w:basedOn w:val="Normal"/>
    <w:qFormat/>
    <w:pPr>
      <w:spacing w:lineRule="atLeast" w:line="240"/>
      <w:jc w:val="center"/>
    </w:pPr>
    <w:rPr/>
  </w:style>
  <w:style w:type="paragraph" w:styleId="zAttorney">
    <w:name w:val="zAttorney"/>
    <w:basedOn w:val="Normal"/>
    <w:qFormat/>
    <w:pPr>
      <w:spacing w:lineRule="atLeast" w:line="240" w:before="173" w:after="0"/>
      <w:ind w:hanging="0" w:start="0" w:end="3600"/>
    </w:pPr>
    <w:rPr>
      <w:sz w:val="20"/>
    </w:rPr>
  </w:style>
  <w:style w:type="paragraph" w:styleId="zAttorneyNames">
    <w:name w:val="zAttorney Names"/>
    <w:basedOn w:val="Normal"/>
    <w:qFormat/>
    <w:pPr>
      <w:keepNext w:val="true"/>
      <w:keepLines/>
      <w:ind w:hanging="0" w:start="3600" w:end="0"/>
    </w:pPr>
    <w:rPr>
      <w:color w:val="FF00FF"/>
    </w:rPr>
  </w:style>
  <w:style w:type="paragraph" w:styleId="zEdisonAddress">
    <w:name w:val="zEdisonAddress"/>
    <w:basedOn w:val="Normal"/>
    <w:qFormat/>
    <w:pPr>
      <w:spacing w:lineRule="exact" w:line="240"/>
    </w:pPr>
    <w:rPr>
      <w:rFonts w:ascii="Times" w:hAnsi="Times" w:cs="Times"/>
      <w:sz w:val="20"/>
    </w:rPr>
  </w:style>
  <w:style w:type="paragraph" w:styleId="zAttorneysFor">
    <w:name w:val="zAttorneys For"/>
    <w:basedOn w:val="zEdisonAddress"/>
    <w:qFormat/>
    <w:pPr>
      <w:spacing w:before="240" w:after="0"/>
    </w:pPr>
    <w:rPr/>
  </w:style>
  <w:style w:type="paragraph" w:styleId="zAttorneysFor1">
    <w:name w:val="zAttorneysFor"/>
    <w:basedOn w:val="Normal"/>
    <w:next w:val="Normal"/>
    <w:qFormat/>
    <w:pPr>
      <w:keepNext w:val="true"/>
      <w:spacing w:before="480" w:after="0"/>
      <w:ind w:hanging="0" w:start="3600" w:end="0"/>
    </w:pPr>
    <w:rPr/>
  </w:style>
  <w:style w:type="paragraph" w:styleId="zAttorneysForCOSPage">
    <w:name w:val="zAttorneysForCOSPage"/>
    <w:basedOn w:val="Normal"/>
    <w:qFormat/>
    <w:pPr>
      <w:keepNext w:val="true"/>
      <w:keepLines/>
      <w:spacing w:before="480" w:after="0"/>
      <w:ind w:hanging="0" w:start="3600" w:end="0"/>
    </w:pPr>
    <w:rPr/>
  </w:style>
  <w:style w:type="paragraph" w:styleId="zAttorneysForTitlePage">
    <w:name w:val="zAttorneysForTitlePage"/>
    <w:basedOn w:val="Normal"/>
    <w:qFormat/>
    <w:pPr>
      <w:keepNext w:val="true"/>
      <w:keepLines/>
      <w:spacing w:before="120" w:after="0"/>
      <w:ind w:hanging="0" w:start="3600" w:end="0"/>
    </w:pPr>
    <w:rPr/>
  </w:style>
  <w:style w:type="paragraph" w:styleId="zAuthorName">
    <w:name w:val="zAuthorName"/>
    <w:basedOn w:val="Normal"/>
    <w:qFormat/>
    <w:pPr/>
    <w:rPr>
      <w:color w:val="0000FF"/>
    </w:rPr>
  </w:style>
  <w:style w:type="paragraph" w:styleId="zBriefFooter">
    <w:name w:val="zBriefFooter"/>
    <w:basedOn w:val="Normal"/>
    <w:qFormat/>
    <w:pPr>
      <w:tabs>
        <w:tab w:val="clear" w:pos="720"/>
        <w:tab w:val="left" w:pos="5040" w:leader="none"/>
      </w:tabs>
    </w:pPr>
    <w:rPr>
      <w:sz w:val="16"/>
    </w:rPr>
  </w:style>
  <w:style w:type="paragraph" w:styleId="zCaption">
    <w:name w:val="zCaption"/>
    <w:basedOn w:val="Normal"/>
    <w:qFormat/>
    <w:pPr/>
    <w:rPr/>
  </w:style>
  <w:style w:type="paragraph" w:styleId="zCaptionSeparator">
    <w:name w:val="zCaption Separator"/>
    <w:basedOn w:val="Normal"/>
    <w:next w:val="zCaption"/>
    <w:qFormat/>
    <w:pPr>
      <w:pBdr>
        <w:bottom w:val="single" w:sz="6" w:space="1" w:color="000000"/>
      </w:pBdr>
    </w:pPr>
    <w:rPr/>
  </w:style>
  <w:style w:type="paragraph" w:styleId="zClosing">
    <w:name w:val="zClosing"/>
    <w:basedOn w:val="Normal"/>
    <w:qFormat/>
    <w:pPr>
      <w:keepNext w:val="true"/>
      <w:keepLines/>
      <w:spacing w:before="1080" w:after="0"/>
      <w:ind w:hanging="0" w:start="3960" w:end="0"/>
    </w:pPr>
    <w:rPr/>
  </w:style>
  <w:style w:type="paragraph" w:styleId="zDate">
    <w:name w:val="zDate"/>
    <w:basedOn w:val="Normal"/>
    <w:qFormat/>
    <w:pPr>
      <w:spacing w:lineRule="exact" w:line="480" w:before="240" w:after="0"/>
    </w:pPr>
    <w:rPr>
      <w:color w:val="0000FF"/>
    </w:rPr>
  </w:style>
  <w:style w:type="paragraph" w:styleId="zDate2">
    <w:name w:val="zDate2"/>
    <w:basedOn w:val="Normal"/>
    <w:qFormat/>
    <w:pPr>
      <w:spacing w:before="480" w:after="0"/>
    </w:pPr>
    <w:rPr/>
  </w:style>
  <w:style w:type="paragraph" w:styleId="zDefendent">
    <w:name w:val="zDefendent"/>
    <w:basedOn w:val="Normal"/>
    <w:qFormat/>
    <w:pPr>
      <w:spacing w:lineRule="atLeast" w:line="240" w:before="240" w:after="280"/>
      <w:ind w:hanging="0" w:start="1440" w:end="0"/>
    </w:pPr>
    <w:rPr/>
  </w:style>
  <w:style w:type="paragraph" w:styleId="zEdisonAddress1">
    <w:name w:val="zEdison Address"/>
    <w:basedOn w:val="Normal"/>
    <w:qFormat/>
    <w:pPr>
      <w:spacing w:before="240" w:after="0"/>
      <w:ind w:hanging="0" w:start="5040" w:end="0"/>
    </w:pPr>
    <w:rPr/>
  </w:style>
  <w:style w:type="paragraph" w:styleId="zEdisonAddressCOSPage">
    <w:name w:val="zEdison Address COS Page"/>
    <w:basedOn w:val="Normal"/>
    <w:qFormat/>
    <w:pPr>
      <w:keepNext w:val="true"/>
      <w:keepLines/>
      <w:ind w:hanging="0" w:start="4320" w:end="0"/>
    </w:pPr>
    <w:rPr/>
  </w:style>
  <w:style w:type="paragraph" w:styleId="zEdisonAddress2">
    <w:name w:val="zEdison Address2"/>
    <w:basedOn w:val="Normal"/>
    <w:qFormat/>
    <w:pPr>
      <w:keepNext w:val="true"/>
      <w:keepLines/>
      <w:spacing w:before="240" w:after="0"/>
    </w:pPr>
    <w:rPr/>
  </w:style>
  <w:style w:type="paragraph" w:styleId="zEdisonAddressCOSPage1">
    <w:name w:val="zEdisonAddressCOSPage"/>
    <w:basedOn w:val="Normal"/>
    <w:qFormat/>
    <w:pPr>
      <w:keepNext w:val="true"/>
      <w:keepLines/>
      <w:spacing w:before="240" w:after="0"/>
      <w:ind w:hanging="0" w:start="4320" w:end="0"/>
    </w:pPr>
    <w:rPr/>
  </w:style>
  <w:style w:type="paragraph" w:styleId="zEdisonAddressTitlePage">
    <w:name w:val="zEdisonAddressTitlePage"/>
    <w:basedOn w:val="Normal"/>
    <w:qFormat/>
    <w:pPr>
      <w:keepNext w:val="true"/>
      <w:keepLines/>
      <w:spacing w:before="240" w:after="0"/>
      <w:ind w:hanging="0" w:start="4320" w:end="0"/>
    </w:pPr>
    <w:rPr/>
  </w:style>
  <w:style w:type="paragraph" w:styleId="zFacsimile">
    <w:name w:val="zFacsimile"/>
    <w:basedOn w:val="Normal"/>
    <w:qFormat/>
    <w:pPr>
      <w:keepNext w:val="true"/>
      <w:ind w:hanging="0" w:start="4320" w:end="0"/>
    </w:pPr>
    <w:rPr>
      <w:color w:val="0000FF"/>
    </w:rPr>
  </w:style>
  <w:style w:type="paragraph" w:styleId="zEmail">
    <w:name w:val="zEmail"/>
    <w:basedOn w:val="zFacsimile"/>
    <w:qFormat/>
    <w:pPr>
      <w:spacing w:before="0" w:after="240"/>
    </w:pPr>
    <w:rPr/>
  </w:style>
  <w:style w:type="paragraph" w:styleId="zHeader">
    <w:name w:val="zHeader"/>
    <w:basedOn w:val="Normal"/>
    <w:qFormat/>
    <w:pPr>
      <w:spacing w:lineRule="exact" w:line="480" w:before="0" w:after="480"/>
      <w:jc w:val="center"/>
    </w:pPr>
    <w:rPr>
      <w:b/>
    </w:rPr>
  </w:style>
  <w:style w:type="paragraph" w:styleId="zHeaderAuthorName">
    <w:name w:val="zHeaderAuthorName"/>
    <w:basedOn w:val="Normal"/>
    <w:next w:val="Normal"/>
    <w:qFormat/>
    <w:pPr>
      <w:spacing w:before="240" w:after="29"/>
      <w:ind w:hanging="0" w:start="720" w:end="0"/>
    </w:pPr>
    <w:rPr>
      <w:rFonts w:ascii="Times New Roman" w:hAnsi="Times New Roman" w:cs="Times New Roman"/>
      <w:b/>
      <w:color w:val="808080"/>
      <w:sz w:val="18"/>
    </w:rPr>
  </w:style>
  <w:style w:type="paragraph" w:styleId="zHeaderAuthorTitle">
    <w:name w:val="zHeaderAuthorTitle"/>
    <w:basedOn w:val="Normal"/>
    <w:qFormat/>
    <w:pPr>
      <w:ind w:hanging="0" w:start="720" w:end="0"/>
    </w:pPr>
    <w:rPr>
      <w:rFonts w:ascii="Times New Roman" w:hAnsi="Times New Roman" w:cs="Times New Roman"/>
      <w:color w:val="808080"/>
      <w:spacing w:val="-1"/>
      <w:sz w:val="18"/>
    </w:rPr>
  </w:style>
  <w:style w:type="paragraph" w:styleId="zHeaderLogo">
    <w:name w:val="zHeaderLogo"/>
    <w:basedOn w:val="Normal"/>
    <w:next w:val="Normal"/>
    <w:qFormat/>
    <w:pPr>
      <w:spacing w:before="120" w:after="0"/>
    </w:pPr>
    <w:rPr>
      <w:rFonts w:ascii="Times New Roman" w:hAnsi="Times New Roman" w:cs="Times New Roman"/>
      <w:sz w:val="16"/>
    </w:rPr>
  </w:style>
  <w:style w:type="paragraph" w:styleId="zLetterText">
    <w:name w:val="zLetter Text"/>
    <w:basedOn w:val="Normal"/>
    <w:qFormat/>
    <w:pPr>
      <w:spacing w:lineRule="atLeast" w:line="240" w:before="240" w:after="0"/>
    </w:pPr>
    <w:rPr/>
  </w:style>
  <w:style w:type="paragraph" w:styleId="zLine-nums">
    <w:name w:val="zLine-nums"/>
    <w:basedOn w:val="Normal"/>
    <w:qFormat/>
    <w:pPr>
      <w:spacing w:lineRule="exact" w:line="480"/>
      <w:jc w:val="end"/>
    </w:pPr>
    <w:rPr/>
  </w:style>
  <w:style w:type="paragraph" w:styleId="zLine-nums2">
    <w:name w:val="zLine-nums 2"/>
    <w:basedOn w:val="Normal"/>
    <w:qFormat/>
    <w:pPr>
      <w:spacing w:lineRule="atLeast" w:line="240"/>
    </w:pPr>
    <w:rPr/>
  </w:style>
  <w:style w:type="paragraph" w:styleId="zLine-nums3">
    <w:name w:val="zLine-nums 3"/>
    <w:basedOn w:val="zLine-nums2"/>
    <w:qFormat/>
    <w:pPr/>
    <w:rPr/>
  </w:style>
  <w:style w:type="paragraph" w:styleId="zParen">
    <w:name w:val="zParen"/>
    <w:basedOn w:val="Normal"/>
    <w:qFormat/>
    <w:pPr>
      <w:spacing w:lineRule="atLeast" w:line="240"/>
    </w:pPr>
    <w:rPr/>
  </w:style>
  <w:style w:type="paragraph" w:styleId="zPhone">
    <w:name w:val="zPhone"/>
    <w:basedOn w:val="Normal"/>
    <w:qFormat/>
    <w:pPr>
      <w:keepNext w:val="true"/>
      <w:ind w:hanging="0" w:start="4320" w:end="0"/>
    </w:pPr>
    <w:rPr>
      <w:color w:val="0000FF"/>
    </w:rPr>
  </w:style>
  <w:style w:type="paragraph" w:styleId="zPhoneCOSPage">
    <w:name w:val="zPhoneCOSPage"/>
    <w:basedOn w:val="Normal"/>
    <w:qFormat/>
    <w:pPr>
      <w:ind w:hanging="0" w:start="4320" w:end="0"/>
    </w:pPr>
    <w:rPr/>
  </w:style>
  <w:style w:type="paragraph" w:styleId="zTitle">
    <w:name w:val="zTitle"/>
    <w:basedOn w:val="Normal"/>
    <w:qFormat/>
    <w:pPr>
      <w:spacing w:lineRule="atLeast" w:line="360" w:before="0" w:after="720"/>
      <w:jc w:val="center"/>
    </w:pPr>
    <w:rPr>
      <w:b/>
      <w:caps/>
      <w:color w:val="FF00FF"/>
      <w:u w:val="single"/>
    </w:rPr>
  </w:style>
  <w:style w:type="paragraph" w:styleId="zTitle1">
    <w:name w:val="zTitle1"/>
    <w:basedOn w:val="Normal"/>
    <w:next w:val="Normal"/>
    <w:qFormat/>
    <w:pPr>
      <w:spacing w:lineRule="atLeast" w:line="240" w:before="240" w:after="576"/>
      <w:jc w:val="center"/>
    </w:pPr>
    <w:rPr>
      <w:b/>
      <w:i/>
      <w:color w:val="FF0000"/>
      <w:sz w:val="28"/>
    </w:rPr>
  </w:style>
  <w:style w:type="paragraph" w:styleId="zTOCHeader">
    <w:name w:val="zTOCHeader"/>
    <w:basedOn w:val="Normal"/>
    <w:qFormat/>
    <w:pPr/>
    <w:rPr>
      <w:u w:val="single"/>
    </w:rPr>
  </w:style>
  <w:style w:type="paragraph" w:styleId="BriefText">
    <w:name w:val="Brief Text"/>
    <w:basedOn w:val="Normal"/>
    <w:qFormat/>
    <w:pPr>
      <w:spacing w:lineRule="exact" w:line="480"/>
    </w:pPr>
    <w:rPr/>
  </w:style>
  <w:style w:type="paragraph" w:styleId="cc">
    <w:name w:val="cc:"/>
    <w:basedOn w:val="Normal"/>
    <w:next w:val="Normal"/>
    <w:qFormat/>
    <w:pPr>
      <w:spacing w:lineRule="atLeast" w:line="480" w:before="240" w:after="0"/>
      <w:ind w:hanging="446" w:start="446" w:end="0"/>
    </w:pPr>
    <w:rPr/>
  </w:style>
  <w:style w:type="paragraph" w:styleId="CertificateText">
    <w:name w:val="Certificate Text"/>
    <w:basedOn w:val="LetterText"/>
    <w:qFormat/>
    <w:pPr>
      <w:spacing w:lineRule="atLeast" w:line="480" w:before="0" w:after="240"/>
      <w:ind w:firstLine="720" w:start="0" w:end="0"/>
    </w:pPr>
    <w:rPr/>
  </w:style>
  <w:style w:type="paragraph" w:styleId="Closing">
    <w:name w:val="Closing"/>
    <w:basedOn w:val="Normal"/>
    <w:qFormat/>
    <w:pPr>
      <w:keepNext w:val="true"/>
      <w:spacing w:before="480" w:after="0"/>
      <w:ind w:hanging="0" w:start="3960" w:end="0"/>
    </w:pPr>
    <w:rPr/>
  </w:style>
  <w:style w:type="paragraph" w:styleId="Closing2">
    <w:name w:val="Closing2"/>
    <w:basedOn w:val="Closing"/>
    <w:qFormat/>
    <w:pPr>
      <w:tabs>
        <w:tab w:val="clear" w:pos="720"/>
        <w:tab w:val="left" w:pos="3960" w:leader="none"/>
        <w:tab w:val="right" w:pos="8640" w:leader="underscore"/>
      </w:tabs>
      <w:ind w:hanging="720" w:start="3960" w:end="0"/>
    </w:pPr>
    <w:rPr/>
  </w:style>
  <w:style w:type="paragraph" w:styleId="FootnoteText">
    <w:name w:val="footnote text"/>
    <w:basedOn w:val="Normal"/>
    <w:pPr>
      <w:tabs>
        <w:tab w:val="clear" w:pos="720"/>
        <w:tab w:val="left" w:pos="360" w:leader="none"/>
      </w:tabs>
      <w:ind w:hanging="360" w:start="360" w:end="0"/>
    </w:pPr>
    <w:rPr>
      <w:sz w:val="20"/>
    </w:rPr>
  </w:style>
  <w:style w:type="paragraph" w:styleId="CommentText">
    <w:name w:val="Comment Text"/>
    <w:basedOn w:val="FootnoteText"/>
    <w:qFormat/>
    <w:pPr>
      <w:ind w:firstLine="720" w:start="360" w:end="0"/>
    </w:pPr>
    <w:rPr>
      <w:color w:val="0000FF"/>
    </w:rPr>
  </w:style>
  <w:style w:type="paragraph" w:styleId="Date">
    <w:name w:val="Date"/>
    <w:basedOn w:val="Normal"/>
    <w:next w:val="Normal"/>
    <w:qFormat/>
    <w:pPr>
      <w:spacing w:lineRule="exact" w:line="480" w:before="480" w:after="0"/>
    </w:pPr>
    <w:rPr/>
  </w:style>
  <w:style w:type="paragraph" w:styleId="Heading4Text">
    <w:name w:val="Heading 4 Text"/>
    <w:basedOn w:val="Heading2Text"/>
    <w:qFormat/>
    <w:pPr>
      <w:ind w:firstLine="720" w:start="1440" w:end="0"/>
    </w:pPr>
    <w:rPr/>
  </w:style>
  <w:style w:type="paragraph" w:styleId="Heading5Text">
    <w:name w:val="Heading 5 Text"/>
    <w:basedOn w:val="Heading2Text"/>
    <w:qFormat/>
    <w:pPr>
      <w:ind w:firstLine="720" w:start="2160" w:end="0"/>
    </w:pPr>
    <w:rPr/>
  </w:style>
  <w:style w:type="paragraph" w:styleId="Heading6Text">
    <w:name w:val="Heading 6 Text"/>
    <w:basedOn w:val="Heading2Text"/>
    <w:qFormat/>
    <w:pPr>
      <w:ind w:firstLine="720" w:start="2880" w:end="0"/>
    </w:pPr>
    <w:rPr/>
  </w:style>
  <w:style w:type="paragraph" w:styleId="Heading7Text">
    <w:name w:val="Heading 7 Text"/>
    <w:basedOn w:val="Heading2Text"/>
    <w:qFormat/>
    <w:pPr>
      <w:ind w:firstLine="720" w:start="3600" w:end="0"/>
    </w:pPr>
    <w:rPr/>
  </w:style>
  <w:style w:type="paragraph" w:styleId="Heading8Text">
    <w:name w:val="Heading 8 Text"/>
    <w:basedOn w:val="Heading2Text"/>
    <w:qFormat/>
    <w:pPr>
      <w:ind w:firstLine="720" w:start="4320" w:end="0"/>
    </w:pPr>
    <w:rPr/>
  </w:style>
  <w:style w:type="paragraph" w:styleId="Heading9Text">
    <w:name w:val="Heading 9 Text"/>
    <w:basedOn w:val="Heading2Text"/>
    <w:qFormat/>
    <w:pPr>
      <w:ind w:firstLine="720" w:start="5040" w:end="0"/>
    </w:pPr>
    <w:rPr/>
  </w:style>
  <w:style w:type="paragraph" w:styleId="Attachments">
    <w:name w:val="Attachments"/>
    <w:basedOn w:val="Normal"/>
    <w:qFormat/>
    <w:pPr>
      <w:spacing w:lineRule="atLeast" w:line="240" w:before="720" w:after="0"/>
    </w:pPr>
    <w:rPr>
      <w:sz w:val="16"/>
    </w:rPr>
  </w:style>
  <w:style w:type="paragraph" w:styleId="AttyPrivilege">
    <w:name w:val="AttyPrivilege"/>
    <w:basedOn w:val="Normal"/>
    <w:qFormat/>
    <w:pPr>
      <w:pBdr>
        <w:top w:val="single" w:sz="6" w:space="1" w:color="000000" w:shadow="1"/>
        <w:left w:val="single" w:sz="6" w:space="1" w:color="000000" w:shadow="1"/>
        <w:bottom w:val="single" w:sz="6" w:space="1" w:color="000000" w:shadow="1"/>
        <w:right w:val="single" w:sz="6" w:space="1" w:color="000000" w:shadow="1"/>
      </w:pBdr>
      <w:shd w:fill="F2F2F2" w:val="clear"/>
      <w:spacing w:before="0" w:after="240"/>
      <w:jc w:val="both"/>
    </w:pPr>
    <w:rPr>
      <w:b/>
      <w:sz w:val="18"/>
      <w:lang w:eastAsia="en-US"/>
    </w:rPr>
  </w:style>
  <w:style w:type="paragraph" w:styleId="Enclosure">
    <w:name w:val="Enclosure"/>
    <w:basedOn w:val="Normal"/>
    <w:next w:val="Normal"/>
    <w:qFormat/>
    <w:pPr>
      <w:keepNext w:val="true"/>
      <w:keepLines/>
      <w:spacing w:lineRule="atLeast" w:line="240" w:before="120" w:after="120"/>
      <w:jc w:val="both"/>
    </w:pPr>
    <w:rPr>
      <w:kern w:val="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jc w:val="both"/>
    </w:pPr>
    <w:rPr>
      <w:kern w:val="2"/>
    </w:rPr>
  </w:style>
  <w:style w:type="paragraph" w:styleId="Header">
    <w:name w:val="header"/>
    <w:basedOn w:val="Normal"/>
    <w:pPr>
      <w:tabs>
        <w:tab w:val="clear" w:pos="720"/>
        <w:tab w:val="center" w:pos="4320" w:leader="none"/>
        <w:tab w:val="right" w:pos="8640" w:leader="none"/>
      </w:tabs>
      <w:jc w:val="both"/>
    </w:pPr>
    <w:rPr>
      <w:rFonts w:ascii="Times New Roman" w:hAnsi="Times New Roman" w:cs="Times New Roman"/>
      <w:kern w:val="2"/>
      <w:sz w:val="16"/>
    </w:rPr>
  </w:style>
  <w:style w:type="paragraph" w:styleId="MailingInstructions">
    <w:name w:val="Mailing Instructions"/>
    <w:basedOn w:val="Normal"/>
    <w:next w:val="Normal"/>
    <w:qFormat/>
    <w:pPr>
      <w:keepNext w:val="true"/>
      <w:spacing w:lineRule="atLeast" w:line="240" w:before="0" w:after="240"/>
      <w:jc w:val="both"/>
    </w:pPr>
    <w:rPr>
      <w:caps/>
      <w:kern w:val="2"/>
    </w:rPr>
  </w:style>
  <w:style w:type="paragraph" w:styleId="Re">
    <w:name w:val="Re:"/>
    <w:basedOn w:val="Normal"/>
    <w:next w:val="Normal"/>
    <w:qFormat/>
    <w:pPr>
      <w:spacing w:before="480" w:after="0"/>
    </w:pPr>
    <w:rPr>
      <w:lang w:eastAsia="en-US"/>
    </w:rPr>
  </w:style>
  <w:style w:type="paragraph" w:styleId="ReferenceInitials">
    <w:name w:val="Reference Initials"/>
    <w:basedOn w:val="Normal"/>
    <w:next w:val="Enclosure"/>
    <w:qFormat/>
    <w:pPr>
      <w:keepNext w:val="true"/>
      <w:spacing w:lineRule="atLeast" w:line="240" w:before="220" w:after="0"/>
    </w:pPr>
    <w:rPr>
      <w:kern w:val="2"/>
    </w:rPr>
  </w:style>
  <w:style w:type="paragraph" w:styleId="ReferenceLine">
    <w:name w:val="Reference Line"/>
    <w:basedOn w:val="Normal"/>
    <w:next w:val="MailingInstructions"/>
    <w:qFormat/>
    <w:pPr>
      <w:keepNext w:val="true"/>
      <w:spacing w:lineRule="atLeast" w:line="240" w:before="0" w:after="240"/>
    </w:pPr>
    <w:rPr>
      <w:kern w:val="2"/>
    </w:rPr>
  </w:style>
  <w:style w:type="paragraph" w:styleId="ReturnAddress">
    <w:name w:val="Return Address"/>
    <w:qFormat/>
    <w:pPr>
      <w:widowControl/>
      <w:tabs>
        <w:tab w:val="clear" w:pos="720"/>
        <w:tab w:val="left" w:pos="2160" w:leader="none"/>
      </w:tabs>
      <w:bidi w:val="0"/>
      <w:spacing w:lineRule="atLeast" w:line="240"/>
      <w:ind w:hanging="0" w:start="0" w:end="-240"/>
      <w:jc w:val="center"/>
    </w:pPr>
    <w:rPr>
      <w:rFonts w:ascii="Garamond" w:hAnsi="Garamond" w:eastAsia="Times New Roman" w:cs="Garamond"/>
      <w:caps/>
      <w:color w:val="auto"/>
      <w:spacing w:val="30"/>
      <w:sz w:val="14"/>
      <w:szCs w:val="20"/>
      <w:lang w:val="en-US" w:eastAsia="zh-CN" w:bidi="hi-IN"/>
    </w:rPr>
  </w:style>
  <w:style w:type="paragraph" w:styleId="Salutation">
    <w:name w:val="Salutation"/>
    <w:basedOn w:val="Normal"/>
    <w:next w:val="Normal"/>
    <w:qFormat/>
    <w:pPr>
      <w:spacing w:lineRule="atLeast" w:line="240" w:before="480" w:after="0"/>
    </w:pPr>
    <w:rPr>
      <w:kern w:val="2"/>
    </w:rPr>
  </w:style>
  <w:style w:type="paragraph" w:styleId="Signature">
    <w:name w:val="Signature"/>
    <w:basedOn w:val="Normal"/>
    <w:next w:val="Normal"/>
    <w:pPr>
      <w:keepNext w:val="true"/>
      <w:spacing w:lineRule="atLeast" w:line="240" w:before="880" w:after="0"/>
      <w:ind w:hanging="0" w:start="4565" w:end="0"/>
    </w:pPr>
    <w:rPr>
      <w:kern w:val="2"/>
    </w:rPr>
  </w:style>
  <w:style w:type="paragraph" w:styleId="zBCC">
    <w:name w:val="zBCC"/>
    <w:basedOn w:val="Normal"/>
    <w:next w:val="Normal"/>
    <w:qFormat/>
    <w:pPr>
      <w:keepLines/>
      <w:pageBreakBefore/>
      <w:spacing w:before="240" w:after="0"/>
      <w:ind w:hanging="576" w:start="576" w:end="0"/>
    </w:pPr>
    <w:rPr/>
  </w:style>
  <w:style w:type="paragraph" w:styleId="zCC">
    <w:name w:val="zCC"/>
    <w:basedOn w:val="Normal"/>
    <w:next w:val="Normal"/>
    <w:qFormat/>
    <w:pPr>
      <w:keepLines/>
      <w:ind w:hanging="576" w:start="576" w:end="0"/>
    </w:pPr>
    <w:rPr/>
  </w:style>
  <w:style w:type="paragraph" w:styleId="zCertMail">
    <w:name w:val="zCertMail"/>
    <w:basedOn w:val="Normal"/>
    <w:qFormat/>
    <w:pPr>
      <w:spacing w:before="0" w:after="480"/>
    </w:pPr>
    <w:rPr/>
  </w:style>
  <w:style w:type="paragraph" w:styleId="zEnclosures">
    <w:name w:val="zEnclosures"/>
    <w:basedOn w:val="Normal"/>
    <w:next w:val="Normal"/>
    <w:qFormat/>
    <w:pPr>
      <w:keepNext w:val="true"/>
      <w:spacing w:before="240" w:after="240"/>
    </w:pPr>
    <w:rPr/>
  </w:style>
  <w:style w:type="paragraph" w:styleId="BCC">
    <w:name w:val="BCC"/>
    <w:basedOn w:val="Normal"/>
    <w:next w:val="Normal"/>
    <w:qFormat/>
    <w:pPr>
      <w:keepLines/>
      <w:pageBreakBefore/>
      <w:spacing w:before="240" w:after="0"/>
      <w:ind w:hanging="576" w:start="576" w:end="0"/>
    </w:pPr>
    <w:rPr/>
  </w:style>
  <w:style w:type="paragraph" w:styleId="BlockText">
    <w:name w:val="Block Text"/>
    <w:basedOn w:val="Normal"/>
    <w:qFormat/>
    <w:pPr>
      <w:ind w:hanging="0" w:start="840" w:end="-360"/>
    </w:pPr>
    <w:rPr/>
  </w:style>
  <w:style w:type="paragraph" w:styleId="LawMemoCaption">
    <w:name w:val="Law Memo Caption"/>
    <w:basedOn w:val="Normal"/>
    <w:qFormat/>
    <w:pPr>
      <w:spacing w:before="0" w:after="240"/>
      <w:ind w:hanging="1296" w:start="1325" w:end="-360"/>
    </w:pPr>
    <w:rPr>
      <w:b/>
    </w:rPr>
  </w:style>
  <w:style w:type="paragraph" w:styleId="LawMemoCaption2">
    <w:name w:val="Law Memo Caption2"/>
    <w:basedOn w:val="LawMemoCaption"/>
    <w:qFormat/>
    <w:pPr>
      <w:spacing w:before="0" w:after="0"/>
      <w:ind w:hanging="130" w:start="1426" w:end="-360"/>
    </w:pPr>
    <w:rPr/>
  </w:style>
  <w:style w:type="paragraph" w:styleId="Memo">
    <w:name w:val="Memo"/>
    <w:basedOn w:val="Normal"/>
    <w:qFormat/>
    <w:pPr>
      <w:spacing w:before="480" w:after="360"/>
      <w:ind w:hanging="0" w:start="0" w:end="-360"/>
    </w:pPr>
    <w:rPr>
      <w:b/>
      <w:sz w:val="28"/>
    </w:rPr>
  </w:style>
  <w:style w:type="paragraph" w:styleId="RegardingCaption">
    <w:name w:val="Regarding Caption"/>
    <w:basedOn w:val="Normal"/>
    <w:qFormat/>
    <w:pPr>
      <w:keepLines/>
      <w:pBdr>
        <w:bottom w:val="single" w:sz="6" w:space="22" w:color="000000"/>
      </w:pBdr>
      <w:spacing w:before="0" w:after="240"/>
      <w:ind w:hanging="1296" w:start="1325" w:end="-360"/>
    </w:pPr>
    <w:rPr>
      <w:b/>
    </w:rPr>
  </w:style>
  <w:style w:type="paragraph" w:styleId="Verification">
    <w:name w:val="Verification"/>
    <w:basedOn w:val="Closing2"/>
    <w:qFormat/>
    <w:pPr>
      <w:keepNext w:val="false"/>
      <w:keepLines/>
      <w:spacing w:lineRule="atLeast" w:line="240" w:before="0" w:after="0"/>
      <w:ind w:hanging="720" w:start="5040" w:end="0"/>
    </w:pPr>
    <w:rPr/>
  </w:style>
  <w:style w:type="paragraph" w:styleId="AppendixText">
    <w:name w:val="Appendix Text"/>
    <w:basedOn w:val="Normal"/>
    <w:qFormat/>
    <w:pPr>
      <w:spacing w:lineRule="atLeast" w:line="480"/>
      <w:ind w:firstLine="720" w:start="0" w:end="0"/>
    </w:pPr>
    <w:rPr/>
  </w:style>
  <w:style w:type="paragraph" w:styleId="AppendixTitle">
    <w:name w:val="Appendix Title"/>
    <w:basedOn w:val="Normal"/>
    <w:next w:val="AppendixText"/>
    <w:qFormat/>
    <w:pPr>
      <w:spacing w:lineRule="atLeast" w:line="480"/>
      <w:jc w:val="center"/>
    </w:pPr>
    <w:rPr>
      <w:b/>
      <w:sz w:val="26"/>
    </w:rPr>
  </w:style>
  <w:style w:type="paragraph" w:styleId="Box">
    <w:name w:val="Box"/>
    <w:basedOn w:val="Normal"/>
    <w:qFormat/>
    <w:pPr>
      <w:jc w:val="center"/>
    </w:pPr>
    <w:rPr>
      <w:b/>
    </w:rPr>
  </w:style>
  <w:style w:type="paragraph" w:styleId="WW-Caption">
    <w:name w:val="WW-Caption"/>
    <w:basedOn w:val="Normal"/>
    <w:qFormat/>
    <w:pPr>
      <w:keepNext w:val="true"/>
      <w:keepLines/>
      <w:spacing w:lineRule="atLeast" w:line="480" w:before="120" w:after="0"/>
      <w:jc w:val="center"/>
    </w:pPr>
    <w:rPr>
      <w:b/>
      <w:i/>
      <w:sz w:val="26"/>
    </w:rPr>
  </w:style>
  <w:style w:type="paragraph" w:styleId="CHAPTER">
    <w:name w:val="CHAPTER"/>
    <w:basedOn w:val="Normal"/>
    <w:next w:val="Normal"/>
    <w:qFormat/>
    <w:pPr>
      <w:keepNext w:val="true"/>
      <w:keepLines/>
      <w:spacing w:lineRule="atLeast" w:line="480"/>
    </w:pPr>
    <w:rPr>
      <w:b/>
      <w:color w:val="0000FF"/>
    </w:rPr>
  </w:style>
  <w:style w:type="paragraph" w:styleId="ChapterTitle">
    <w:name w:val="Chapter Title"/>
    <w:basedOn w:val="Normal"/>
    <w:qFormat/>
    <w:pPr>
      <w:spacing w:lineRule="atLeast" w:line="240" w:before="240" w:after="480"/>
      <w:jc w:val="center"/>
    </w:pPr>
    <w:rPr>
      <w:b/>
      <w:sz w:val="28"/>
    </w:rPr>
  </w:style>
  <w:style w:type="paragraph" w:styleId="EXHIBITHEAD">
    <w:name w:val="EXHIBITHEAD"/>
    <w:basedOn w:val="Heading1"/>
    <w:qFormat/>
    <w:pPr>
      <w:numPr>
        <w:ilvl w:val="0"/>
        <w:numId w:val="2"/>
      </w:numPr>
      <w:spacing w:lineRule="atLeast" w:line="480" w:before="0" w:after="0"/>
      <w:outlineLvl w:val="9"/>
    </w:pPr>
    <w:rPr>
      <w:caps w:val="false"/>
      <w:smallCaps w:val="false"/>
      <w:color w:val="0000FF"/>
    </w:rPr>
  </w:style>
  <w:style w:type="paragraph" w:styleId="FigToc1">
    <w:name w:val="FigToc1"/>
    <w:basedOn w:val="Normal"/>
    <w:qFormat/>
    <w:pPr>
      <w:tabs>
        <w:tab w:val="clear" w:pos="720"/>
        <w:tab w:val="right" w:pos="10080" w:leader="hyphen"/>
      </w:tabs>
      <w:spacing w:lineRule="atLeast" w:line="480"/>
    </w:pPr>
    <w:rPr/>
  </w:style>
  <w:style w:type="paragraph" w:styleId="FigureTitle">
    <w:name w:val="Figure Title"/>
    <w:basedOn w:val="Normal"/>
    <w:qFormat/>
    <w:pPr>
      <w:keepNext w:val="true"/>
      <w:keepLines/>
      <w:suppressLineNumbers/>
      <w:spacing w:before="360" w:after="240"/>
      <w:jc w:val="center"/>
    </w:pPr>
    <w:rPr>
      <w:b/>
      <w:i/>
      <w:sz w:val="26"/>
    </w:rPr>
  </w:style>
  <w:style w:type="paragraph" w:styleId="FilingTitle">
    <w:name w:val="Filing Title"/>
    <w:basedOn w:val="Normal"/>
    <w:qFormat/>
    <w:pPr>
      <w:suppressLineNumbers/>
      <w:spacing w:before="0" w:after="120"/>
      <w:jc w:val="center"/>
    </w:pPr>
    <w:rPr>
      <w:b/>
      <w:sz w:val="32"/>
    </w:rPr>
  </w:style>
  <w:style w:type="paragraph" w:styleId="LeftRule">
    <w:name w:val="Left Rule"/>
    <w:basedOn w:val="Normal"/>
    <w:qFormat/>
    <w:pPr>
      <w:pBdr>
        <w:right w:val="single" w:sz="12" w:space="0" w:color="000000"/>
      </w:pBdr>
      <w:spacing w:lineRule="exact" w:line="14400"/>
    </w:pPr>
    <w:rPr/>
  </w:style>
  <w:style w:type="paragraph" w:styleId="rightrule">
    <w:name w:val="right rule"/>
    <w:basedOn w:val="Header"/>
    <w:qFormat/>
    <w:pPr>
      <w:tabs>
        <w:tab w:val="clear" w:pos="4320"/>
        <w:tab w:val="clear" w:pos="8640"/>
        <w:tab w:val="center" w:pos="5040" w:leader="none"/>
        <w:tab w:val="right" w:pos="10080" w:leader="none"/>
      </w:tabs>
      <w:spacing w:lineRule="atLeast" w:line="240" w:before="0" w:after="240"/>
      <w:jc w:val="center"/>
    </w:pPr>
    <w:rPr>
      <w:rFonts w:ascii="NewCenturySchlbk" w:hAnsi="NewCenturySchlbk" w:cs="NewCenturySchlbk"/>
      <w:kern w:val="0"/>
      <w:sz w:val="24"/>
    </w:rPr>
  </w:style>
  <w:style w:type="paragraph" w:styleId="SCETitle">
    <w:name w:val="SCE Title"/>
    <w:basedOn w:val="Normal"/>
    <w:qFormat/>
    <w:pPr>
      <w:spacing w:lineRule="atLeast" w:line="240"/>
      <w:ind w:hanging="0" w:start="0" w:end="-1440"/>
      <w:jc w:val="center"/>
    </w:pPr>
    <w:rPr>
      <w:b/>
      <w:sz w:val="28"/>
    </w:rPr>
  </w:style>
  <w:style w:type="paragraph" w:styleId="TC">
    <w:name w:val="T/C"/>
    <w:basedOn w:val="TOC1"/>
    <w:qFormat/>
    <w:pPr>
      <w:keepLines/>
      <w:suppressLineNumbers/>
      <w:tabs>
        <w:tab w:val="left" w:pos="720" w:leader="none"/>
        <w:tab w:val="left" w:pos="1080" w:leader="none"/>
        <w:tab w:val="left" w:pos="7920" w:leader="dot"/>
        <w:tab w:val="right" w:pos="8280" w:leader="dot"/>
        <w:tab w:val="decimal" w:pos="8640" w:leader="none"/>
        <w:tab w:val="left" w:pos="8712" w:leader="none"/>
      </w:tabs>
      <w:spacing w:lineRule="auto" w:line="240"/>
    </w:pPr>
    <w:rPr>
      <w:rFonts w:ascii="Times" w:hAnsi="Times" w:cs="Times"/>
    </w:rPr>
  </w:style>
  <w:style w:type="paragraph" w:styleId="TableofFigures">
    <w:name w:val="Table of Figures"/>
    <w:basedOn w:val="Normal"/>
    <w:next w:val="Normal"/>
    <w:qFormat/>
    <w:pPr>
      <w:suppressLineNumbers/>
      <w:tabs>
        <w:tab w:val="clear" w:pos="720"/>
        <w:tab w:val="right" w:pos="10080" w:leader="dot"/>
      </w:tabs>
      <w:spacing w:lineRule="atLeast" w:line="480"/>
      <w:ind w:hanging="360" w:start="360" w:end="1440"/>
    </w:pPr>
    <w:rPr/>
  </w:style>
  <w:style w:type="paragraph" w:styleId="TableTitle">
    <w:name w:val="Table Title"/>
    <w:basedOn w:val="Normal"/>
    <w:next w:val="Normal"/>
    <w:qFormat/>
    <w:pPr>
      <w:keepNext w:val="true"/>
      <w:keepLines/>
      <w:suppressLineNumbers/>
      <w:spacing w:lineRule="atLeast" w:line="480" w:before="240" w:after="120"/>
      <w:jc w:val="center"/>
    </w:pPr>
    <w:rPr>
      <w:b/>
      <w:i/>
      <w:sz w:val="26"/>
    </w:rPr>
  </w:style>
  <w:style w:type="paragraph" w:styleId="Text">
    <w:name w:val="Text"/>
    <w:basedOn w:val="Normal"/>
    <w:qFormat/>
    <w:pPr>
      <w:spacing w:lineRule="atLeast" w:line="480" w:before="360" w:after="0"/>
      <w:ind w:hanging="0" w:start="360" w:end="0"/>
      <w:jc w:val="both"/>
    </w:pPr>
    <w:rPr/>
  </w:style>
  <w:style w:type="paragraph" w:styleId="Title2">
    <w:name w:val="Title2"/>
    <w:basedOn w:val="Normal"/>
    <w:qFormat/>
    <w:pPr>
      <w:spacing w:lineRule="atLeast" w:line="240" w:before="120" w:after="120"/>
      <w:jc w:val="center"/>
    </w:pPr>
    <w:rPr>
      <w:b/>
      <w:sz w:val="28"/>
    </w:rPr>
  </w:style>
  <w:style w:type="paragraph" w:styleId="TOCHeading">
    <w:name w:val="TOC Heading"/>
    <w:basedOn w:val="Normal"/>
    <w:next w:val="TOC1"/>
    <w:qFormat/>
    <w:pPr>
      <w:tabs>
        <w:tab w:val="clear" w:pos="720"/>
        <w:tab w:val="left" w:pos="1440" w:leader="none"/>
        <w:tab w:val="center" w:pos="4680" w:leader="none"/>
        <w:tab w:val="left" w:pos="7920" w:leader="none"/>
        <w:tab w:val="right" w:pos="9360" w:leader="none"/>
      </w:tabs>
      <w:spacing w:lineRule="atLeast" w:line="240" w:before="240" w:after="0"/>
    </w:pPr>
    <w:rPr>
      <w:u w:val="single"/>
    </w:rPr>
  </w:style>
  <w:style w:type="paragraph" w:styleId="TOCcontinued">
    <w:name w:val="TOCcontinued"/>
    <w:basedOn w:val="Normal"/>
    <w:qFormat/>
    <w:pPr>
      <w:spacing w:lineRule="atLeast" w:line="240" w:before="0" w:after="120"/>
      <w:jc w:val="center"/>
    </w:pPr>
    <w:rPr>
      <w:sz w:val="28"/>
    </w:rPr>
  </w:style>
  <w:style w:type="paragraph" w:styleId="heading11">
    <w:name w:val="heading 1+"/>
    <w:basedOn w:val="Heading1"/>
    <w:qFormat/>
    <w:pPr>
      <w:numPr>
        <w:ilvl w:val="0"/>
        <w:numId w:val="2"/>
      </w:numPr>
      <w:tabs>
        <w:tab w:val="clear" w:pos="720"/>
        <w:tab w:val="left" w:pos="360" w:leader="none"/>
      </w:tabs>
      <w:spacing w:before="0" w:after="0"/>
      <w:ind w:hanging="0" w:start="0" w:end="0"/>
      <w:outlineLvl w:val="9"/>
    </w:pPr>
    <w:rPr>
      <w:caps w:val="false"/>
      <w:smallCaps w:val="false"/>
      <w:color w:val="0000F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2001-01-23T20:01:00Z</dcterms:created>
  <dc:creator>woodrujb</dc:creator>
  <dc:description/>
  <dc:language>en-CA</dc:language>
  <cp:lastModifiedBy>Standard Configuration</cp:lastModifiedBy>
  <cp:lastPrinted>2001-01-23T16:28:00Z</cp:lastPrinted>
  <dcterms:modified xsi:type="dcterms:W3CDTF">2001-01-23T21:58:00Z</dcterms:modified>
  <cp:revision>3</cp:revision>
  <dc:subject/>
  <dc:title>Washington DC Summit on California Energy Crisis</dc:title>
</cp:coreProperties>
</file>