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sz w:val="24"/>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Normal"/>
        <w:widowControl/>
        <w:jc w:val="center"/>
        <w:rPr>
          <w:b/>
          <w:sz w:val="24"/>
        </w:rPr>
      </w:pPr>
      <w:r>
        <w:rPr>
          <w:b/>
          <w:sz w:val="24"/>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sz w:val="24"/>
              </w:rPr>
            </w:pPr>
            <w:r>
              <w:rPr>
                <w:b/>
                <w:sz w:val="24"/>
              </w:rPr>
              <w:t>To:</w:t>
            </w:r>
          </w:p>
        </w:tc>
        <w:tc>
          <w:tcPr>
            <w:tcW w:w="3330" w:type="dxa"/>
            <w:tcBorders/>
          </w:tcPr>
          <w:p>
            <w:pPr>
              <w:pStyle w:val="To"/>
              <w:widowControl/>
              <w:rPr>
                <w:rFonts w:ascii="Times New Roman" w:hAnsi="Times New Roman" w:cs="Times New Roman"/>
                <w:sz w:val="24"/>
              </w:rPr>
            </w:pPr>
            <w:r>
              <w:rPr>
                <w:rFonts w:cs="Times New Roman" w:ascii="Times New Roman" w:hAnsi="Times New Roman"/>
                <w:sz w:val="24"/>
              </w:rPr>
              <w:t>Distribution</w:t>
            </w:r>
          </w:p>
        </w:tc>
        <w:tc>
          <w:tcPr>
            <w:tcW w:w="2053" w:type="dxa"/>
            <w:gridSpan w:val="3"/>
            <w:tcBorders/>
          </w:tcPr>
          <w:p>
            <w:pPr>
              <w:pStyle w:val="Normal"/>
              <w:widowControl/>
              <w:snapToGrid w:val="false"/>
              <w:ind w:start="72" w:end="0"/>
              <w:rPr>
                <w:rFonts w:ascii="Times New Roman" w:hAnsi="Times New Roman" w:cs="Times New Roman"/>
                <w:sz w:val="24"/>
              </w:rPr>
            </w:pPr>
            <w:r>
              <w:rPr>
                <w:rFonts w:cs="Times New Roman"/>
                <w:sz w:val="24"/>
              </w:rPr>
            </w:r>
          </w:p>
        </w:tc>
        <w:tc>
          <w:tcPr>
            <w:tcW w:w="2087" w:type="dxa"/>
            <w:tcBorders/>
          </w:tcPr>
          <w:p>
            <w:pPr>
              <w:pStyle w:val="Normal"/>
              <w:widowControl/>
              <w:snapToGrid w:val="false"/>
              <w:rPr>
                <w:b/>
                <w:sz w:val="24"/>
              </w:rPr>
            </w:pPr>
            <w:r>
              <w:rPr>
                <w:b/>
                <w:sz w:val="24"/>
              </w:rPr>
            </w:r>
          </w:p>
        </w:tc>
      </w:tr>
      <w:tr>
        <w:trPr>
          <w:trHeight w:val="269" w:hRule="exact"/>
        </w:trPr>
        <w:tc>
          <w:tcPr>
            <w:tcW w:w="1440" w:type="dxa"/>
            <w:tcBorders/>
          </w:tcPr>
          <w:p>
            <w:pPr>
              <w:pStyle w:val="Normal"/>
              <w:widowControl/>
              <w:snapToGrid w:val="false"/>
              <w:ind w:start="-108" w:end="0"/>
              <w:rPr>
                <w:b/>
                <w:sz w:val="24"/>
              </w:rPr>
            </w:pPr>
            <w:r>
              <w:rPr>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rHeight w:val="300" w:hRule="exact"/>
        </w:trPr>
        <w:tc>
          <w:tcPr>
            <w:tcW w:w="1440" w:type="dxa"/>
            <w:tcBorders/>
          </w:tcPr>
          <w:p>
            <w:pPr>
              <w:pStyle w:val="Normal"/>
              <w:widowControl/>
              <w:ind w:start="-108" w:end="0"/>
              <w:rPr>
                <w:b/>
                <w:sz w:val="24"/>
              </w:rPr>
            </w:pPr>
            <w:r>
              <w:rPr>
                <w:b/>
                <w:sz w:val="24"/>
              </w:rPr>
              <w:t>From:</w:t>
            </w:r>
          </w:p>
        </w:tc>
        <w:tc>
          <w:tcPr>
            <w:tcW w:w="3330" w:type="dxa"/>
            <w:tcBorders/>
          </w:tcPr>
          <w:p>
            <w:pPr>
              <w:pStyle w:val="From"/>
              <w:widowControl/>
              <w:rPr>
                <w:rFonts w:ascii="Times New Roman" w:hAnsi="Times New Roman" w:cs="Times New Roman"/>
                <w:sz w:val="24"/>
              </w:rPr>
            </w:pPr>
            <w:r>
              <w:rPr>
                <w:rFonts w:cs="Times New Roman" w:ascii="Times New Roman" w:hAnsi="Times New Roman"/>
                <w:sz w:val="24"/>
              </w:rPr>
              <w:t>Shelley Corman</w:t>
            </w:r>
          </w:p>
        </w:tc>
        <w:tc>
          <w:tcPr>
            <w:tcW w:w="1539" w:type="dxa"/>
            <w:gridSpan w:val="2"/>
            <w:tcBorders/>
          </w:tcPr>
          <w:p>
            <w:pPr>
              <w:pStyle w:val="Normal"/>
              <w:widowControl/>
              <w:snapToGrid w:val="false"/>
              <w:ind w:start="-180" w:end="0"/>
              <w:jc w:val="end"/>
              <w:rPr>
                <w:rFonts w:ascii="Times New Roman" w:hAnsi="Times New Roman" w:cs="Times New Roman"/>
                <w:b/>
                <w:sz w:val="24"/>
              </w:rPr>
            </w:pPr>
            <w:r>
              <w:rPr>
                <w:rFonts w:cs="Times New Roman"/>
                <w:b/>
                <w:sz w:val="24"/>
              </w:rPr>
            </w:r>
          </w:p>
        </w:tc>
        <w:tc>
          <w:tcPr>
            <w:tcW w:w="2601" w:type="dxa"/>
            <w:gridSpan w:val="2"/>
            <w:tcBorders/>
          </w:tcPr>
          <w:p>
            <w:pPr>
              <w:pStyle w:val="Department"/>
              <w:widowControl/>
              <w:snapToGrid w:val="false"/>
              <w:rPr>
                <w:rFonts w:ascii="Times New Roman" w:hAnsi="Times New Roman" w:cs="Times New Roman"/>
                <w:b/>
                <w:sz w:val="24"/>
              </w:rPr>
            </w:pPr>
            <w:r>
              <w:rPr>
                <w:rFonts w:cs="Times New Roman" w:ascii="Times New Roman" w:hAnsi="Times New Roman"/>
                <w:b/>
                <w:sz w:val="24"/>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cs="Times New Roman"/>
                <w:b/>
                <w:sz w:val="24"/>
              </w:rPr>
            </w:pPr>
            <w:r>
              <w:rPr>
                <w:rFonts w:cs="Times New Roman"/>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tabs>
                <w:tab w:val="clear" w:pos="720"/>
                <w:tab w:val="left" w:pos="-108" w:leader="none"/>
              </w:tabs>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c>
          <w:tcPr>
            <w:tcW w:w="1440" w:type="dxa"/>
            <w:tcBorders/>
          </w:tcPr>
          <w:p>
            <w:pPr>
              <w:pStyle w:val="Normal"/>
              <w:widowControl/>
              <w:ind w:start="-108" w:end="0"/>
              <w:rPr>
                <w:b/>
                <w:sz w:val="24"/>
              </w:rPr>
            </w:pPr>
            <w:r>
              <w:rPr>
                <w:b/>
                <w:sz w:val="24"/>
              </w:rPr>
              <w:t>Subject:</w:t>
            </w:r>
          </w:p>
        </w:tc>
        <w:tc>
          <w:tcPr>
            <w:tcW w:w="3330" w:type="dxa"/>
            <w:tcBorders/>
          </w:tcPr>
          <w:p>
            <w:pPr>
              <w:pStyle w:val="Subject"/>
              <w:widowControl/>
              <w:rPr>
                <w:rFonts w:ascii="Times New Roman" w:hAnsi="Times New Roman" w:cs="Times New Roman"/>
                <w:sz w:val="24"/>
              </w:rPr>
            </w:pPr>
            <w:r>
              <w:rPr>
                <w:rFonts w:cs="Times New Roman" w:ascii="Times New Roman" w:hAnsi="Times New Roman"/>
                <w:sz w:val="24"/>
              </w:rPr>
              <w:t xml:space="preserve">Dan Larcamp’s Visit to Enron and Remarks to INGAA </w:t>
            </w:r>
          </w:p>
        </w:tc>
        <w:tc>
          <w:tcPr>
            <w:tcW w:w="1232" w:type="dxa"/>
            <w:tcBorders/>
          </w:tcPr>
          <w:p>
            <w:pPr>
              <w:pStyle w:val="Normal"/>
              <w:widowControl/>
              <w:ind w:start="44" w:end="0"/>
              <w:rPr>
                <w:b/>
                <w:sz w:val="24"/>
              </w:rPr>
            </w:pPr>
            <w:r>
              <w:rPr>
                <w:b/>
                <w:sz w:val="24"/>
              </w:rPr>
              <w:t>Date:</w:t>
            </w:r>
          </w:p>
        </w:tc>
        <w:tc>
          <w:tcPr>
            <w:tcW w:w="2908" w:type="dxa"/>
            <w:gridSpan w:val="3"/>
            <w:tcBorders/>
          </w:tcPr>
          <w:p>
            <w:pPr>
              <w:pStyle w:val="Date"/>
              <w:widowControl/>
              <w:rPr>
                <w:rFonts w:ascii="Times New Roman" w:hAnsi="Times New Roman" w:cs="Times New Roman"/>
                <w:sz w:val="24"/>
              </w:rPr>
            </w:pPr>
            <w:r>
              <w:rPr>
                <w:rFonts w:cs="Times New Roman" w:ascii="Times New Roman" w:hAnsi="Times New Roman"/>
                <w:sz w:val="24"/>
              </w:rPr>
              <w:t>July 18, 2000</w:t>
            </w:r>
          </w:p>
        </w:tc>
      </w:tr>
    </w:tbl>
    <w:p>
      <w:pPr>
        <w:pStyle w:val="Normal"/>
        <w:widowControl/>
        <w:pBdr>
          <w:bottom w:val="single" w:sz="12" w:space="1" w:color="000000"/>
        </w:pBdr>
        <w:rPr>
          <w:sz w:val="24"/>
        </w:rPr>
      </w:pPr>
      <w:r>
        <w:rPr>
          <w:sz w:val="24"/>
        </w:rPr>
      </w:r>
    </w:p>
    <w:p>
      <w:pPr>
        <w:pStyle w:val="Normal"/>
        <w:widowControl/>
        <w:rPr>
          <w:sz w:val="22"/>
        </w:rPr>
      </w:pPr>
      <w:r>
        <w:rPr>
          <w:sz w:val="22"/>
        </w:rPr>
      </w:r>
    </w:p>
    <w:p>
      <w:pPr>
        <w:pStyle w:val="Normal"/>
        <w:spacing w:lineRule="atLeast" w:line="240"/>
        <w:rPr>
          <w:color w:val="000000"/>
          <w:sz w:val="22"/>
        </w:rPr>
      </w:pPr>
      <w:r>
        <w:rPr>
          <w:color w:val="000000"/>
          <w:sz w:val="22"/>
        </w:rPr>
        <w:t xml:space="preserve">Below are my notes of remarks made by Dan Larcamp, Director of FERC Office of Markets, Tariffs and Rates during lunch with GPG staff and dinner with INGAA today. </w:t>
      </w:r>
    </w:p>
    <w:p>
      <w:pPr>
        <w:pStyle w:val="Normal"/>
        <w:spacing w:lineRule="atLeast" w:line="240"/>
        <w:rPr>
          <w:color w:val="000000"/>
          <w:sz w:val="22"/>
        </w:rPr>
      </w:pPr>
      <w:r>
        <w:rPr>
          <w:color w:val="000000"/>
          <w:sz w:val="22"/>
        </w:rPr>
      </w:r>
    </w:p>
    <w:p>
      <w:pPr>
        <w:pStyle w:val="Normal"/>
        <w:numPr>
          <w:ilvl w:val="0"/>
          <w:numId w:val="4"/>
        </w:numPr>
        <w:spacing w:lineRule="atLeast" w:line="240"/>
        <w:rPr>
          <w:color w:val="000000"/>
          <w:sz w:val="22"/>
        </w:rPr>
      </w:pPr>
      <w:r>
        <w:rPr>
          <w:b/>
          <w:color w:val="000000"/>
          <w:sz w:val="22"/>
        </w:rPr>
        <w:t>Expect FERC Staff Turnover and Resource Considerations.</w:t>
      </w:r>
      <w:r>
        <w:rPr>
          <w:color w:val="000000"/>
          <w:sz w:val="22"/>
        </w:rPr>
        <w:t xml:space="preserve">  FERC will experience budgetary headcount reductions of 10%, including targeted reductions from senior staff through buyouts.  FERC will be looking for industry to provide training opportunities for less-tenured staff that step in to fill loses in senior staff.  Dan specifically requested that INGAA organize some training on the economics of pipeline construction, and I will follow up with Joan Dreskin of INGAA to develop such training program.  With FERC resource constraints, Dan ask us to consider the demands we make on FERC resources (e.g. are responsive pleadings always necessary).  Also, he advises that the industry should not look to FERC to arbitrate all disputes (he cited some successes in use of outside mediators).</w:t>
      </w:r>
    </w:p>
    <w:p>
      <w:pPr>
        <w:pStyle w:val="Normal"/>
        <w:numPr>
          <w:ilvl w:val="0"/>
          <w:numId w:val="4"/>
        </w:numPr>
        <w:spacing w:lineRule="atLeast" w:line="240"/>
        <w:rPr>
          <w:color w:val="000000"/>
          <w:sz w:val="22"/>
        </w:rPr>
      </w:pPr>
      <w:r>
        <w:rPr>
          <w:b/>
          <w:color w:val="000000"/>
          <w:sz w:val="22"/>
        </w:rPr>
        <w:t>No Surprises in Outreach Meetings</w:t>
      </w:r>
      <w:r>
        <w:rPr>
          <w:color w:val="000000"/>
          <w:sz w:val="22"/>
        </w:rPr>
        <w:t xml:space="preserve">. NGSA argued that pipelines are over-earning allowed returns (Form 2 data is inadequate to prove that pipelines are over-earning and should be expanded along the lines of the electric Form 1 data), rates are stale, and there are marketing affiliate abuses.  AGA argued that pipelines need to maintain high quality recourse services and such services should be codified in tariffs.  APGA argued that the addition of electric generation loads is causing price inflation. Dan has instructed staff to provide summaries of the meetings to the Commissioners.  </w:t>
      </w:r>
    </w:p>
    <w:p>
      <w:pPr>
        <w:pStyle w:val="Normal"/>
        <w:numPr>
          <w:ilvl w:val="0"/>
          <w:numId w:val="4"/>
        </w:numPr>
        <w:spacing w:lineRule="atLeast" w:line="240"/>
        <w:rPr>
          <w:color w:val="000000"/>
          <w:sz w:val="22"/>
        </w:rPr>
      </w:pPr>
      <w:r>
        <w:rPr>
          <w:b/>
          <w:color w:val="000000"/>
          <w:sz w:val="22"/>
        </w:rPr>
        <w:t>Status Quo Climate</w:t>
      </w:r>
      <w:r>
        <w:rPr>
          <w:color w:val="000000"/>
          <w:sz w:val="22"/>
        </w:rPr>
        <w:t xml:space="preserve">.  With Hoecker’s term expiring when Congress recesses in October and the remaining commissioners at philosophical polar extremes, no major initiatives are likely this fall.  The September 19 staff conference on Order No. 637 will be attempt to gather data on market liquidity.  It sounds like the only initiative likely to could come out of the conference is a rulemaking or policy statement concerning production area rate design (i.e. Commissioner Breathitt’s push to unbundle the production portion of postage stamp rates). </w:t>
      </w:r>
    </w:p>
    <w:p>
      <w:pPr>
        <w:pStyle w:val="Normal"/>
        <w:numPr>
          <w:ilvl w:val="0"/>
          <w:numId w:val="4"/>
        </w:numPr>
        <w:spacing w:lineRule="atLeast" w:line="240"/>
        <w:rPr>
          <w:sz w:val="22"/>
        </w:rPr>
      </w:pPr>
      <w:r>
        <w:rPr>
          <w:b/>
          <w:color w:val="000000"/>
          <w:sz w:val="22"/>
        </w:rPr>
        <w:t>Pipelines Need to Reconcile Positions with Corporate Positions on Electric Issues.</w:t>
      </w:r>
      <w:r>
        <w:rPr>
          <w:color w:val="000000"/>
          <w:sz w:val="22"/>
        </w:rPr>
        <w:t xml:space="preserve">  Industry continues to argue that FERC should focus on completing electric restructuring.   But, why shouldn’t pipelines be willing to follow electric industry policies on discounting, capacity trading, Form 1 data and affiliate rules.   Dan argues that electric transmission discounts are posted on OASIS, available to all in the path, and are negotiated electronically.   I’ll check out whether our power folks agree with this characterization of the OASIS process.  I will also get with Jim Steffes and Joe Hartsoe to see if there are any other issues in which we could be perceived as having conflicting Enron positions on the gas &amp; electric matters.</w:t>
      </w:r>
      <w:r>
        <w:br w:type="page"/>
      </w:r>
    </w:p>
    <w:p>
      <w:pPr>
        <w:pStyle w:val="Normal"/>
        <w:spacing w:lineRule="atLeast" w:line="240"/>
        <w:rPr>
          <w:b/>
          <w:color w:val="000000"/>
          <w:sz w:val="22"/>
        </w:rPr>
      </w:pPr>
      <w:r>
        <w:rPr>
          <w:b/>
          <w:color w:val="000000"/>
          <w:sz w:val="22"/>
        </w:rPr>
      </w:r>
    </w:p>
    <w:p>
      <w:pPr>
        <w:pStyle w:val="Normal"/>
        <w:numPr>
          <w:ilvl w:val="0"/>
          <w:numId w:val="4"/>
        </w:numPr>
        <w:spacing w:lineRule="atLeast" w:line="240"/>
        <w:rPr>
          <w:sz w:val="22"/>
        </w:rPr>
      </w:pPr>
      <w:r>
        <w:rPr>
          <w:b/>
          <w:sz w:val="22"/>
        </w:rPr>
        <w:t>Industry Should Work to Make RTOs a Reality.</w:t>
      </w:r>
      <w:r>
        <w:rPr>
          <w:sz w:val="22"/>
        </w:rPr>
        <w:t xml:space="preserve">  Pipelines can serve a role in continuing to talk with Commissioners about the benefits of the gas model.  Dan also said that the Commission needs data on the competitive benefits of electric restructuring </w:t>
      </w:r>
    </w:p>
    <w:p>
      <w:pPr>
        <w:pStyle w:val="Normal"/>
        <w:numPr>
          <w:ilvl w:val="0"/>
          <w:numId w:val="4"/>
        </w:numPr>
        <w:spacing w:lineRule="atLeast" w:line="240"/>
        <w:rPr>
          <w:sz w:val="22"/>
        </w:rPr>
      </w:pPr>
      <w:r>
        <w:rPr>
          <w:b/>
          <w:sz w:val="22"/>
        </w:rPr>
        <w:t>Marketing Affiliate Rule Changes are Needed.</w:t>
      </w:r>
      <w:r>
        <w:rPr>
          <w:sz w:val="22"/>
        </w:rPr>
        <w:t xml:space="preserve">  During the outreach sessions we heard a number of FERC staff (Madden, Cannon, O’Neill and Cupina) arguing for marketing affiliate rule changes.  Dan Larcamp left no doubt that this has become the prevailing view with FERC staff.  It seems to be more of a philosophical position than one motivated by specific factual concerns.  Dan stated his view that Standards of Conduct are an inefficient and resource-intensive way to ensure separation.  He said that he can’t understand why pipelines are unwilling to follow the stricter model from the electric side.  When pressed about what it is about the electric side that is  “stricter”, he comes back to fact that currently on the electric side an affiliate may only negotiate a discount through the on-line OASIS system.  Stan Horton and several other pipeline executives pointed out fundamental differences in industry structure between gas and electric, with electric utilities continuing to be vertically integrated.  Dan’s response is that under Order 2000 (RTOs), FERC will be requiring strict independence of the transmission entity.</w:t>
      </w:r>
    </w:p>
    <w:p>
      <w:pPr>
        <w:pStyle w:val="Normal"/>
        <w:numPr>
          <w:ilvl w:val="0"/>
          <w:numId w:val="2"/>
        </w:numPr>
        <w:tabs>
          <w:tab w:val="left" w:pos="720" w:leader="none"/>
        </w:tabs>
        <w:spacing w:lineRule="atLeast" w:line="240"/>
        <w:ind w:hanging="360" w:start="720" w:end="0"/>
        <w:rPr>
          <w:sz w:val="22"/>
        </w:rPr>
      </w:pPr>
      <w:r>
        <w:rPr>
          <w:sz w:val="22"/>
        </w:rPr>
        <w:t>INGAA needs to reassess its action plan.  INGAA had planned to follow-up on the outreach discussions with a letter to the Commission documenting that: (1) affiliates do not hold the majority of capacity on affiliated pipelines, and (2) affiliate discounts are no greater than non-affiliated discounts.  Dan says that after-the-fact discount data does not go to his fundamental concern that affiliates have a preferential opportunity to negotiate discounts because there is not an open bidding mechanism.</w:t>
      </w:r>
    </w:p>
    <w:p>
      <w:pPr>
        <w:pStyle w:val="Normal"/>
        <w:numPr>
          <w:ilvl w:val="0"/>
          <w:numId w:val="2"/>
        </w:numPr>
        <w:tabs>
          <w:tab w:val="left" w:pos="720" w:leader="none"/>
        </w:tabs>
        <w:spacing w:lineRule="atLeast" w:line="240"/>
        <w:ind w:hanging="360" w:start="720" w:end="0"/>
        <w:rPr>
          <w:sz w:val="22"/>
        </w:rPr>
      </w:pPr>
      <w:r>
        <w:rPr>
          <w:sz w:val="22"/>
        </w:rPr>
        <w:t xml:space="preserve">Dan’s rationale seems to fit in with some recent language in a FERC order in Dominion/CNG compliance filing in which the Commission explains that the Standard F prohibition on sharing transportation information is no longer sufficient to protect against preferential negotiations with affiliates.  </w:t>
      </w:r>
    </w:p>
    <w:p>
      <w:pPr>
        <w:pStyle w:val="Normal"/>
        <w:numPr>
          <w:ilvl w:val="0"/>
          <w:numId w:val="2"/>
        </w:numPr>
        <w:tabs>
          <w:tab w:val="left" w:pos="720" w:leader="none"/>
        </w:tabs>
        <w:spacing w:lineRule="atLeast" w:line="240"/>
        <w:ind w:hanging="360" w:start="720" w:end="0"/>
        <w:rPr>
          <w:sz w:val="22"/>
        </w:rPr>
      </w:pPr>
      <w:r>
        <w:rPr>
          <w:sz w:val="22"/>
        </w:rPr>
        <w:t xml:space="preserve">I’ll prepare a side-by-side comparison of electric and gas marketing affiliate rules. Note that after the Order No. 637 reporting requirements take effect in September, pipelines will have already bridged several significant differences between gas and electric.  First, contracts will be posted.  Second, organization charts, names and job descriptions will be posted. </w:t>
      </w:r>
    </w:p>
    <w:p>
      <w:pPr>
        <w:pStyle w:val="Normal"/>
        <w:numPr>
          <w:ilvl w:val="0"/>
          <w:numId w:val="3"/>
        </w:numPr>
        <w:spacing w:lineRule="atLeast" w:line="240"/>
        <w:rPr>
          <w:sz w:val="22"/>
        </w:rPr>
      </w:pPr>
      <w:r>
        <w:rPr>
          <w:b/>
          <w:sz w:val="22"/>
        </w:rPr>
        <w:t>Continued Standardization is Necessary to Facilitate E-commerce</w:t>
      </w:r>
      <w:r>
        <w:rPr>
          <w:sz w:val="22"/>
        </w:rPr>
        <w:t xml:space="preserve">.  Dan believes gas and electric standards must progress in tandem.  For example, he doesn’t understand how gas markets can remain daily when electric markets are hourly.  He believes that there are lost opportunities from not conducting gas transactions on an hourly basis (he made this point several times during the gas control visit when Mike Bryant was showing Dan the hourly take profile of the FGT market).  Dan envisions the eventual combining of EBB and OASIS sites.  He doesn’t understand the reasons for separate gas and electric sales contract provisions (in the e-commerce world, traders don’t have time to negotiate things like indemnity clauses).  He also said that pipeline need to reconcile the trend towards on-line capacity trading and custom services.  </w:t>
      </w:r>
    </w:p>
    <w:p>
      <w:pPr>
        <w:pStyle w:val="Normal"/>
        <w:numPr>
          <w:ilvl w:val="0"/>
          <w:numId w:val="3"/>
        </w:numPr>
        <w:spacing w:lineRule="atLeast" w:line="240"/>
        <w:rPr>
          <w:sz w:val="22"/>
        </w:rPr>
      </w:pPr>
      <w:r>
        <w:rPr>
          <w:b/>
          <w:sz w:val="22"/>
        </w:rPr>
        <w:t>Two-Tierred Regulatory Model</w:t>
      </w:r>
      <w:r>
        <w:rPr>
          <w:sz w:val="22"/>
        </w:rPr>
        <w:t>.  Dan said that he believes that different regulatory approaches may be warranted between competitive and captive portions of a pipeline.  Discounting and production area rate issues indicate to him that there are probably already portions of systems that are competitive.</w:t>
      </w:r>
    </w:p>
    <w:p>
      <w:pPr>
        <w:pStyle w:val="Normal"/>
        <w:spacing w:lineRule="atLeast" w:line="24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color w:val="000000"/>
      <w:u w:val="single"/>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spacing w:lineRule="atLeast" w:line="240"/>
      <w:outlineLvl w:val="6"/>
    </w:pPr>
    <w:rPr>
      <w:b/>
      <w:color w:val="000000"/>
      <w:sz w:val="24"/>
    </w:rPr>
  </w:style>
  <w:style w:type="paragraph" w:styleId="Heading8">
    <w:name w:val="heading 8"/>
    <w:basedOn w:val="Normal"/>
    <w:next w:val="Normal"/>
    <w:qFormat/>
    <w:pPr>
      <w:keepNext w:val="true"/>
      <w:numPr>
        <w:ilvl w:val="7"/>
        <w:numId w:val="1"/>
      </w:numPr>
      <w:spacing w:lineRule="atLeast" w:line="240"/>
      <w:outlineLvl w:val="7"/>
    </w:pPr>
    <w:rPr>
      <w:b/>
      <w:color w:val="000000"/>
      <w:sz w:val="24"/>
      <w:u w:val="single"/>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2000-07-19T02:22:00Z</dcterms:created>
  <dc:creator>ET&amp;S LAN Support</dc:creator>
  <dc:description/>
  <dc:language>en-CA</dc:language>
  <cp:lastModifiedBy>ETS</cp:lastModifiedBy>
  <cp:lastPrinted>1999-09-08T16:39:00Z</cp:lastPrinted>
  <dcterms:modified xsi:type="dcterms:W3CDTF">2000-07-19T02:22:00Z</dcterms:modified>
  <cp:revision>2</cp:revision>
  <dc:subject/>
  <dc:title>DRAFT</dc:title>
</cp:coreProperties>
</file>