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lang w:val="en-US"/>
        </w:rPr>
      </w:pPr>
      <w:r>
        <w:rPr>
          <w:sz w:val="28"/>
          <w:lang w:val="en-US"/>
        </w:rPr>
        <w:drawing>
          <wp:inline distT="0" distB="0" distL="0" distR="0">
            <wp:extent cx="1765935" cy="8909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2" t="-23" r="-12" b="-23"/>
                    <a:stretch>
                      <a:fillRect/>
                    </a:stretch>
                  </pic:blipFill>
                  <pic:spPr bwMode="auto">
                    <a:xfrm>
                      <a:off x="0" y="0"/>
                      <a:ext cx="1765935" cy="890905"/>
                    </a:xfrm>
                    <a:prstGeom prst="rect">
                      <a:avLst/>
                    </a:prstGeom>
                    <a:noFill/>
                  </pic:spPr>
                </pic:pic>
              </a:graphicData>
            </a:graphic>
          </wp:inline>
        </w:drawing>
      </w:r>
    </w:p>
    <w:p>
      <w:pPr>
        <w:pStyle w:val="Normal"/>
        <w:rPr>
          <w:sz w:val="28"/>
          <w:lang w:val="en-US"/>
        </w:rPr>
      </w:pPr>
      <w:r>
        <w:rPr>
          <w:sz w:val="28"/>
          <w:lang w:val="en-US"/>
        </w:rPr>
      </w:r>
    </w:p>
    <w:p>
      <w:pPr>
        <w:pStyle w:val="Normal"/>
        <w:rPr>
          <w:sz w:val="28"/>
          <w:lang w:val="en-US"/>
        </w:rPr>
      </w:pPr>
      <w:r>
        <w:rPr>
          <w:sz w:val="28"/>
          <w:lang w:val="en-US"/>
        </w:rPr>
      </w:r>
    </w:p>
    <w:p>
      <w:pPr>
        <w:pStyle w:val="Normal"/>
        <w:rPr>
          <w:sz w:val="28"/>
          <w:lang w:val="en-US"/>
        </w:rPr>
      </w:pPr>
      <w:r>
        <w:rPr>
          <w:sz w:val="28"/>
          <w:lang w:val="en-US"/>
        </w:rPr>
      </w:r>
    </w:p>
    <w:p>
      <w:pPr>
        <w:pStyle w:val="Normal"/>
        <w:rPr/>
      </w:pPr>
      <w:r>
        <w:rPr>
          <w:rFonts w:cs="Arial" w:ascii="Arial" w:hAnsi="Arial"/>
          <w:sz w:val="22"/>
          <w:lang w:val="en-US"/>
        </w:rPr>
        <w:t>Lara &amp; Associates LLC is a Hispanic-owned company that</w:t>
      </w:r>
      <w:r>
        <w:rPr>
          <w:sz w:val="22"/>
          <w:lang w:val="en-US"/>
        </w:rPr>
        <w:t xml:space="preserve"> </w:t>
      </w:r>
      <w:r>
        <w:rPr>
          <w:rFonts w:cs="Arial" w:ascii="Arial" w:hAnsi="Arial"/>
          <w:sz w:val="22"/>
          <w:lang w:val="en-US"/>
        </w:rPr>
        <w:t>strategizes, organizes and executes business initiatives</w:t>
      </w:r>
      <w:r>
        <w:rPr>
          <w:sz w:val="22"/>
          <w:lang w:val="en-US"/>
        </w:rPr>
        <w:t xml:space="preserve"> </w:t>
      </w:r>
      <w:r>
        <w:rPr>
          <w:rFonts w:cs="Arial" w:ascii="Arial" w:hAnsi="Arial"/>
          <w:sz w:val="22"/>
          <w:lang w:val="en-US"/>
        </w:rPr>
        <w:t xml:space="preserve">related to the U.S.-Mexico marketplace on behalf of private companies, non-profit organizations and government agencies.  </w:t>
      </w:r>
    </w:p>
    <w:p>
      <w:pPr>
        <w:pStyle w:val="Normal"/>
        <w:rPr>
          <w:rFonts w:ascii="Arial" w:hAnsi="Arial" w:cs="Courier New"/>
          <w:sz w:val="22"/>
          <w:lang w:val="en-US"/>
        </w:rPr>
      </w:pPr>
      <w:r>
        <w:rPr>
          <w:rFonts w:cs="Courier New" w:ascii="Arial" w:hAnsi="Arial"/>
          <w:sz w:val="22"/>
          <w:lang w:val="en-US"/>
        </w:rPr>
      </w:r>
    </w:p>
    <w:p>
      <w:pPr>
        <w:pStyle w:val="Normal"/>
        <w:rPr>
          <w:rFonts w:ascii="Arial" w:hAnsi="Arial" w:cs="Courier New"/>
          <w:sz w:val="22"/>
          <w:lang w:val="en-US"/>
        </w:rPr>
      </w:pPr>
      <w:r>
        <w:rPr>
          <w:rFonts w:cs="Courier New" w:ascii="Arial" w:hAnsi="Arial"/>
          <w:sz w:val="22"/>
          <w:lang w:val="en-US"/>
        </w:rPr>
      </w:r>
    </w:p>
    <w:p>
      <w:pPr>
        <w:pStyle w:val="BodyText"/>
        <w:rPr>
          <w:rFonts w:cs="Arial"/>
          <w:sz w:val="22"/>
        </w:rPr>
      </w:pPr>
      <w:r>
        <w:rPr>
          <w:rFonts w:cs="Arial"/>
          <w:sz w:val="22"/>
        </w:rPr>
        <w:t xml:space="preserve">Lara &amp; Associates LLC provides a strong foothold in the bicultural areas between the two countries, as well as knowledge of, and hands on experience in, the field of U.S.-Mexican bi-lateral trade and investment.  The firm deploys the deep experience base of programs on which the associates have worked, and the relationships that they have formed over the years with business and government leaders in both countries.  Special emphasis is provided to the opportunities related to the interests and needs of the U.S. Hispanic community and its synergies with Mexico. </w:t>
      </w:r>
    </w:p>
    <w:p>
      <w:pPr>
        <w:pStyle w:val="BodyText"/>
        <w:rPr>
          <w:rFonts w:cs="Arial"/>
          <w:sz w:val="22"/>
        </w:rPr>
      </w:pPr>
      <w:r>
        <w:rPr>
          <w:rFonts w:cs="Arial"/>
          <w:sz w:val="22"/>
        </w:rPr>
      </w:r>
    </w:p>
    <w:p>
      <w:pPr>
        <w:pStyle w:val="Normal"/>
        <w:rPr>
          <w:rFonts w:ascii="Arial" w:hAnsi="Arial" w:cs="Courier New"/>
          <w:sz w:val="22"/>
          <w:lang w:val="en-US"/>
        </w:rPr>
      </w:pPr>
      <w:r>
        <w:rPr>
          <w:rFonts w:cs="Courier New" w:ascii="Arial" w:hAnsi="Arial"/>
          <w:sz w:val="22"/>
          <w:lang w:val="en-US"/>
        </w:rPr>
      </w:r>
    </w:p>
    <w:p>
      <w:pPr>
        <w:pStyle w:val="Normal"/>
        <w:rPr/>
      </w:pPr>
      <w:r>
        <w:rPr>
          <w:rFonts w:cs="Courier New" w:ascii="Arial" w:hAnsi="Arial"/>
          <w:sz w:val="22"/>
          <w:lang w:val="en-US"/>
        </w:rPr>
        <w:t xml:space="preserve">Lara &amp; Associates is a </w:t>
      </w:r>
      <w:r>
        <w:rPr>
          <w:rFonts w:eastAsia="Arial" w:cs="Arial" w:ascii="Arial" w:hAnsi="Arial"/>
          <w:sz w:val="22"/>
          <w:szCs w:val="28"/>
          <w:lang w:val="en-US"/>
        </w:rPr>
        <w:t xml:space="preserve">powerful and knowledgeable </w:t>
      </w:r>
      <w:r>
        <w:rPr>
          <w:rFonts w:cs="Courier New" w:ascii="Arial" w:hAnsi="Arial"/>
          <w:sz w:val="22"/>
          <w:lang w:val="en-US"/>
        </w:rPr>
        <w:t>ally that helps a project and/or a company to easily navigate the opportunities and uncertainties of doing cross-border business.  Lara &amp; Associates gets the work done.</w:t>
      </w:r>
    </w:p>
    <w:p>
      <w:pPr>
        <w:pStyle w:val="Heading3"/>
        <w:ind w:hanging="0" w:start="0"/>
        <w:jc w:val="both"/>
        <w:rPr>
          <w:rFonts w:ascii="Arial" w:hAnsi="Arial" w:cs="Courier New"/>
          <w:b w:val="false"/>
          <w:bCs w:val="false"/>
          <w:sz w:val="22"/>
          <w:u w:val="none"/>
          <w:lang w:val="en-US"/>
        </w:rPr>
      </w:pPr>
      <w:r>
        <w:rPr>
          <w:rFonts w:cs="Courier New"/>
          <w:b w:val="false"/>
          <w:bCs w:val="false"/>
          <w:sz w:val="22"/>
          <w:u w:val="none"/>
          <w:lang w:val="en-US"/>
        </w:rPr>
      </w:r>
    </w:p>
    <w:p>
      <w:pPr>
        <w:pStyle w:val="Normal"/>
        <w:rPr>
          <w:b/>
          <w:bCs/>
          <w:sz w:val="22"/>
          <w:u w:val="none"/>
          <w:lang w:val="en-US"/>
        </w:rPr>
      </w:pPr>
      <w:r>
        <w:rPr>
          <w:b/>
          <w:bCs/>
          <w:sz w:val="22"/>
          <w:u w:val="none"/>
          <w:lang w:val="en-US"/>
        </w:rPr>
      </w:r>
    </w:p>
    <w:p>
      <w:pPr>
        <w:pStyle w:val="BodyText"/>
        <w:rPr>
          <w:sz w:val="22"/>
        </w:rPr>
      </w:pPr>
      <w:r>
        <w:rPr>
          <w:sz w:val="22"/>
        </w:rPr>
        <w:t>Lara &amp; Associates focus is in the following sectors, as it believes that they offer the most potential for success:</w:t>
      </w:r>
    </w:p>
    <w:p>
      <w:pPr>
        <w:pStyle w:val="BodyText"/>
        <w:rPr>
          <w:sz w:val="20"/>
        </w:rPr>
      </w:pPr>
      <w:r>
        <w:rPr>
          <w:sz w:val="20"/>
        </w:rPr>
      </w:r>
    </w:p>
    <w:p>
      <w:pPr>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pPr>
    </w:p>
    <w:p>
      <w:pPr>
        <w:pStyle w:val="Normal"/>
        <w:numPr>
          <w:ilvl w:val="0"/>
          <w:numId w:val="3"/>
        </w:numPr>
        <w:rPr>
          <w:rFonts w:ascii="Arial" w:hAnsi="Arial" w:cs="Arial"/>
          <w:spacing w:val="20"/>
          <w:sz w:val="22"/>
          <w:lang w:val="en-US"/>
        </w:rPr>
      </w:pPr>
      <w:r>
        <w:rPr>
          <w:rFonts w:cs="Arial" w:ascii="Arial" w:hAnsi="Arial"/>
          <w:spacing w:val="20"/>
          <w:sz w:val="22"/>
          <w:lang w:val="en-US"/>
        </w:rPr>
        <w:t>Energy</w:t>
      </w:r>
    </w:p>
    <w:p>
      <w:pPr>
        <w:pStyle w:val="Normal"/>
        <w:numPr>
          <w:ilvl w:val="0"/>
          <w:numId w:val="3"/>
        </w:numPr>
        <w:rPr>
          <w:rFonts w:ascii="Arial" w:hAnsi="Arial" w:cs="Arial"/>
          <w:spacing w:val="20"/>
          <w:sz w:val="22"/>
          <w:lang w:val="en-US"/>
        </w:rPr>
      </w:pPr>
      <w:r>
        <w:rPr>
          <w:rFonts w:cs="Arial" w:ascii="Arial" w:hAnsi="Arial"/>
          <w:spacing w:val="20"/>
          <w:sz w:val="22"/>
          <w:lang w:val="en-US"/>
        </w:rPr>
        <w:t>Franchising</w:t>
      </w:r>
    </w:p>
    <w:p>
      <w:pPr>
        <w:pStyle w:val="Normal"/>
        <w:numPr>
          <w:ilvl w:val="0"/>
          <w:numId w:val="3"/>
        </w:numPr>
        <w:rPr>
          <w:rFonts w:ascii="Arial" w:hAnsi="Arial" w:cs="Arial"/>
          <w:spacing w:val="20"/>
          <w:sz w:val="22"/>
          <w:lang w:val="en-US"/>
        </w:rPr>
      </w:pPr>
      <w:r>
        <w:rPr>
          <w:rFonts w:cs="Arial" w:ascii="Arial" w:hAnsi="Arial"/>
          <w:spacing w:val="20"/>
          <w:sz w:val="22"/>
          <w:lang w:val="en-US"/>
        </w:rPr>
        <w:t>Manufacturing</w:t>
      </w:r>
    </w:p>
    <w:p>
      <w:pPr>
        <w:pStyle w:val="Normal"/>
        <w:numPr>
          <w:ilvl w:val="0"/>
          <w:numId w:val="3"/>
        </w:numPr>
        <w:rPr>
          <w:rFonts w:ascii="Arial" w:hAnsi="Arial" w:cs="Arial"/>
          <w:spacing w:val="20"/>
          <w:sz w:val="22"/>
          <w:lang w:val="fr-FR"/>
        </w:rPr>
      </w:pPr>
      <w:r>
        <w:rPr>
          <w:rFonts w:cs="Arial" w:ascii="Arial" w:hAnsi="Arial"/>
          <w:spacing w:val="20"/>
          <w:sz w:val="22"/>
          <w:lang w:val="fr-FR"/>
        </w:rPr>
        <w:t>Service Industries</w:t>
      </w:r>
    </w:p>
    <w:p>
      <w:pPr>
        <w:pStyle w:val="Normal"/>
        <w:numPr>
          <w:ilvl w:val="0"/>
          <w:numId w:val="3"/>
        </w:numPr>
        <w:rPr>
          <w:rFonts w:ascii="Arial" w:hAnsi="Arial" w:cs="Arial"/>
          <w:sz w:val="22"/>
          <w:lang w:val="fr-FR"/>
        </w:rPr>
      </w:pPr>
      <w:r>
        <w:rPr>
          <w:rFonts w:cs="Arial" w:ascii="Arial" w:hAnsi="Arial"/>
          <w:spacing w:val="20"/>
          <w:sz w:val="22"/>
          <w:lang w:val="fr-FR"/>
        </w:rPr>
        <w:t>Communications</w:t>
      </w:r>
    </w:p>
    <w:p>
      <w:pPr>
        <w:pStyle w:val="Normal"/>
        <w:numPr>
          <w:ilvl w:val="0"/>
          <w:numId w:val="3"/>
        </w:numPr>
        <w:rPr>
          <w:rFonts w:ascii="Arial" w:hAnsi="Arial" w:cs="Courier New"/>
          <w:sz w:val="22"/>
          <w:lang w:val="en-US"/>
        </w:rPr>
      </w:pPr>
      <w:r>
        <w:rPr>
          <w:rFonts w:cs="Arial" w:ascii="Arial" w:hAnsi="Arial"/>
          <w:spacing w:val="20"/>
          <w:sz w:val="22"/>
          <w:lang w:val="fr-FR"/>
        </w:rPr>
        <w:t>Tourism</w:t>
      </w:r>
    </w:p>
    <w:p>
      <w:pPr>
        <w:sectPr>
          <w:type w:val="continuous"/>
          <w:pgSz w:w="12240" w:h="15840"/>
          <w:pgMar w:left="1800" w:right="1800" w:gutter="0" w:header="0" w:top="1440" w:footer="720" w:bottom="1440"/>
          <w:cols w:num="2" w:space="720" w:equalWidth="true" w:sep="false"/>
          <w:formProt w:val="false"/>
          <w:textDirection w:val="lrTb"/>
          <w:docGrid w:type="default" w:linePitch="360" w:charSpace="0"/>
        </w:sectPr>
      </w:pPr>
    </w:p>
    <w:p>
      <w:pPr>
        <w:pStyle w:val="Heading1"/>
        <w:numPr>
          <w:ilvl w:val="0"/>
          <w:numId w:val="0"/>
        </w:numPr>
        <w:rPr>
          <w:rFonts w:ascii="Arial" w:hAnsi="Arial" w:cs="Courier New"/>
          <w:sz w:val="30"/>
          <w:lang w:val="fr-FR"/>
        </w:rPr>
      </w:pPr>
      <w:r>
        <w:rPr>
          <w:rFonts w:cs="Courier New"/>
          <w:sz w:val="30"/>
          <w:lang w:val="fr-FR"/>
        </w:rPr>
      </w:r>
      <w:r>
        <w:br w:type="page"/>
      </w:r>
    </w:p>
    <w:p>
      <w:pPr>
        <w:pStyle w:val="Heading1"/>
        <w:ind w:hanging="0" w:start="0"/>
        <w:rPr>
          <w:sz w:val="28"/>
          <w:lang w:val="en-US"/>
        </w:rPr>
      </w:pPr>
      <w:r>
        <w:rPr>
          <w:sz w:val="28"/>
          <w:lang w:val="en-US"/>
        </w:rPr>
        <w:drawing>
          <wp:inline distT="0" distB="0" distL="0" distR="0">
            <wp:extent cx="1765935" cy="89090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4"/>
                    <a:srcRect l="-12" t="-23" r="-12" b="-23"/>
                    <a:stretch>
                      <a:fillRect/>
                    </a:stretch>
                  </pic:blipFill>
                  <pic:spPr bwMode="auto">
                    <a:xfrm>
                      <a:off x="0" y="0"/>
                      <a:ext cx="1765935" cy="890905"/>
                    </a:xfrm>
                    <a:prstGeom prst="rect">
                      <a:avLst/>
                    </a:prstGeom>
                    <a:noFill/>
                  </pic:spPr>
                </pic:pic>
              </a:graphicData>
            </a:graphic>
          </wp:inline>
        </w:drawing>
      </w:r>
    </w:p>
    <w:p>
      <w:pPr>
        <w:pStyle w:val="Heading1"/>
        <w:ind w:hanging="0" w:start="0"/>
        <w:jc w:val="start"/>
        <w:rPr>
          <w:sz w:val="28"/>
          <w:lang w:val="en-US"/>
        </w:rPr>
      </w:pPr>
      <w:r>
        <w:rPr>
          <w:sz w:val="28"/>
          <w:lang w:val="en-US"/>
        </w:rPr>
      </w:r>
    </w:p>
    <w:p>
      <w:pPr>
        <w:pStyle w:val="Normal"/>
        <w:rPr>
          <w:sz w:val="28"/>
          <w:lang w:val="en-US"/>
        </w:rPr>
      </w:pPr>
      <w:r>
        <w:rPr>
          <w:sz w:val="28"/>
          <w:lang w:val="en-US"/>
        </w:rPr>
      </w:r>
    </w:p>
    <w:p>
      <w:pPr>
        <w:pStyle w:val="Normal"/>
        <w:rPr>
          <w:sz w:val="18"/>
          <w:lang w:val="en-US"/>
        </w:rPr>
      </w:pPr>
      <w:r>
        <w:rPr>
          <w:sz w:val="18"/>
          <w:lang w:val="en-US"/>
        </w:rPr>
      </w:r>
    </w:p>
    <w:p>
      <w:pPr>
        <w:pStyle w:val="Heading1"/>
        <w:ind w:hanging="0" w:start="0"/>
        <w:jc w:val="start"/>
        <w:rPr>
          <w:sz w:val="22"/>
          <w:lang w:val="en-US"/>
        </w:rPr>
      </w:pPr>
      <w:r>
        <w:rPr>
          <w:sz w:val="22"/>
          <w:lang w:val="en-US"/>
        </w:rPr>
        <w:t>Lara &amp; Associates is a full-service, high-end source for custom made services, including the following:</w:t>
      </w:r>
    </w:p>
    <w:p>
      <w:pPr>
        <w:pStyle w:val="Heading1"/>
        <w:ind w:hanging="0" w:start="0"/>
        <w:jc w:val="both"/>
        <w:rPr>
          <w:sz w:val="18"/>
          <w:lang w:val="en-US"/>
        </w:rPr>
      </w:pPr>
      <w:r>
        <w:rPr>
          <w:sz w:val="18"/>
          <w:lang w:val="en-US"/>
        </w:rPr>
      </w:r>
    </w:p>
    <w:p>
      <w:pPr>
        <w:pStyle w:val="Heading1"/>
        <w:ind w:hanging="0" w:start="0"/>
        <w:jc w:val="both"/>
        <w:rPr>
          <w:rFonts w:ascii="Andale Mono" w:hAnsi="Andale Mono" w:cs="Andale Mono"/>
          <w:sz w:val="24"/>
          <w:u w:val="single"/>
          <w:lang w:val="en-US"/>
        </w:rPr>
      </w:pPr>
      <w:r>
        <w:rPr>
          <w:rFonts w:cs="Andale Mono" w:ascii="Andale Mono" w:hAnsi="Andale Mono"/>
          <w:sz w:val="24"/>
          <w:u w:val="single"/>
          <w:lang w:val="en-US"/>
        </w:rPr>
        <w:t>Strategic Advice &amp; Implementation</w:t>
      </w:r>
    </w:p>
    <w:p>
      <w:pPr>
        <w:pStyle w:val="Normal"/>
        <w:rPr>
          <w:rFonts w:ascii="Andale Mono" w:hAnsi="Andale Mono" w:cs="Andale Mono"/>
          <w:sz w:val="18"/>
          <w:u w:val="single"/>
          <w:lang w:val="en-US"/>
        </w:rPr>
      </w:pPr>
      <w:r>
        <w:rPr>
          <w:rFonts w:cs="Andale Mono" w:ascii="Andale Mono" w:hAnsi="Andale Mono"/>
          <w:sz w:val="18"/>
          <w:u w:val="single"/>
          <w:lang w:val="en-US"/>
        </w:rPr>
      </w:r>
    </w:p>
    <w:p>
      <w:pPr>
        <w:pStyle w:val="Normal"/>
        <w:rPr/>
      </w:pPr>
      <w:r>
        <w:rPr>
          <w:rFonts w:cs="Arial" w:ascii="Arial" w:hAnsi="Arial"/>
          <w:szCs w:val="28"/>
          <w:lang w:val="en-US"/>
        </w:rPr>
        <w:t xml:space="preserve">Development of </w:t>
      </w:r>
      <w:r>
        <w:rPr>
          <w:rFonts w:cs="Arial" w:ascii="Arial" w:hAnsi="Arial"/>
          <w:i/>
          <w:iCs/>
          <w:szCs w:val="28"/>
          <w:lang w:val="en-US"/>
        </w:rPr>
        <w:t xml:space="preserve">business and government strategies, initiatives and intelligence.  </w:t>
      </w:r>
      <w:r>
        <w:rPr>
          <w:rFonts w:cs="Arial" w:ascii="Arial" w:hAnsi="Arial"/>
          <w:lang w:val="en-US"/>
        </w:rPr>
        <w:t xml:space="preserve"> Assistance in devising and executing strategic and tactical programs.  In the private sector, this can include the development, tracking and execution of more effective marketing and sales programs for existing services or products, or the development, tracking and execution of programs for new services or products. Successful operations may also include a leasing equipment contract for the Mexican company, direct cash infusion, buy-out operations, among others.  </w:t>
      </w:r>
    </w:p>
    <w:p>
      <w:pPr>
        <w:pStyle w:val="Normal"/>
        <w:rPr>
          <w:rFonts w:ascii="Arial" w:hAnsi="Arial" w:cs="Arial"/>
          <w:sz w:val="16"/>
          <w:lang w:val="en-US"/>
        </w:rPr>
      </w:pPr>
      <w:r>
        <w:rPr>
          <w:rFonts w:cs="Arial" w:ascii="Arial" w:hAnsi="Arial"/>
          <w:sz w:val="16"/>
          <w:lang w:val="en-US"/>
        </w:rPr>
      </w:r>
    </w:p>
    <w:p>
      <w:pPr>
        <w:pStyle w:val="Heading1"/>
        <w:ind w:hanging="0" w:start="0"/>
        <w:jc w:val="both"/>
        <w:rPr>
          <w:sz w:val="20"/>
          <w:lang w:val="en-US"/>
        </w:rPr>
      </w:pPr>
      <w:r>
        <w:rPr>
          <w:sz w:val="20"/>
          <w:lang w:val="en-US"/>
        </w:rPr>
      </w:r>
    </w:p>
    <w:p>
      <w:pPr>
        <w:pStyle w:val="Heading1"/>
        <w:ind w:hanging="0" w:start="0"/>
        <w:jc w:val="both"/>
        <w:rPr>
          <w:rFonts w:ascii="Andale Mono" w:hAnsi="Andale Mono" w:cs="Andale Mono"/>
          <w:sz w:val="24"/>
          <w:u w:val="single"/>
          <w:lang w:val="en-US"/>
        </w:rPr>
      </w:pPr>
      <w:r>
        <w:rPr>
          <w:rFonts w:cs="Andale Mono" w:ascii="Andale Mono" w:hAnsi="Andale Mono"/>
          <w:sz w:val="24"/>
          <w:u w:val="single"/>
          <w:lang w:val="en-US"/>
        </w:rPr>
        <w:t>Outreach Strategies</w:t>
      </w:r>
    </w:p>
    <w:p>
      <w:pPr>
        <w:pStyle w:val="Normal"/>
        <w:rPr>
          <w:rFonts w:ascii="Andale Mono" w:hAnsi="Andale Mono" w:cs="Andale Mono"/>
          <w:sz w:val="18"/>
          <w:u w:val="single"/>
          <w:lang w:val="en-US"/>
        </w:rPr>
      </w:pPr>
      <w:r>
        <w:rPr>
          <w:rFonts w:cs="Andale Mono" w:ascii="Andale Mono" w:hAnsi="Andale Mono"/>
          <w:sz w:val="18"/>
          <w:u w:val="single"/>
          <w:lang w:val="en-US"/>
        </w:rPr>
      </w:r>
    </w:p>
    <w:p>
      <w:pPr>
        <w:pStyle w:val="Heading2"/>
        <w:ind w:hanging="0" w:start="0"/>
        <w:rPr>
          <w:sz w:val="20"/>
          <w:szCs w:val="18"/>
        </w:rPr>
      </w:pPr>
      <w:r>
        <w:rPr>
          <w:sz w:val="20"/>
        </w:rPr>
        <w:t xml:space="preserve">Assistance in the areas of </w:t>
      </w:r>
      <w:r>
        <w:rPr>
          <w:i/>
          <w:iCs/>
          <w:sz w:val="20"/>
        </w:rPr>
        <w:t>public relations, communications, and promotional strategies</w:t>
      </w:r>
      <w:r>
        <w:rPr>
          <w:sz w:val="20"/>
        </w:rPr>
        <w:t xml:space="preserve"> in both Mexico and the United States, including:</w:t>
      </w:r>
    </w:p>
    <w:p>
      <w:pPr>
        <w:pStyle w:val="Heading2"/>
        <w:numPr>
          <w:ilvl w:val="0"/>
          <w:numId w:val="2"/>
        </w:numPr>
        <w:rPr>
          <w:sz w:val="20"/>
          <w:szCs w:val="18"/>
        </w:rPr>
      </w:pPr>
      <w:r>
        <w:rPr>
          <w:sz w:val="20"/>
          <w:szCs w:val="18"/>
        </w:rPr>
        <w:t>Advice and execution of Government and Community Affairs Programs, including Senior Level Access</w:t>
      </w:r>
      <w:r>
        <w:rPr>
          <w:sz w:val="20"/>
          <w:szCs w:val="28"/>
        </w:rPr>
        <w:t xml:space="preserve"> to Commercial and Government Organizations.</w:t>
      </w:r>
    </w:p>
    <w:p>
      <w:pPr>
        <w:pStyle w:val="Heading3"/>
        <w:numPr>
          <w:ilvl w:val="0"/>
          <w:numId w:val="2"/>
        </w:numPr>
        <w:jc w:val="both"/>
        <w:rPr>
          <w:b w:val="false"/>
          <w:bCs w:val="false"/>
          <w:sz w:val="20"/>
          <w:szCs w:val="18"/>
          <w:u w:val="none"/>
        </w:rPr>
      </w:pPr>
      <w:r>
        <w:rPr>
          <w:b w:val="false"/>
          <w:bCs w:val="false"/>
          <w:sz w:val="20"/>
          <w:szCs w:val="18"/>
          <w:u w:val="none"/>
        </w:rPr>
        <w:t xml:space="preserve">Assistance in </w:t>
      </w:r>
      <w:r>
        <w:rPr>
          <w:b w:val="false"/>
          <w:bCs w:val="false"/>
          <w:i/>
          <w:iCs/>
          <w:sz w:val="20"/>
          <w:szCs w:val="18"/>
          <w:u w:val="none"/>
        </w:rPr>
        <w:t>facilitating</w:t>
      </w:r>
      <w:r>
        <w:rPr>
          <w:b w:val="false"/>
          <w:bCs w:val="false"/>
          <w:sz w:val="20"/>
          <w:szCs w:val="18"/>
          <w:u w:val="none"/>
        </w:rPr>
        <w:t xml:space="preserve"> and </w:t>
      </w:r>
      <w:r>
        <w:rPr>
          <w:b w:val="false"/>
          <w:bCs w:val="false"/>
          <w:i/>
          <w:iCs/>
          <w:sz w:val="20"/>
          <w:szCs w:val="18"/>
          <w:u w:val="none"/>
        </w:rPr>
        <w:t xml:space="preserve">marketing, </w:t>
      </w:r>
      <w:r>
        <w:rPr>
          <w:b w:val="false"/>
          <w:bCs w:val="false"/>
          <w:sz w:val="20"/>
          <w:szCs w:val="18"/>
          <w:u w:val="none"/>
        </w:rPr>
        <w:t>of investment projects, in both Mexico and the United States.</w:t>
      </w:r>
    </w:p>
    <w:p>
      <w:pPr>
        <w:pStyle w:val="Heading3"/>
        <w:numPr>
          <w:ilvl w:val="0"/>
          <w:numId w:val="2"/>
        </w:numPr>
        <w:jc w:val="both"/>
        <w:rPr>
          <w:b w:val="false"/>
          <w:bCs w:val="false"/>
          <w:sz w:val="20"/>
          <w:szCs w:val="18"/>
          <w:u w:val="none"/>
        </w:rPr>
      </w:pPr>
      <w:r>
        <w:rPr>
          <w:b w:val="false"/>
          <w:bCs w:val="false"/>
          <w:sz w:val="20"/>
          <w:szCs w:val="18"/>
          <w:u w:val="none"/>
        </w:rPr>
        <w:t xml:space="preserve">Organization of </w:t>
      </w:r>
      <w:r>
        <w:rPr>
          <w:b w:val="false"/>
          <w:bCs w:val="false"/>
          <w:i/>
          <w:iCs/>
          <w:sz w:val="20"/>
          <w:szCs w:val="18"/>
          <w:u w:val="none"/>
        </w:rPr>
        <w:t>business trips</w:t>
      </w:r>
      <w:r>
        <w:rPr>
          <w:b w:val="false"/>
          <w:bCs w:val="false"/>
          <w:sz w:val="20"/>
          <w:szCs w:val="18"/>
          <w:u w:val="none"/>
        </w:rPr>
        <w:t xml:space="preserve"> to meet with business and government leaders, and key agency personnel, in both Mexico and the United States, including: community and business leaders, press, other organizations, and specific companies.</w:t>
      </w:r>
    </w:p>
    <w:p>
      <w:pPr>
        <w:pStyle w:val="Heading3"/>
        <w:numPr>
          <w:ilvl w:val="0"/>
          <w:numId w:val="2"/>
        </w:numPr>
        <w:jc w:val="both"/>
        <w:rPr>
          <w:b w:val="false"/>
          <w:bCs w:val="false"/>
          <w:sz w:val="20"/>
          <w:szCs w:val="18"/>
          <w:u w:val="none"/>
        </w:rPr>
      </w:pPr>
      <w:r>
        <w:rPr>
          <w:b w:val="false"/>
          <w:bCs w:val="false"/>
          <w:sz w:val="20"/>
          <w:szCs w:val="18"/>
          <w:u w:val="none"/>
        </w:rPr>
        <w:t xml:space="preserve">Lectures on such topics as Mexico’s Economic &amp; Investment Environments, How to Secure Funds to Invest or Expand Projects in Mexico, U.S.-Mexico Business Relationships, and others. </w:t>
      </w:r>
    </w:p>
    <w:p>
      <w:pPr>
        <w:pStyle w:val="Normal"/>
        <w:rPr>
          <w:b/>
          <w:bCs/>
          <w:sz w:val="20"/>
          <w:szCs w:val="18"/>
          <w:u w:val="none"/>
          <w:lang w:val="en-US"/>
        </w:rPr>
      </w:pPr>
      <w:r>
        <w:rPr>
          <w:b/>
          <w:bCs/>
          <w:sz w:val="20"/>
          <w:szCs w:val="18"/>
          <w:u w:val="none"/>
          <w:lang w:val="en-US"/>
        </w:rPr>
      </w:r>
    </w:p>
    <w:p>
      <w:pPr>
        <w:pStyle w:val="Normal"/>
        <w:rPr>
          <w:lang w:val="en-US"/>
        </w:rPr>
      </w:pPr>
      <w:r>
        <w:rPr>
          <w:lang w:val="en-US"/>
        </w:rPr>
      </w:r>
    </w:p>
    <w:p>
      <w:pPr>
        <w:pStyle w:val="Heading1"/>
        <w:ind w:hanging="0" w:start="0"/>
        <w:jc w:val="both"/>
        <w:rPr>
          <w:rFonts w:ascii="Andale Mono" w:hAnsi="Andale Mono" w:cs="Andale Mono"/>
          <w:sz w:val="24"/>
          <w:u w:val="single"/>
          <w:lang w:val="en-US"/>
        </w:rPr>
      </w:pPr>
      <w:r>
        <w:rPr>
          <w:rFonts w:cs="Andale Mono" w:ascii="Andale Mono" w:hAnsi="Andale Mono"/>
          <w:sz w:val="24"/>
          <w:u w:val="single"/>
          <w:lang w:val="en-US"/>
        </w:rPr>
        <w:t>Funding Strategies</w:t>
      </w:r>
    </w:p>
    <w:p>
      <w:pPr>
        <w:pStyle w:val="Normal"/>
        <w:rPr>
          <w:rFonts w:ascii="Andale Mono" w:hAnsi="Andale Mono" w:cs="Andale Mono"/>
          <w:sz w:val="18"/>
          <w:u w:val="single"/>
          <w:lang w:val="en-US"/>
        </w:rPr>
      </w:pPr>
      <w:r>
        <w:rPr>
          <w:rFonts w:cs="Andale Mono" w:ascii="Andale Mono" w:hAnsi="Andale Mono"/>
          <w:sz w:val="18"/>
          <w:u w:val="single"/>
          <w:lang w:val="en-US"/>
        </w:rPr>
      </w:r>
    </w:p>
    <w:p>
      <w:pPr>
        <w:pStyle w:val="Heading2"/>
        <w:ind w:hanging="0" w:start="0"/>
        <w:rPr/>
      </w:pPr>
      <w:r>
        <w:rPr>
          <w:sz w:val="20"/>
        </w:rPr>
        <w:t xml:space="preserve">Identification of sources of potential </w:t>
      </w:r>
      <w:r>
        <w:rPr>
          <w:i/>
          <w:iCs/>
          <w:sz w:val="20"/>
        </w:rPr>
        <w:t>capital</w:t>
      </w:r>
      <w:r>
        <w:rPr>
          <w:sz w:val="20"/>
        </w:rPr>
        <w:t xml:space="preserve">, both equity investment and debt, and assistance in the raising of such capital. </w:t>
      </w:r>
      <w:r>
        <w:rPr>
          <w:sz w:val="20"/>
          <w:szCs w:val="24"/>
        </w:rPr>
        <w:t>Available sources include:</w:t>
      </w:r>
    </w:p>
    <w:p>
      <w:pPr>
        <w:pStyle w:val="Heading4"/>
        <w:numPr>
          <w:ilvl w:val="0"/>
          <w:numId w:val="4"/>
        </w:numPr>
        <w:pBdr>
          <w:bottom w:val="nil"/>
        </w:pBdr>
        <w:rPr>
          <w:b w:val="false"/>
          <w:bCs w:val="false"/>
        </w:rPr>
      </w:pPr>
      <w:r>
        <w:rPr>
          <w:b w:val="false"/>
          <w:bCs w:val="false"/>
        </w:rPr>
        <w:t>Multilateral Organizations (IFC, IAIC)</w:t>
      </w:r>
    </w:p>
    <w:p>
      <w:pPr>
        <w:pStyle w:val="Heading4"/>
        <w:numPr>
          <w:ilvl w:val="0"/>
          <w:numId w:val="4"/>
        </w:numPr>
        <w:pBdr>
          <w:bottom w:val="nil"/>
        </w:pBdr>
        <w:rPr>
          <w:b w:val="false"/>
          <w:bCs w:val="false"/>
        </w:rPr>
      </w:pPr>
      <w:r>
        <w:rPr>
          <w:b w:val="false"/>
          <w:bCs w:val="false"/>
        </w:rPr>
        <w:t>US Governments Agencies (OPIC, SBA, TDA, EXIM)</w:t>
      </w:r>
    </w:p>
    <w:p>
      <w:pPr>
        <w:pStyle w:val="Heading4"/>
        <w:numPr>
          <w:ilvl w:val="0"/>
          <w:numId w:val="4"/>
        </w:numPr>
        <w:pBdr>
          <w:bottom w:val="nil"/>
        </w:pBdr>
        <w:rPr>
          <w:b w:val="false"/>
          <w:bCs w:val="false"/>
        </w:rPr>
      </w:pPr>
      <w:r>
        <w:rPr>
          <w:b w:val="false"/>
          <w:bCs w:val="false"/>
        </w:rPr>
        <w:t>Private funds and investors.</w:t>
      </w:r>
    </w:p>
    <w:p>
      <w:pPr>
        <w:pStyle w:val="Normal"/>
        <w:rPr>
          <w:b/>
          <w:bCs/>
          <w:lang w:val="en-US"/>
        </w:rPr>
      </w:pPr>
      <w:r>
        <w:rPr>
          <w:b/>
          <w:bCs/>
          <w:lang w:val="en-US"/>
        </w:rPr>
      </w:r>
    </w:p>
    <w:p>
      <w:pPr>
        <w:pStyle w:val="Normal"/>
        <w:jc w:val="both"/>
        <w:rPr>
          <w:rFonts w:ascii="Arial" w:hAnsi="Arial" w:cs="Arial"/>
          <w:sz w:val="22"/>
          <w:szCs w:val="24"/>
          <w:lang w:val="en-US"/>
        </w:rPr>
      </w:pPr>
      <w:r>
        <w:rPr>
          <w:rFonts w:cs="Arial" w:ascii="Arial" w:hAnsi="Arial"/>
          <w:szCs w:val="24"/>
          <w:lang w:val="en-US"/>
        </w:rPr>
        <w:t xml:space="preserve">Finding </w:t>
      </w:r>
      <w:r>
        <w:rPr>
          <w:rFonts w:cs="Arial" w:ascii="Arial" w:hAnsi="Arial"/>
          <w:i/>
          <w:iCs/>
          <w:szCs w:val="24"/>
          <w:lang w:val="en-US"/>
        </w:rPr>
        <w:t>partners</w:t>
      </w:r>
      <w:r>
        <w:rPr>
          <w:rFonts w:cs="Arial" w:ascii="Arial" w:hAnsi="Arial"/>
          <w:szCs w:val="24"/>
          <w:lang w:val="en-US"/>
        </w:rPr>
        <w:t>, evaluating the potential of such partnerships, and assisting in the negotiations between the potential partners.</w:t>
      </w:r>
    </w:p>
    <w:p>
      <w:pPr>
        <w:pStyle w:val="Normal"/>
        <w:jc w:val="both"/>
        <w:rPr>
          <w:rFonts w:ascii="Arial" w:hAnsi="Arial" w:cs="Arial"/>
          <w:sz w:val="22"/>
          <w:szCs w:val="24"/>
          <w:lang w:val="en-US"/>
        </w:rPr>
      </w:pPr>
      <w:r>
        <w:rPr>
          <w:rFonts w:cs="Arial" w:ascii="Arial" w:hAnsi="Arial"/>
          <w:sz w:val="22"/>
          <w:szCs w:val="24"/>
          <w:lang w:val="en-US"/>
        </w:rPr>
      </w:r>
    </w:p>
    <w:p>
      <w:pPr>
        <w:pStyle w:val="Normal"/>
        <w:jc w:val="both"/>
        <w:rPr>
          <w:rFonts w:ascii="Arial" w:hAnsi="Arial" w:cs="Arial"/>
          <w:sz w:val="22"/>
          <w:szCs w:val="24"/>
          <w:lang w:val="en-US"/>
        </w:rPr>
      </w:pPr>
      <w:r>
        <w:rPr>
          <w:rFonts w:cs="Arial" w:ascii="Arial" w:hAnsi="Arial"/>
          <w:sz w:val="22"/>
          <w:szCs w:val="24"/>
          <w:lang w:val="en-US"/>
        </w:rPr>
      </w:r>
    </w:p>
    <w:p>
      <w:pPr>
        <w:pStyle w:val="Normal"/>
        <w:rPr>
          <w:rFonts w:ascii="Arial" w:hAnsi="Arial" w:cs="Arial"/>
          <w:sz w:val="22"/>
          <w:szCs w:val="24"/>
          <w:lang w:val="en-US"/>
        </w:rPr>
      </w:pPr>
      <w:r>
        <w:rPr>
          <w:rFonts w:cs="Arial" w:ascii="Arial" w:hAnsi="Arial"/>
          <w:sz w:val="22"/>
          <w:szCs w:val="24"/>
          <w:lang w:val="en-US"/>
        </w:rPr>
      </w:r>
    </w:p>
    <w:sectPr>
      <w:type w:val="continuous"/>
      <w:pgSz w:w="12240" w:h="15840"/>
      <w:pgMar w:left="1800" w:right="180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Rounded MT Bold">
    <w:charset w:val="00" w:characterSet="windows-1252"/>
    <w:family w:val="swiss"/>
    <w:pitch w:val="variable"/>
  </w:font>
  <w:font w:name="Liberation Sans">
    <w:altName w:val="Arial"/>
    <w:charset w:val="01" w:characterSet="utf-8"/>
    <w:family w:val="swiss"/>
    <w:pitch w:val="variable"/>
  </w:font>
  <w:font w:name="Arial Unicode MS">
    <w:charset w:val="80"/>
    <w:family w:val="swiss"/>
    <w:pitch w:val="variable"/>
  </w:font>
  <w:font w:name="Andale Mono">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ption"/>
      <w:rPr>
        <w:rFonts w:ascii="Andale Mono" w:hAnsi="Andale Mono" w:cs="Andale Mono"/>
        <w:sz w:val="20"/>
      </w:rPr>
    </w:pPr>
    <w:r>
      <w:rPr>
        <w:rFonts w:cs="Andale Mono" w:ascii="Andale Mono" w:hAnsi="Andale Mono"/>
        <w:sz w:val="18"/>
        <w:lang w:val="es-MX"/>
      </w:rPr>
      <w:t>-</w:t>
    </w:r>
    <w:r>
      <w:rPr>
        <w:rFonts w:cs="Andale Mono" w:ascii="Andale Mono" w:hAnsi="Andale Mono"/>
        <w:sz w:val="18"/>
      </w:rPr>
      <w:t>Strategic Execution that provides High Level Business Solutions-</w:t>
    </w:r>
  </w:p>
  <w:p>
    <w:pPr>
      <w:pStyle w:val="NormalWeb"/>
      <w:spacing w:before="0" w:after="0"/>
      <w:jc w:val="center"/>
      <w:rPr/>
    </w:pPr>
    <w:r>
      <w:rPr>
        <w:sz w:val="16"/>
      </w:rPr>
      <w:t xml:space="preserve">Lara &amp; Associates LLC, One Riverway, Suite 1900, Houston, Texas   77056, Phone 832 251 8813, Fax 832 251 8973 </w:t>
    </w:r>
    <w:r>
      <w:rPr>
        <w:rFonts w:cs="Andale Mono" w:ascii="Andale Mono" w:hAnsi="Andale Mono"/>
        <w:sz w:val="16"/>
      </w:rPr>
      <w:t>www.laraassociates.com</w:t>
    </w:r>
  </w:p>
  <w:p>
    <w:pPr>
      <w:pStyle w:val="Footer"/>
      <w:rPr>
        <w:lang w:val="en-US"/>
      </w:rPr>
    </w:pPr>
    <w:r>
      <w:rPr>
        <w:lang w:val="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s-MX"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sz w:val="52"/>
    </w:rPr>
  </w:style>
  <w:style w:type="paragraph" w:styleId="Heading2">
    <w:name w:val="heading 2"/>
    <w:basedOn w:val="Normal"/>
    <w:next w:val="Normal"/>
    <w:qFormat/>
    <w:pPr>
      <w:keepNext w:val="true"/>
      <w:numPr>
        <w:ilvl w:val="1"/>
        <w:numId w:val="1"/>
      </w:numPr>
      <w:outlineLvl w:val="1"/>
    </w:pPr>
    <w:rPr>
      <w:rFonts w:ascii="Arial" w:hAnsi="Arial" w:cs="Arial"/>
      <w:sz w:val="24"/>
      <w:lang w:val="en-US"/>
    </w:rPr>
  </w:style>
  <w:style w:type="paragraph" w:styleId="Heading3">
    <w:name w:val="heading 3"/>
    <w:basedOn w:val="Normal"/>
    <w:next w:val="Normal"/>
    <w:qFormat/>
    <w:pPr>
      <w:keepNext w:val="true"/>
      <w:numPr>
        <w:ilvl w:val="2"/>
        <w:numId w:val="1"/>
      </w:numPr>
      <w:outlineLvl w:val="2"/>
    </w:pPr>
    <w:rPr>
      <w:rFonts w:ascii="Arial" w:hAnsi="Arial" w:cs="Arial"/>
      <w:b/>
      <w:bCs/>
      <w:sz w:val="24"/>
      <w:u w:val="single"/>
      <w:lang w:val="en-US"/>
    </w:rPr>
  </w:style>
  <w:style w:type="paragraph" w:styleId="Heading4">
    <w:name w:val="heading 4"/>
    <w:basedOn w:val="Normal"/>
    <w:next w:val="Normal"/>
    <w:qFormat/>
    <w:pPr>
      <w:keepNext w:val="true"/>
      <w:numPr>
        <w:ilvl w:val="3"/>
        <w:numId w:val="1"/>
      </w:numPr>
      <w:pBdr>
        <w:bottom w:val="single" w:sz="4" w:space="1" w:color="000000"/>
      </w:pBdr>
      <w:outlineLvl w:val="3"/>
    </w:pPr>
    <w:rPr>
      <w:rFonts w:ascii="Arial" w:hAnsi="Arial" w:cs="Arial"/>
      <w:b/>
      <w:bCs/>
      <w:lang w:val="en-US"/>
    </w:rPr>
  </w:style>
  <w:style w:type="paragraph" w:styleId="Heading5">
    <w:name w:val="heading 5"/>
    <w:basedOn w:val="Normal"/>
    <w:next w:val="Normal"/>
    <w:qFormat/>
    <w:pPr>
      <w:keepNext w:val="true"/>
      <w:numPr>
        <w:ilvl w:val="4"/>
        <w:numId w:val="1"/>
      </w:numPr>
      <w:outlineLvl w:val="4"/>
    </w:pPr>
    <w:rPr>
      <w:rFonts w:ascii="Arial" w:hAnsi="Arial" w:cs="Arial"/>
      <w:sz w:val="28"/>
      <w:lang w:val="fr-FR"/>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St4z0">
    <w:name w:val="WW8NumSt4z0"/>
    <w:qFormat/>
    <w:rPr>
      <w:rFonts w:ascii="Arial Rounded MT Bold" w:hAnsi="Arial Rounded MT Bold" w:cs="Arial Rounded MT Bold"/>
      <w:sz w:val="24"/>
    </w:rPr>
  </w:style>
  <w:style w:type="character" w:styleId="WW8NumSt5z0">
    <w:name w:val="WW8NumSt5z0"/>
    <w:qFormat/>
    <w:rPr>
      <w:rFonts w:ascii="Arial Rounded MT Bold" w:hAnsi="Arial Rounded MT Bold" w:cs="Arial Rounded MT Bold"/>
      <w:sz w:val="28"/>
    </w:rPr>
  </w:style>
  <w:style w:type="character" w:styleId="WW8NumSt6z0">
    <w:name w:val="WW8NumSt6z0"/>
    <w:qFormat/>
    <w:rPr>
      <w:rFonts w:ascii="Arial Rounded MT Bold" w:hAnsi="Arial Rounded MT Bold" w:cs="Arial Rounded MT Bold"/>
      <w:sz w:val="40"/>
    </w:rPr>
  </w:style>
  <w:style w:type="character" w:styleId="WW8NumSt7z0">
    <w:name w:val="WW8NumSt7z0"/>
    <w:qFormat/>
    <w:rPr>
      <w:rFonts w:ascii="Arial Rounded MT Bold" w:hAnsi="Arial Rounded MT Bold" w:cs="Arial Rounded MT Bold"/>
      <w:sz w:val="18"/>
    </w:rPr>
  </w:style>
  <w:style w:type="character" w:styleId="WW8NumSt8z0">
    <w:name w:val="WW8NumSt8z0"/>
    <w:qFormat/>
    <w:rPr>
      <w:rFonts w:ascii="Arial Rounded MT Bold" w:hAnsi="Arial Rounded MT Bold" w:cs="Arial Rounded MT Bold"/>
      <w:sz w:val="24"/>
    </w:rPr>
  </w:style>
  <w:style w:type="character" w:styleId="WW8NumSt9z0">
    <w:name w:val="WW8NumSt9z0"/>
    <w:qFormat/>
    <w:rPr>
      <w:rFonts w:ascii="Arial Rounded MT Bold" w:hAnsi="Arial Rounded MT Bold" w:cs="Arial Rounded MT Bold"/>
      <w:sz w:val="20"/>
    </w:rPr>
  </w:style>
  <w:style w:type="character" w:styleId="WW8NumSt10z0">
    <w:name w:val="WW8NumSt10z0"/>
    <w:qFormat/>
    <w:rPr>
      <w:rFonts w:ascii="Arial Rounded MT Bold" w:hAnsi="Arial Rounded MT Bold" w:cs="Arial Rounded MT Bold"/>
      <w:sz w:val="20"/>
    </w:rPr>
  </w:style>
  <w:style w:type="character" w:styleId="WW8NumSt11z0">
    <w:name w:val="WW8NumSt11z0"/>
    <w:qFormat/>
    <w:rPr>
      <w:rFonts w:ascii="Arial Rounded MT Bold" w:hAnsi="Arial Rounded MT Bold" w:cs="Arial Rounded MT Bold"/>
      <w:sz w:val="32"/>
    </w:rPr>
  </w:style>
  <w:style w:type="character" w:styleId="WW8NumSt12z0">
    <w:name w:val="WW8NumSt12z0"/>
    <w:qFormat/>
    <w:rPr>
      <w:rFonts w:ascii="Arial Rounded MT Bold" w:hAnsi="Arial Rounded MT Bold" w:cs="Arial Rounded MT Bold"/>
      <w:sz w:val="3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lang w:val="en-US"/>
    </w:rPr>
  </w:style>
  <w:style w:type="paragraph" w:styleId="List">
    <w:name w:val="List"/>
    <w:basedOn w:val="BodyText"/>
    <w:pPr/>
    <w:rPr>
      <w:rFonts w:cs="NotoSans NF"/>
    </w:rPr>
  </w:style>
  <w:style w:type="paragraph" w:styleId="Caption">
    <w:name w:val="caption"/>
    <w:basedOn w:val="Normal"/>
    <w:next w:val="Normal"/>
    <w:qFormat/>
    <w:pPr>
      <w:jc w:val="center"/>
    </w:pPr>
    <w:rPr>
      <w:sz w:val="28"/>
      <w:lang w:val="en-US"/>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b/>
      <w:bCs/>
      <w:sz w:val="26"/>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sz w:val="24"/>
      <w:szCs w:val="24"/>
      <w:lang w:val="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image" Target="media/image1.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2001-07-05T21:39:00Z</dcterms:created>
  <dc:creator>Carlos Lara</dc:creator>
  <dc:description/>
  <dc:language>en-CA</dc:language>
  <cp:lastModifiedBy>Carlos Lara</cp:lastModifiedBy>
  <cp:lastPrinted>2001-07-06T19:18:00Z</cp:lastPrinted>
  <dcterms:modified xsi:type="dcterms:W3CDTF">2001-07-17T18:47:00Z</dcterms:modified>
  <cp:revision>10</cp:revision>
  <dc:subject/>
  <dc:title> </dc:title>
</cp:coreProperties>
</file>