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firstLine="720" w:end="0"/>
        <w:jc w:val="both"/>
        <w:rPr/>
      </w:pPr>
      <w:r>
        <w:rPr/>
        <w:t>Moreover, the Joint Parties believe that the continual effort to harass direct access customers and the energy service providers (“ESPs”) who serve them is simply an unfair effort to find a scapegoat for the State’s own ill-advised power purchasing activities.  By pointing accusatory fingers at direct access customers and ESPs, the Wood ACR simply seeks to obfuscate the real causes of the problems that the State confronts.  Put simply, it is that the Commission waited too long to increase rates and that the Department of Water Resources (“DWR”) purchased too much power at the peak of the market.  However, it is an old political game to heap accusations on other parties in order to deflect attention from one’s own failings.  It is sometimes referred to as, “the best defense is a good offense.”  The Wood ACR serves that purpose admirably.  It does little, however, to advance the cause of rational public policy.</w:t>
      </w:r>
    </w:p>
    <w:p>
      <w:pPr>
        <w:pStyle w:val="BodyText"/>
        <w:pBdr>
          <w:top w:val="dotted" w:sz="24" w:space="1" w:color="000000"/>
          <w:bottom w:val="dotted" w:sz="24" w:space="1" w:color="000000"/>
        </w:pBdr>
        <w:ind w:firstLine="720" w:end="0"/>
        <w:jc w:val="both"/>
        <w:rPr/>
      </w:pPr>
      <w:r>
        <w:rPr/>
        <w:t>Finally, from a policy perspective, the denial of customer choice is a dramatic reversal of the fundamental economic trends in this country over the past thirty years.  The country has moved towards greater customer choice and more economic freedom.  The suspension Decision, and now the Wood ACR, would have us instead believe that customer choice is harmful and that the State of California can do a better job of making purchase decisions than can the collective wisdom of millions of different electricity consumers in the State.  The State’s logic is flawed; its paternalistic attitude is insulting.  One has to ask, can anyone at the Commission honestly argue that it is better for customers to be forced to pay the State’s high prices for the next ten years rather than to have the opportunity to make their own economic decisions?  The Wood ACR is simply part of a wide-scale effort on the part of the State to obfuscate and deflect blame for the myriad poor policy decisions that have been made by the current administration.</w:t>
      </w:r>
    </w:p>
    <w:p>
      <w:pPr>
        <w:pStyle w:val="no1"/>
        <w:numPr>
          <w:ilvl w:val="0"/>
          <w:numId w:val="0"/>
        </w:numPr>
        <w:pBdr>
          <w:bottom w:val="dotted" w:sz="24" w:space="1" w:color="000000"/>
        </w:pBdr>
        <w:spacing w:lineRule="auto" w:line="480" w:before="0" w:after="0"/>
        <w:ind w:firstLine="720" w:start="0" w:end="0"/>
        <w:jc w:val="both"/>
        <w:rPr/>
      </w:pPr>
      <w:r>
        <w:rPr>
          <w:rFonts w:cs="Times New Roman" w:ascii="Times New Roman" w:hAnsi="Times New Roman"/>
          <w:sz w:val="24"/>
        </w:rPr>
        <w:t xml:space="preserve">A denial of the opportunity to consider the many factual issues raised by both the suspension of direct access and its proposed retroactive application would be a </w:t>
      </w:r>
      <w:r>
        <w:rPr>
          <w:rFonts w:cs="Times New Roman" w:ascii="Times New Roman" w:hAnsi="Times New Roman"/>
          <w:b/>
          <w:bCs w:val="false"/>
          <w:sz w:val="24"/>
        </w:rPr>
        <w:t>shocking</w:t>
      </w:r>
      <w:r>
        <w:rPr>
          <w:rFonts w:cs="Times New Roman" w:ascii="Times New Roman" w:hAnsi="Times New Roman"/>
          <w:sz w:val="24"/>
        </w:rPr>
        <w:t xml:space="preserve"> abuse of the due process rights guaranteed to citizens under both the U.S. and California Constitutions</w:t>
      </w:r>
      <w:r>
        <w:rPr>
          <w:rFonts w:cs="Times New Roman" w:ascii="Times New Roman" w:hAnsi="Times New Roman"/>
          <w:b/>
          <w:bCs w:val="false"/>
          <w:i/>
          <w:iCs/>
          <w:sz w:val="24"/>
        </w:rPr>
        <w:t>.  [[The word “shocking” doesn’t add anything.]]</w:t>
      </w:r>
    </w:p>
    <w:p>
      <w:pPr>
        <w:pStyle w:val="Normal"/>
        <w:rPr>
          <w:rFonts w:ascii="Times New Roman" w:hAnsi="Times New Roman" w:cs="Times New Roman"/>
          <w:b/>
          <w:bCs/>
          <w:i/>
          <w:i/>
          <w:iCs/>
          <w:sz w:val="24"/>
        </w:rPr>
      </w:pPr>
      <w:r>
        <w:rPr>
          <w:rFonts w:cs="Times New Roman"/>
          <w:b/>
          <w:bCs/>
          <w:i/>
          <w:iCs/>
          <w:sz w:val="24"/>
        </w:rPr>
      </w:r>
    </w:p>
    <w:p>
      <w:pPr>
        <w:pStyle w:val="no1"/>
        <w:numPr>
          <w:ilvl w:val="0"/>
          <w:numId w:val="0"/>
        </w:numPr>
        <w:spacing w:lineRule="auto" w:line="480" w:before="0" w:after="0"/>
        <w:ind w:firstLine="720" w:start="0" w:end="0"/>
        <w:jc w:val="both"/>
        <w:rPr>
          <w:rFonts w:ascii="Times New Roman" w:hAnsi="Times New Roman" w:cs="Times New Roman"/>
          <w:sz w:val="24"/>
        </w:rPr>
      </w:pPr>
      <w:r>
        <w:rPr>
          <w:rFonts w:cs="Times New Roman" w:ascii="Times New Roman" w:hAnsi="Times New Roman"/>
          <w:sz w:val="24"/>
        </w:rPr>
        <w:t xml:space="preserve">Where, then, is the cost shifting?  And in which direction has it shifted?  Hearings might be able to determine if cost shifting exists, in which direction they may have shifted and, perhaps most importantly, whether this is even a relevant issue or merely a chimera put forth to justify an underlying agenda to eliminate customer choice and obfuscate the reasons for the state’s power woes.  </w:t>
      </w:r>
    </w:p>
    <w:p>
      <w:pPr>
        <w:pStyle w:val="standard"/>
        <w:pBdr>
          <w:top w:val="dotted" w:sz="24" w:space="1" w:color="000000"/>
          <w:bottom w:val="dotted" w:sz="24" w:space="1" w:color="000000"/>
        </w:pBdr>
        <w:rPr/>
      </w:pPr>
      <w:r>
        <w:rPr/>
        <w:t xml:space="preserve">Moreover, proponents of retroactivity justify their spurious claims of cost shifting by pointing to the fact that DWR purchased power for bundled customers on the assumption that they would forever remain bundled.  If this is true, then it is further evidence of the ineptitude of the State’s purchasing activities.  It is instructive to note that at the time that DWR was engaging in its power purchase contract negotiations, there was approximately 2,000-3,000 MW of qualified facility (“QF”) load that was offline </w:t>
      </w:r>
      <w:r>
        <w:rPr>
          <w:b/>
          <w:bCs/>
        </w:rPr>
        <w:t>because QFs were not being paid</w:t>
      </w:r>
      <w:r>
        <w:rPr/>
        <w:t xml:space="preserve">.  Would it have been reasonable for DWR to purchase long-term power to replace this supply, on the assumption that it would be forever unavailable to the state?  Of course not.  Similarly, direct access customers had temporarily returned to bundled service because the Commission’s failure to enforce the utilities’ payment obligations </w:t>
      </w:r>
      <w:r>
        <w:rPr>
          <w:b/>
          <w:bCs/>
        </w:rPr>
        <w:t>were causing the customers and/or their ESPs not to be paid</w:t>
      </w:r>
      <w:r>
        <w:rPr/>
        <w:t xml:space="preserve">. </w:t>
      </w:r>
    </w:p>
    <w:p>
      <w:pPr>
        <w:pStyle w:val="BodyText"/>
        <w:widowControl/>
        <w:ind w:firstLine="720" w:end="0"/>
        <w:jc w:val="both"/>
        <w:rPr/>
      </w:pPr>
      <w:r>
        <w:rPr/>
        <w:t xml:space="preserve">Was it therefore reasonable for the DWR to purchase power for these customers, assuming they would never again wish to exercise their freedom of choice and return to the direct access service for which they had already demonstrated an affinity?  Once again, the answer is, of course not.  The simple fact is that the State’s purchasing efforts were not well handled and now the Commissioner is targeting the direct access customer group as a convenient scapegoat.  The incontestable fact is that direct access load is </w:t>
      </w:r>
      <w:r>
        <w:rPr>
          <w:b/>
          <w:bCs/>
        </w:rPr>
        <w:t>below</w:t>
      </w:r>
      <w:r>
        <w:rPr/>
        <w:t xml:space="preserve"> what it was at its peak, even with the so-called “stampede” to direct access that occurred prior to September 20.</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i w:val="false"/>
        <w:b/>
        <w:rFonts w:ascii="Times New Roman" w:hAnsi="Times New Roman" w:cs="Times New Roman"/>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b/>
      <w:sz w:val="24"/>
    </w:rPr>
  </w:style>
  <w:style w:type="character" w:styleId="WW8Num2z0">
    <w:name w:val="WW8Num2z0"/>
    <w:qFormat/>
    <w:rPr>
      <w:rFonts w:ascii="Times New Roman" w:hAnsi="Times New Roman" w:cs="Times New Roman"/>
      <w:b/>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1">
    <w:name w:val="no.1"/>
    <w:basedOn w:val="Normal"/>
    <w:qFormat/>
    <w:pPr>
      <w:numPr>
        <w:ilvl w:val="0"/>
        <w:numId w:val="1"/>
      </w:numPr>
      <w:spacing w:before="0" w:after="120"/>
      <w:ind w:hanging="0" w:start="0" w:end="720"/>
    </w:pPr>
    <w:rPr>
      <w:rFonts w:ascii="Palatino;Book Antiqua" w:hAnsi="Palatino;Book Antiqua" w:cs="Palatino;Book Antiqua"/>
      <w:bCs/>
      <w:sz w:val="26"/>
      <w:szCs w:val="20"/>
    </w:rPr>
  </w:style>
  <w:style w:type="paragraph" w:styleId="a2">
    <w:name w:val="a.2"/>
    <w:basedOn w:val="Normal"/>
    <w:qFormat/>
    <w:pPr>
      <w:numPr>
        <w:ilvl w:val="0"/>
        <w:numId w:val="1"/>
      </w:numPr>
      <w:spacing w:before="0" w:after="120"/>
    </w:pPr>
    <w:rPr>
      <w:rFonts w:ascii="Palatino;Book Antiqua" w:hAnsi="Palatino;Book Antiqua" w:cs="Palatino;Book Antiqua"/>
      <w:bCs/>
      <w:sz w:val="26"/>
      <w:szCs w:val="20"/>
    </w:rPr>
  </w:style>
  <w:style w:type="paragraph" w:styleId="standard">
    <w:name w:val="standard"/>
    <w:basedOn w:val="Normal"/>
    <w:qFormat/>
    <w:pPr>
      <w:spacing w:lineRule="auto" w:line="480"/>
      <w:ind w:firstLine="720" w:start="0" w:end="0"/>
      <w:jc w:val="both"/>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2001-11-02T15:30:00Z</dcterms:created>
  <dc:creator>jdasovic</dc:creator>
  <dc:description/>
  <dc:language>en-CA</dc:language>
  <cp:lastModifiedBy>jdasovic</cp:lastModifiedBy>
  <dcterms:modified xsi:type="dcterms:W3CDTF">2001-11-02T15:36:00Z</dcterms:modified>
  <cp:revision>1</cp:revision>
  <dc:subject/>
  <dc:title>Moreover, the Joint Parties believe that the continual effort to harass direct access customers and the energy service provide</dc:title>
</cp:coreProperties>
</file>