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_rels/footer1.xml.rels" ContentType="application/vnd.openxmlformats-package.relationships+xml"/>
  <Override PartName="/word/_rels/footer2.xml.rels" ContentType="application/vnd.openxmlformats-package.relationships+xml"/>
  <Override PartName="/word/_rels/document.xml.rels" ContentType="application/vnd.openxmlformats-package.relationships+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smallCaps/>
          <w:u w:val="single"/>
        </w:rPr>
      </w:pPr>
      <w:r>
        <w:rPr>
          <w:b/>
          <w:smallCaps/>
          <w:u w:val="single"/>
        </w:rPr>
      </w:r>
    </w:p>
    <w:p>
      <w:pPr>
        <w:pStyle w:val="Normal"/>
        <w:jc w:val="end"/>
        <w:rPr>
          <w:b/>
          <w:smallCaps/>
          <w:u w:val="single"/>
        </w:rPr>
      </w:pPr>
      <w:r>
        <w:rPr>
          <w:b/>
          <w:smallCaps/>
          <w:u w:val="single"/>
        </w:rPr>
      </w:r>
    </w:p>
    <w:p>
      <w:pPr>
        <w:pStyle w:val="Normal"/>
        <w:jc w:val="end"/>
        <w:rPr>
          <w:b/>
          <w:smallCaps/>
          <w:u w:val="single"/>
        </w:rPr>
      </w:pPr>
      <w:r>
        <w:rPr>
          <w:b/>
          <w:smallCaps/>
          <w:u w:val="single"/>
        </w:rPr>
        <w:t>DRAFT</w:t>
      </w:r>
    </w:p>
    <w:p>
      <w:pPr>
        <w:pStyle w:val="Normal"/>
        <w:jc w:val="center"/>
        <w:rPr>
          <w:b/>
          <w:smallCaps/>
          <w:u w:val="single"/>
        </w:rPr>
      </w:pPr>
      <w:r>
        <w:rPr>
          <w:b/>
          <w:smallCaps/>
          <w:u w:val="single"/>
        </w:rPr>
      </w:r>
    </w:p>
    <w:p>
      <w:pPr>
        <w:pStyle w:val="Normal"/>
        <w:jc w:val="center"/>
        <w:rPr>
          <w:b/>
          <w:smallCaps/>
        </w:rPr>
      </w:pPr>
      <w:r>
        <w:rPr>
          <w:b/>
          <w:smallCaps/>
        </w:rPr>
        <w:t>Proposal</w:t>
      </w:r>
    </w:p>
    <w:p>
      <w:pPr>
        <w:pStyle w:val="Normal"/>
        <w:jc w:val="center"/>
        <w:rPr>
          <w:b/>
          <w:smallCaps/>
        </w:rPr>
      </w:pPr>
      <w:r>
        <w:rPr>
          <w:b/>
          <w:smallCaps/>
        </w:rPr>
        <w:t>to</w:t>
      </w:r>
    </w:p>
    <w:p>
      <w:pPr>
        <w:pStyle w:val="Normal"/>
        <w:jc w:val="center"/>
        <w:rPr>
          <w:b/>
          <w:smallCaps/>
        </w:rPr>
      </w:pPr>
      <w:r>
        <w:rPr>
          <w:b/>
          <w:smallCaps/>
        </w:rPr>
        <w:t xml:space="preserve">Lakeland Electric </w:t>
      </w:r>
    </w:p>
    <w:p>
      <w:pPr>
        <w:pStyle w:val="Normal"/>
        <w:jc w:val="center"/>
        <w:rPr>
          <w:b/>
          <w:smallCaps/>
        </w:rPr>
      </w:pPr>
      <w:r>
        <w:rPr>
          <w:b/>
          <w:smallCaps/>
        </w:rPr>
        <w:t>by</w:t>
      </w:r>
    </w:p>
    <w:p>
      <w:pPr>
        <w:pStyle w:val="Normal"/>
        <w:jc w:val="center"/>
        <w:rPr>
          <w:b/>
          <w:smallCaps/>
        </w:rPr>
      </w:pPr>
      <w:r>
        <w:rPr>
          <w:b/>
          <w:smallCaps/>
        </w:rPr>
        <w:t>Enron Capital &amp; Trade Resources Corp.</w:t>
      </w:r>
    </w:p>
    <w:p>
      <w:pPr>
        <w:pStyle w:val="Normal"/>
        <w:jc w:val="center"/>
        <w:rPr/>
      </w:pPr>
      <w:r>
        <w:rPr/>
        <w:t>(Revised August 30, 1999)</w:t>
      </w:r>
    </w:p>
    <w:p>
      <w:pPr>
        <w:pStyle w:val="Normal"/>
        <w:rPr/>
      </w:pPr>
      <w:r>
        <w:rPr/>
      </w:r>
    </w:p>
    <w:p>
      <w:pPr>
        <w:pStyle w:val="Normal"/>
        <w:rPr/>
      </w:pPr>
      <w:r>
        <w:rPr/>
      </w:r>
    </w:p>
    <w:p>
      <w:pPr>
        <w:pStyle w:val="Normal"/>
        <w:ind w:hanging="1440" w:start="1440" w:end="0"/>
        <w:jc w:val="both"/>
        <w:rPr>
          <w:b/>
        </w:rPr>
      </w:pPr>
      <w:r>
        <w:rPr>
          <w:b/>
          <w:smallCaps/>
        </w:rPr>
        <w:t>Buyer</w:t>
      </w:r>
      <w:r>
        <w:rPr>
          <w:b/>
        </w:rPr>
        <w:t>:</w:t>
        <w:tab/>
      </w:r>
      <w:r>
        <w:rPr/>
        <w:t>Lakeland Electric (“Lakeland”)</w:t>
      </w:r>
    </w:p>
    <w:p>
      <w:pPr>
        <w:pStyle w:val="Normal"/>
        <w:ind w:hanging="1440" w:start="1440" w:end="0"/>
        <w:jc w:val="both"/>
        <w:rPr>
          <w:b/>
        </w:rPr>
      </w:pPr>
      <w:r>
        <w:rPr>
          <w:b/>
        </w:rPr>
      </w:r>
    </w:p>
    <w:p>
      <w:pPr>
        <w:pStyle w:val="Normal"/>
        <w:ind w:hanging="1440" w:start="1440" w:end="0"/>
        <w:jc w:val="both"/>
        <w:rPr/>
      </w:pPr>
      <w:r>
        <w:rPr>
          <w:b/>
          <w:smallCaps/>
        </w:rPr>
        <w:t>Seller</w:t>
      </w:r>
      <w:r>
        <w:rPr>
          <w:b/>
        </w:rPr>
        <w:t>:</w:t>
        <w:tab/>
      </w:r>
      <w:r>
        <w:rPr/>
        <w:t>Enron Capital &amp; Trade Resources Corp. (“ECT”)</w:t>
      </w:r>
    </w:p>
    <w:p>
      <w:pPr>
        <w:pStyle w:val="BodyText"/>
        <w:rPr>
          <w:sz w:val="24"/>
        </w:rPr>
      </w:pPr>
      <w:r>
        <w:rPr>
          <w:sz w:val="24"/>
        </w:rPr>
      </w:r>
    </w:p>
    <w:p>
      <w:pPr>
        <w:pStyle w:val="BodyText"/>
        <w:rPr>
          <w:sz w:val="24"/>
        </w:rPr>
      </w:pPr>
      <w:r>
        <w:rPr>
          <w:sz w:val="24"/>
        </w:rPr>
      </w:r>
    </w:p>
    <w:p>
      <w:pPr>
        <w:pStyle w:val="Normal"/>
        <w:tabs>
          <w:tab w:val="clear" w:pos="720"/>
          <w:tab w:val="left" w:pos="360" w:leader="none"/>
        </w:tabs>
        <w:jc w:val="center"/>
        <w:rPr>
          <w:b/>
          <w:smallCaps/>
        </w:rPr>
      </w:pPr>
      <w:r>
        <w:rPr>
          <w:b/>
          <w:smallCaps/>
        </w:rPr>
        <w:t>Scope of Agreement</w:t>
      </w:r>
    </w:p>
    <w:p>
      <w:pPr>
        <w:pStyle w:val="Normal"/>
        <w:tabs>
          <w:tab w:val="clear" w:pos="720"/>
          <w:tab w:val="left" w:pos="360" w:leader="none"/>
        </w:tabs>
        <w:jc w:val="center"/>
        <w:rPr>
          <w:b/>
          <w:u w:val="single"/>
        </w:rPr>
      </w:pPr>
      <w:r>
        <w:rPr>
          <w:b/>
          <w:u w:val="single"/>
        </w:rPr>
      </w:r>
    </w:p>
    <w:p>
      <w:pPr>
        <w:pStyle w:val="Normal"/>
        <w:tabs>
          <w:tab w:val="clear" w:pos="720"/>
          <w:tab w:val="left" w:pos="360" w:leader="none"/>
        </w:tabs>
        <w:jc w:val="both"/>
        <w:rPr/>
      </w:pPr>
      <w:r>
        <w:rPr/>
        <w:t xml:space="preserve">ECT proposes to provide: (1) a competitively priced delivered Firm Gas Supply to Lakeland’s 360 MW Westinghouse combined-cycle “501-G” installation at the McIntosh Plant (“McIntosh Plant”), (2) a Supplemental Gas Supply, as needed by Lakeland, and (3)  a nominating and scheduling service. </w:t>
      </w:r>
    </w:p>
    <w:p>
      <w:pPr>
        <w:pStyle w:val="Normal"/>
        <w:jc w:val="center"/>
        <w:rPr>
          <w:b/>
          <w:smallCaps/>
        </w:rPr>
      </w:pPr>
      <w:r>
        <w:rPr>
          <w:b/>
          <w:smallCaps/>
        </w:rPr>
      </w:r>
    </w:p>
    <w:p>
      <w:pPr>
        <w:pStyle w:val="Normal"/>
        <w:jc w:val="center"/>
        <w:rPr>
          <w:b/>
        </w:rPr>
      </w:pPr>
      <w:r>
        <w:rPr>
          <w:b/>
          <w:smallCaps/>
        </w:rPr>
        <w:t>Term of Agreement</w:t>
      </w:r>
    </w:p>
    <w:p>
      <w:pPr>
        <w:pStyle w:val="Normal"/>
        <w:ind w:hanging="1440" w:end="0"/>
        <w:jc w:val="both"/>
        <w:rPr>
          <w:b/>
        </w:rPr>
      </w:pPr>
      <w:r>
        <w:rPr>
          <w:b/>
        </w:rPr>
      </w:r>
    </w:p>
    <w:p>
      <w:pPr>
        <w:pStyle w:val="Normal"/>
        <w:tabs>
          <w:tab w:val="clear" w:pos="720"/>
          <w:tab w:val="left" w:pos="360" w:leader="none"/>
        </w:tabs>
        <w:jc w:val="both"/>
        <w:rPr/>
      </w:pPr>
      <w:r>
        <w:rPr/>
        <w:t xml:space="preserve">The term of the agreement would begin on the effective date of the agreement, and would extend until fifteen (15) years after June 1, 2001.  </w:t>
      </w:r>
    </w:p>
    <w:p>
      <w:pPr>
        <w:pStyle w:val="Normal"/>
        <w:tabs>
          <w:tab w:val="clear" w:pos="720"/>
          <w:tab w:val="left" w:pos="360" w:leader="none"/>
        </w:tabs>
        <w:jc w:val="both"/>
        <w:rPr/>
      </w:pPr>
      <w:r>
        <w:rPr/>
      </w:r>
    </w:p>
    <w:p>
      <w:pPr>
        <w:pStyle w:val="Normal"/>
        <w:tabs>
          <w:tab w:val="clear" w:pos="720"/>
          <w:tab w:val="left" w:pos="360" w:leader="none"/>
        </w:tabs>
        <w:jc w:val="both"/>
        <w:rPr/>
      </w:pPr>
      <w:r>
        <w:rPr/>
        <w:t xml:space="preserve">Initially under the agreement, ECT would perform gas nominating and scheduling services, and Supplemental Gas Supply services.  The Firm Gas Supply would start June 1, 2001, with the conversion to combined cycle operations, and extend fifteen years.  </w:t>
      </w:r>
    </w:p>
    <w:p>
      <w:pPr>
        <w:pStyle w:val="Normal"/>
        <w:tabs>
          <w:tab w:val="clear" w:pos="720"/>
          <w:tab w:val="left" w:pos="360" w:leader="none"/>
        </w:tabs>
        <w:jc w:val="both"/>
        <w:rPr/>
      </w:pPr>
      <w:r>
        <w:rPr/>
      </w:r>
    </w:p>
    <w:p>
      <w:pPr>
        <w:pStyle w:val="Normal"/>
        <w:tabs>
          <w:tab w:val="clear" w:pos="720"/>
          <w:tab w:val="left" w:pos="360" w:leader="none"/>
        </w:tabs>
        <w:jc w:val="both"/>
        <w:rPr/>
      </w:pPr>
      <w:r>
        <w:rPr/>
        <w:t>The term of the agreement would extend year to year thereafter, unless either party provides one (1) year prior written notice of termination.</w:t>
      </w:r>
    </w:p>
    <w:p>
      <w:pPr>
        <w:pStyle w:val="Normal"/>
        <w:numPr>
          <w:ilvl w:val="0"/>
          <w:numId w:val="0"/>
        </w:numPr>
        <w:ind w:hanging="360" w:start="0" w:end="0"/>
        <w:jc w:val="both"/>
        <w:rPr/>
      </w:pPr>
      <w:r>
        <w:rPr/>
      </w:r>
    </w:p>
    <w:p>
      <w:pPr>
        <w:pStyle w:val="Normal"/>
        <w:keepNext w:val="true"/>
        <w:keepLines/>
        <w:tabs>
          <w:tab w:val="clear" w:pos="720"/>
          <w:tab w:val="left" w:pos="360" w:leader="none"/>
        </w:tabs>
        <w:jc w:val="center"/>
        <w:rPr>
          <w:b/>
          <w:smallCaps/>
        </w:rPr>
      </w:pPr>
      <w:r>
        <w:rPr>
          <w:b/>
          <w:smallCaps/>
        </w:rPr>
      </w:r>
    </w:p>
    <w:p>
      <w:pPr>
        <w:pStyle w:val="Normal"/>
        <w:keepNext w:val="true"/>
        <w:keepLines/>
        <w:tabs>
          <w:tab w:val="clear" w:pos="720"/>
          <w:tab w:val="left" w:pos="360" w:leader="none"/>
        </w:tabs>
        <w:jc w:val="center"/>
        <w:rPr>
          <w:b/>
          <w:smallCaps/>
        </w:rPr>
      </w:pPr>
      <w:r>
        <w:rPr>
          <w:b/>
          <w:smallCaps/>
        </w:rPr>
        <w:t>Quantity</w:t>
      </w:r>
    </w:p>
    <w:p>
      <w:pPr>
        <w:pStyle w:val="Normal"/>
        <w:keepNext w:val="true"/>
        <w:keepLines/>
        <w:tabs>
          <w:tab w:val="clear" w:pos="720"/>
          <w:tab w:val="left" w:pos="360" w:leader="none"/>
        </w:tabs>
        <w:jc w:val="both"/>
        <w:rPr>
          <w:b/>
          <w:smallCaps/>
        </w:rPr>
      </w:pPr>
      <w:r>
        <w:rPr>
          <w:b/>
          <w:smallCaps/>
        </w:rPr>
      </w:r>
    </w:p>
    <w:p>
      <w:pPr>
        <w:pStyle w:val="Normal"/>
        <w:rPr/>
      </w:pPr>
      <w:r>
        <w:rPr/>
        <w:t>The Maximum Daily Quantity (“MaxDQ”) under the agreement would be 100,000 MMBtu per day.  62,000 MMBtu per day would be the Firm Gas Supply quantities (“Firm MaxDQ”).  38,000 MMBtu per day would be the Supplemental Gas Supply quantities (“Supplemental MaxDQ”).  The Firm MaxDQ and the Supplemental MaxDQ  are further defined in Tables  1 and 2.</w:t>
      </w:r>
    </w:p>
    <w:p>
      <w:pPr>
        <w:pStyle w:val="BodyText3"/>
        <w:rPr/>
      </w:pPr>
      <w:r>
        <w:rPr/>
      </w:r>
    </w:p>
    <w:p>
      <w:pPr>
        <w:pStyle w:val="BodyText3"/>
        <w:rPr/>
      </w:pPr>
      <w:r>
        <w:rPr/>
        <w:t xml:space="preserve">The Firm MaxDQ would be scheduled each day by ECT for Lakeland unless Lakeland elects to exercise its option under the Buy Back Provisions herein.  </w:t>
      </w:r>
    </w:p>
    <w:p>
      <w:pPr>
        <w:pStyle w:val="Normal"/>
        <w:jc w:val="both"/>
        <w:rPr/>
      </w:pPr>
      <w:r>
        <w:rPr/>
      </w:r>
    </w:p>
    <w:p>
      <w:pPr>
        <w:pStyle w:val="Normal"/>
        <w:jc w:val="both"/>
        <w:rPr/>
      </w:pPr>
      <w:r>
        <w:rPr/>
        <w:t>The Supplemental MaxDQ would be requested by Lakeland on a day ahead basis for any day in which such gas might be needed by Lakeland.  Upon Lakeland’s request, ECT would propose available quantities, pricing, and timing.  Lakeland would accept or reject all or a portion of the quantity proposed as Lakeland’s fuel and power economics dictate.</w:t>
      </w:r>
    </w:p>
    <w:p>
      <w:pPr>
        <w:pStyle w:val="Heading1"/>
        <w:ind w:hanging="0" w:start="0"/>
        <w:rPr>
          <w:sz w:val="24"/>
          <w:u w:val="none"/>
        </w:rPr>
      </w:pPr>
      <w:r>
        <w:rPr>
          <w:sz w:val="24"/>
          <w:u w:val="none"/>
        </w:rPr>
      </w:r>
    </w:p>
    <w:p>
      <w:pPr>
        <w:pStyle w:val="Normal"/>
        <w:rPr>
          <w:sz w:val="24"/>
          <w:u w:val="none"/>
        </w:rPr>
      </w:pPr>
      <w:r>
        <w:rPr>
          <w:sz w:val="24"/>
          <w:u w:val="none"/>
        </w:rPr>
      </w:r>
    </w:p>
    <w:p>
      <w:pPr>
        <w:pStyle w:val="Heading1"/>
        <w:keepLines/>
        <w:ind w:hanging="0" w:start="0"/>
        <w:rPr/>
      </w:pPr>
      <w:r>
        <w:rPr/>
        <w:t>Table 1 :  Firm MaxDQ during Combined-Cycle Term</w:t>
      </w:r>
    </w:p>
    <w:tbl>
      <w:tblPr>
        <w:tblW w:w="8730" w:type="dxa"/>
        <w:jc w:val="start"/>
        <w:tblInd w:w="108" w:type="dxa"/>
        <w:tblLayout w:type="fixed"/>
        <w:tblCellMar>
          <w:top w:w="0" w:type="dxa"/>
          <w:start w:w="108" w:type="dxa"/>
          <w:bottom w:w="0" w:type="dxa"/>
          <w:end w:w="108" w:type="dxa"/>
        </w:tblCellMar>
      </w:tblPr>
      <w:tblGrid>
        <w:gridCol w:w="1260"/>
        <w:gridCol w:w="1800"/>
        <w:gridCol w:w="1800"/>
        <w:gridCol w:w="1980"/>
        <w:gridCol w:w="1890"/>
      </w:tblGrid>
      <w:tr>
        <w:trPr/>
        <w:tc>
          <w:tcPr>
            <w:tcW w:w="1260" w:type="dxa"/>
            <w:tcBorders>
              <w:top w:val="single" w:sz="4" w:space="0" w:color="000000"/>
              <w:start w:val="single" w:sz="4" w:space="0" w:color="000000"/>
              <w:bottom w:val="single" w:sz="4" w:space="0" w:color="000000"/>
              <w:end w:val="single" w:sz="4" w:space="0" w:color="000000"/>
            </w:tcBorders>
            <w:vAlign w:val="bottom"/>
          </w:tcPr>
          <w:p>
            <w:pPr>
              <w:pStyle w:val="Normal"/>
              <w:keepNext w:val="true"/>
              <w:keepLines/>
              <w:tabs>
                <w:tab w:val="clear" w:pos="720"/>
                <w:tab w:val="left" w:pos="0" w:leader="none"/>
              </w:tabs>
              <w:jc w:val="center"/>
              <w:rPr>
                <w:b/>
                <w:i/>
                <w:i/>
              </w:rPr>
            </w:pPr>
            <w:r>
              <w:rPr>
                <w:b/>
                <w:i/>
              </w:rPr>
              <w:t>Month</w:t>
            </w:r>
          </w:p>
        </w:tc>
        <w:tc>
          <w:tcPr>
            <w:tcW w:w="1800" w:type="dxa"/>
            <w:tcBorders>
              <w:top w:val="single" w:sz="4" w:space="0" w:color="000000"/>
              <w:start w:val="single" w:sz="4" w:space="0" w:color="000000"/>
              <w:bottom w:val="single" w:sz="4" w:space="0" w:color="000000"/>
              <w:end w:val="single" w:sz="4" w:space="0" w:color="000000"/>
            </w:tcBorders>
            <w:vAlign w:val="bottom"/>
          </w:tcPr>
          <w:p>
            <w:pPr>
              <w:pStyle w:val="Normal"/>
              <w:keepNext w:val="true"/>
              <w:keepLines/>
              <w:tabs>
                <w:tab w:val="clear" w:pos="720"/>
                <w:tab w:val="left" w:pos="0" w:leader="none"/>
              </w:tabs>
              <w:jc w:val="center"/>
              <w:rPr>
                <w:b/>
                <w:i/>
                <w:i/>
              </w:rPr>
            </w:pPr>
            <w:r>
              <w:rPr>
                <w:b/>
                <w:i/>
              </w:rPr>
              <w:t xml:space="preserve">Assigned </w:t>
            </w:r>
          </w:p>
          <w:p>
            <w:pPr>
              <w:pStyle w:val="Normal"/>
              <w:keepNext w:val="true"/>
              <w:keepLines/>
              <w:tabs>
                <w:tab w:val="clear" w:pos="720"/>
                <w:tab w:val="left" w:pos="0" w:leader="none"/>
              </w:tabs>
              <w:jc w:val="center"/>
              <w:rPr>
                <w:b/>
                <w:i/>
                <w:i/>
              </w:rPr>
            </w:pPr>
            <w:r>
              <w:rPr>
                <w:b/>
                <w:i/>
              </w:rPr>
              <w:t>FTS-1 (MMBtu/d)</w:t>
            </w:r>
          </w:p>
        </w:tc>
        <w:tc>
          <w:tcPr>
            <w:tcW w:w="1800" w:type="dxa"/>
            <w:tcBorders>
              <w:top w:val="single" w:sz="4" w:space="0" w:color="000000"/>
              <w:start w:val="single" w:sz="4" w:space="0" w:color="000000"/>
              <w:bottom w:val="single" w:sz="4" w:space="0" w:color="000000"/>
              <w:end w:val="single" w:sz="4" w:space="0" w:color="000000"/>
            </w:tcBorders>
            <w:vAlign w:val="bottom"/>
          </w:tcPr>
          <w:p>
            <w:pPr>
              <w:pStyle w:val="Normal"/>
              <w:keepNext w:val="true"/>
              <w:keepLines/>
              <w:tabs>
                <w:tab w:val="clear" w:pos="720"/>
                <w:tab w:val="left" w:pos="0" w:leader="none"/>
              </w:tabs>
              <w:jc w:val="center"/>
              <w:rPr>
                <w:b/>
                <w:i/>
                <w:i/>
              </w:rPr>
            </w:pPr>
            <w:r>
              <w:rPr>
                <w:b/>
                <w:i/>
              </w:rPr>
              <w:t>Assigned</w:t>
            </w:r>
          </w:p>
          <w:p>
            <w:pPr>
              <w:pStyle w:val="Normal"/>
              <w:keepNext w:val="true"/>
              <w:keepLines/>
              <w:tabs>
                <w:tab w:val="clear" w:pos="720"/>
                <w:tab w:val="left" w:pos="0" w:leader="none"/>
              </w:tabs>
              <w:jc w:val="center"/>
              <w:rPr>
                <w:b/>
                <w:i/>
                <w:i/>
              </w:rPr>
            </w:pPr>
            <w:r>
              <w:rPr>
                <w:b/>
                <w:i/>
              </w:rPr>
              <w:t>FTS-2 (MMBtu/d)</w:t>
            </w:r>
          </w:p>
        </w:tc>
        <w:tc>
          <w:tcPr>
            <w:tcW w:w="198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left" w:pos="0" w:leader="none"/>
              </w:tabs>
              <w:jc w:val="center"/>
              <w:rPr>
                <w:b/>
                <w:i/>
                <w:i/>
              </w:rPr>
            </w:pPr>
            <w:r>
              <w:rPr>
                <w:b/>
                <w:i/>
              </w:rPr>
              <w:t>Incremental Firm Volumes (MMBtu/d)</w:t>
            </w:r>
          </w:p>
        </w:tc>
        <w:tc>
          <w:tcPr>
            <w:tcW w:w="1890" w:type="dxa"/>
            <w:tcBorders>
              <w:top w:val="single" w:sz="4" w:space="0" w:color="000000"/>
              <w:start w:val="single" w:sz="4" w:space="0" w:color="000000"/>
              <w:bottom w:val="single" w:sz="4" w:space="0" w:color="000000"/>
              <w:end w:val="single" w:sz="4" w:space="0" w:color="000000"/>
            </w:tcBorders>
            <w:vAlign w:val="bottom"/>
          </w:tcPr>
          <w:p>
            <w:pPr>
              <w:pStyle w:val="Normal"/>
              <w:keepNext w:val="true"/>
              <w:keepLines/>
              <w:tabs>
                <w:tab w:val="clear" w:pos="720"/>
                <w:tab w:val="left" w:pos="0" w:leader="none"/>
              </w:tabs>
              <w:jc w:val="center"/>
              <w:rPr>
                <w:b/>
                <w:i/>
                <w:i/>
              </w:rPr>
            </w:pPr>
            <w:r>
              <w:rPr>
                <w:b/>
                <w:i/>
              </w:rPr>
              <w:t>Firm</w:t>
            </w:r>
          </w:p>
          <w:p>
            <w:pPr>
              <w:pStyle w:val="Normal"/>
              <w:keepNext w:val="true"/>
              <w:keepLines/>
              <w:tabs>
                <w:tab w:val="clear" w:pos="720"/>
                <w:tab w:val="left" w:pos="0" w:leader="none"/>
              </w:tabs>
              <w:jc w:val="center"/>
              <w:rPr>
                <w:b/>
                <w:i/>
                <w:i/>
              </w:rPr>
            </w:pPr>
            <w:r>
              <w:rPr>
                <w:b/>
                <w:i/>
              </w:rPr>
              <w:t>MaxDQ (MMBtu/d)</w:t>
            </w:r>
          </w:p>
        </w:tc>
      </w:tr>
      <w:tr>
        <w:trPr/>
        <w:tc>
          <w:tcPr>
            <w:tcW w:w="126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left" w:pos="0" w:leader="none"/>
              </w:tabs>
              <w:jc w:val="both"/>
              <w:rPr/>
            </w:pPr>
            <w:r>
              <w:rPr/>
              <w:t>January</w:t>
            </w:r>
          </w:p>
        </w:tc>
        <w:tc>
          <w:tcPr>
            <w:tcW w:w="180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left" w:pos="0" w:leader="none"/>
              </w:tabs>
              <w:jc w:val="center"/>
              <w:rPr/>
            </w:pPr>
            <w:r>
              <w:rPr/>
              <w:t>11,485</w:t>
            </w:r>
          </w:p>
        </w:tc>
        <w:tc>
          <w:tcPr>
            <w:tcW w:w="180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left" w:pos="0" w:leader="none"/>
              </w:tabs>
              <w:jc w:val="center"/>
              <w:rPr/>
            </w:pPr>
            <w:r>
              <w:rPr/>
              <w:t>13,444</w:t>
            </w:r>
          </w:p>
        </w:tc>
        <w:tc>
          <w:tcPr>
            <w:tcW w:w="1980"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lang w:eastAsia="en-US"/>
              </w:rPr>
            </w:pPr>
            <w:r>
              <w:rPr>
                <w:color w:val="000000"/>
                <w:lang w:eastAsia="en-US"/>
              </w:rPr>
              <w:t>37,071</w:t>
            </w:r>
          </w:p>
        </w:tc>
        <w:tc>
          <w:tcPr>
            <w:tcW w:w="189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left" w:pos="0" w:leader="none"/>
              </w:tabs>
              <w:jc w:val="center"/>
              <w:rPr/>
            </w:pPr>
            <w:r>
              <w:rPr/>
              <w:t>62,000</w:t>
            </w:r>
          </w:p>
        </w:tc>
      </w:tr>
      <w:tr>
        <w:trPr/>
        <w:tc>
          <w:tcPr>
            <w:tcW w:w="126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left" w:pos="0" w:leader="none"/>
              </w:tabs>
              <w:jc w:val="both"/>
              <w:rPr/>
            </w:pPr>
            <w:r>
              <w:rPr/>
              <w:t>February</w:t>
            </w:r>
          </w:p>
        </w:tc>
        <w:tc>
          <w:tcPr>
            <w:tcW w:w="180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left" w:pos="0" w:leader="none"/>
              </w:tabs>
              <w:jc w:val="center"/>
              <w:rPr/>
            </w:pPr>
            <w:r>
              <w:rPr/>
              <w:t>11,485</w:t>
            </w:r>
          </w:p>
        </w:tc>
        <w:tc>
          <w:tcPr>
            <w:tcW w:w="180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left" w:pos="0" w:leader="none"/>
              </w:tabs>
              <w:jc w:val="center"/>
              <w:rPr/>
            </w:pPr>
            <w:r>
              <w:rPr/>
              <w:t>13,444</w:t>
            </w:r>
          </w:p>
        </w:tc>
        <w:tc>
          <w:tcPr>
            <w:tcW w:w="1980"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lang w:eastAsia="en-US"/>
              </w:rPr>
            </w:pPr>
            <w:r>
              <w:rPr>
                <w:color w:val="000000"/>
                <w:lang w:eastAsia="en-US"/>
              </w:rPr>
              <w:t>37,071</w:t>
            </w:r>
          </w:p>
        </w:tc>
        <w:tc>
          <w:tcPr>
            <w:tcW w:w="189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left" w:pos="0" w:leader="none"/>
              </w:tabs>
              <w:jc w:val="center"/>
              <w:rPr/>
            </w:pPr>
            <w:r>
              <w:rPr/>
              <w:t>62,000</w:t>
            </w:r>
          </w:p>
        </w:tc>
      </w:tr>
      <w:tr>
        <w:trPr/>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r>
              <w:rPr/>
              <w:t>March</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3,261</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20,944</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color w:val="000000"/>
                <w:lang w:eastAsia="en-US"/>
              </w:rPr>
              <w:t>37,795</w:t>
            </w:r>
          </w:p>
        </w:tc>
        <w:tc>
          <w:tcPr>
            <w:tcW w:w="18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62,000</w:t>
            </w:r>
          </w:p>
        </w:tc>
      </w:tr>
      <w:tr>
        <w:trPr/>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r>
              <w:rPr/>
              <w:t>April</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7,672</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22,636</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color w:val="000000"/>
                <w:lang w:eastAsia="en-US"/>
              </w:rPr>
              <w:t>31,692</w:t>
            </w:r>
          </w:p>
        </w:tc>
        <w:tc>
          <w:tcPr>
            <w:tcW w:w="18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62,000</w:t>
            </w:r>
          </w:p>
        </w:tc>
      </w:tr>
      <w:tr>
        <w:trPr/>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r>
              <w:rPr/>
              <w:t>May</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8,306</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20,223</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color w:val="000000"/>
                <w:lang w:eastAsia="en-US"/>
              </w:rPr>
              <w:t>33,471</w:t>
            </w:r>
          </w:p>
        </w:tc>
        <w:tc>
          <w:tcPr>
            <w:tcW w:w="18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62,000</w:t>
            </w:r>
          </w:p>
        </w:tc>
      </w:tr>
      <w:tr>
        <w:trPr/>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r>
              <w:rPr/>
              <w:t>June</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8,306</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20,223</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color w:val="000000"/>
                <w:lang w:eastAsia="en-US"/>
              </w:rPr>
              <w:t>33,471</w:t>
            </w:r>
          </w:p>
        </w:tc>
        <w:tc>
          <w:tcPr>
            <w:tcW w:w="18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62,000</w:t>
            </w:r>
          </w:p>
        </w:tc>
      </w:tr>
      <w:tr>
        <w:trPr/>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r>
              <w:rPr/>
              <w:t>July</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8,306</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20,223</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color w:val="000000"/>
                <w:lang w:eastAsia="en-US"/>
              </w:rPr>
              <w:t>33,471</w:t>
            </w:r>
          </w:p>
        </w:tc>
        <w:tc>
          <w:tcPr>
            <w:tcW w:w="18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62,000</w:t>
            </w:r>
          </w:p>
        </w:tc>
      </w:tr>
      <w:tr>
        <w:trPr/>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r>
              <w:rPr/>
              <w:t>August</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8,306</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20,223</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color w:val="000000"/>
                <w:lang w:eastAsia="en-US"/>
              </w:rPr>
              <w:t>33,471</w:t>
            </w:r>
          </w:p>
        </w:tc>
        <w:tc>
          <w:tcPr>
            <w:tcW w:w="18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62,000</w:t>
            </w:r>
          </w:p>
        </w:tc>
      </w:tr>
      <w:tr>
        <w:trPr/>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r>
              <w:rPr/>
              <w:t>September</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8,306</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20,223</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color w:val="000000"/>
                <w:lang w:eastAsia="en-US"/>
              </w:rPr>
              <w:t>33,471</w:t>
            </w:r>
          </w:p>
        </w:tc>
        <w:tc>
          <w:tcPr>
            <w:tcW w:w="18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62,000</w:t>
            </w:r>
          </w:p>
        </w:tc>
      </w:tr>
      <w:tr>
        <w:trPr/>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r>
              <w:rPr/>
              <w:t>October</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9,952</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20,948</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color w:val="000000"/>
                <w:lang w:eastAsia="en-US"/>
              </w:rPr>
              <w:t>31,100</w:t>
            </w:r>
          </w:p>
        </w:tc>
        <w:tc>
          <w:tcPr>
            <w:tcW w:w="18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62,000</w:t>
            </w:r>
          </w:p>
        </w:tc>
      </w:tr>
      <w:tr>
        <w:trPr/>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r>
              <w:rPr/>
              <w:t>November</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17,724</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13,444</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color w:val="000000"/>
                <w:lang w:eastAsia="en-US"/>
              </w:rPr>
              <w:t>30,832</w:t>
            </w:r>
          </w:p>
        </w:tc>
        <w:tc>
          <w:tcPr>
            <w:tcW w:w="18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62,000</w:t>
            </w:r>
          </w:p>
        </w:tc>
      </w:tr>
      <w:tr>
        <w:trPr/>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r>
              <w:rPr/>
              <w:t>December</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11,485</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13,444</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color w:val="000000"/>
                <w:lang w:eastAsia="en-US"/>
              </w:rPr>
              <w:t>37,071</w:t>
            </w:r>
          </w:p>
        </w:tc>
        <w:tc>
          <w:tcPr>
            <w:tcW w:w="18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62,000</w:t>
            </w:r>
          </w:p>
        </w:tc>
      </w:tr>
    </w:tbl>
    <w:p>
      <w:pPr>
        <w:pStyle w:val="Heading1"/>
        <w:keepLines/>
        <w:ind w:hanging="0" w:start="0"/>
        <w:rPr>
          <w:sz w:val="24"/>
          <w:u w:val="none"/>
        </w:rPr>
      </w:pPr>
      <w:r>
        <w:rPr>
          <w:sz w:val="24"/>
          <w:u w:val="none"/>
        </w:rPr>
      </w:r>
    </w:p>
    <w:p>
      <w:pPr>
        <w:pStyle w:val="Normal"/>
        <w:rPr>
          <w:sz w:val="24"/>
          <w:u w:val="none"/>
        </w:rPr>
      </w:pPr>
      <w:r>
        <w:rPr>
          <w:sz w:val="24"/>
          <w:u w:val="none"/>
        </w:rPr>
      </w:r>
    </w:p>
    <w:p>
      <w:pPr>
        <w:pStyle w:val="Heading1"/>
        <w:keepLines/>
        <w:ind w:hanging="0" w:start="0"/>
        <w:rPr/>
      </w:pPr>
      <w:r>
        <w:rPr/>
        <w:t>Table 2:  Firm and Supplemental MaxDQ</w:t>
      </w:r>
    </w:p>
    <w:tbl>
      <w:tblPr>
        <w:tblW w:w="8640" w:type="dxa"/>
        <w:jc w:val="start"/>
        <w:tblInd w:w="108" w:type="dxa"/>
        <w:tblLayout w:type="fixed"/>
        <w:tblCellMar>
          <w:top w:w="0" w:type="dxa"/>
          <w:start w:w="108" w:type="dxa"/>
          <w:bottom w:w="0" w:type="dxa"/>
          <w:end w:w="108" w:type="dxa"/>
        </w:tblCellMar>
      </w:tblPr>
      <w:tblGrid>
        <w:gridCol w:w="2160"/>
        <w:gridCol w:w="2160"/>
        <w:gridCol w:w="2160"/>
        <w:gridCol w:w="2160"/>
      </w:tblGrid>
      <w:tr>
        <w:trPr/>
        <w:tc>
          <w:tcPr>
            <w:tcW w:w="2160" w:type="dxa"/>
            <w:tcBorders>
              <w:top w:val="single" w:sz="4" w:space="0" w:color="000000"/>
              <w:start w:val="single" w:sz="4" w:space="0" w:color="000000"/>
              <w:bottom w:val="single" w:sz="4" w:space="0" w:color="000000"/>
              <w:end w:val="single" w:sz="4" w:space="0" w:color="000000"/>
            </w:tcBorders>
            <w:vAlign w:val="bottom"/>
          </w:tcPr>
          <w:p>
            <w:pPr>
              <w:pStyle w:val="Normal"/>
              <w:keepNext w:val="true"/>
              <w:keepLines/>
              <w:tabs>
                <w:tab w:val="clear" w:pos="720"/>
                <w:tab w:val="left" w:pos="0" w:leader="none"/>
              </w:tabs>
              <w:jc w:val="center"/>
              <w:rPr>
                <w:b/>
                <w:i/>
                <w:i/>
              </w:rPr>
            </w:pPr>
            <w:r>
              <w:rPr>
                <w:b/>
                <w:i/>
              </w:rPr>
              <w:t>Month</w:t>
            </w:r>
          </w:p>
        </w:tc>
        <w:tc>
          <w:tcPr>
            <w:tcW w:w="2160" w:type="dxa"/>
            <w:tcBorders>
              <w:top w:val="single" w:sz="4" w:space="0" w:color="000000"/>
              <w:start w:val="single" w:sz="4" w:space="0" w:color="000000"/>
              <w:bottom w:val="single" w:sz="4" w:space="0" w:color="000000"/>
              <w:end w:val="single" w:sz="4" w:space="0" w:color="000000"/>
            </w:tcBorders>
            <w:vAlign w:val="bottom"/>
          </w:tcPr>
          <w:p>
            <w:pPr>
              <w:pStyle w:val="Normal"/>
              <w:keepNext w:val="true"/>
              <w:keepLines/>
              <w:tabs>
                <w:tab w:val="clear" w:pos="720"/>
                <w:tab w:val="left" w:pos="0" w:leader="none"/>
              </w:tabs>
              <w:jc w:val="center"/>
              <w:rPr>
                <w:b/>
                <w:i/>
                <w:i/>
              </w:rPr>
            </w:pPr>
            <w:r>
              <w:rPr>
                <w:b/>
                <w:i/>
              </w:rPr>
              <w:t>Supplemental MaxDQ</w:t>
            </w:r>
          </w:p>
          <w:p>
            <w:pPr>
              <w:pStyle w:val="Normal"/>
              <w:keepNext w:val="true"/>
              <w:keepLines/>
              <w:tabs>
                <w:tab w:val="clear" w:pos="720"/>
                <w:tab w:val="left" w:pos="0" w:leader="none"/>
              </w:tabs>
              <w:jc w:val="center"/>
              <w:rPr>
                <w:b/>
                <w:i/>
                <w:i/>
              </w:rPr>
            </w:pPr>
            <w:r>
              <w:rPr>
                <w:b/>
                <w:i/>
              </w:rPr>
              <w:t>MMBtu/d)</w:t>
            </w:r>
          </w:p>
        </w:tc>
        <w:tc>
          <w:tcPr>
            <w:tcW w:w="216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left" w:pos="0" w:leader="none"/>
              </w:tabs>
              <w:jc w:val="center"/>
              <w:rPr>
                <w:b/>
                <w:i/>
                <w:i/>
              </w:rPr>
            </w:pPr>
            <w:r>
              <w:rPr>
                <w:b/>
                <w:i/>
              </w:rPr>
              <w:t>Firm</w:t>
            </w:r>
          </w:p>
          <w:p>
            <w:pPr>
              <w:pStyle w:val="Normal"/>
              <w:keepNext w:val="true"/>
              <w:keepLines/>
              <w:tabs>
                <w:tab w:val="clear" w:pos="720"/>
                <w:tab w:val="left" w:pos="0" w:leader="none"/>
              </w:tabs>
              <w:jc w:val="center"/>
              <w:rPr>
                <w:b/>
                <w:i/>
                <w:i/>
              </w:rPr>
            </w:pPr>
            <w:r>
              <w:rPr>
                <w:b/>
                <w:i/>
              </w:rPr>
              <w:t>MaxDQ (MMBtu/d)</w:t>
            </w:r>
          </w:p>
        </w:tc>
        <w:tc>
          <w:tcPr>
            <w:tcW w:w="2160" w:type="dxa"/>
            <w:tcBorders>
              <w:top w:val="single" w:sz="4" w:space="0" w:color="000000"/>
              <w:start w:val="single" w:sz="4" w:space="0" w:color="000000"/>
              <w:bottom w:val="single" w:sz="4" w:space="0" w:color="000000"/>
              <w:end w:val="single" w:sz="4" w:space="0" w:color="000000"/>
            </w:tcBorders>
            <w:vAlign w:val="bottom"/>
          </w:tcPr>
          <w:p>
            <w:pPr>
              <w:pStyle w:val="Normal"/>
              <w:keepNext w:val="true"/>
              <w:keepLines/>
              <w:tabs>
                <w:tab w:val="clear" w:pos="720"/>
                <w:tab w:val="left" w:pos="0" w:leader="none"/>
              </w:tabs>
              <w:jc w:val="center"/>
              <w:rPr>
                <w:b/>
                <w:i/>
                <w:i/>
              </w:rPr>
            </w:pPr>
            <w:r>
              <w:rPr>
                <w:b/>
                <w:i/>
              </w:rPr>
              <w:t>MaxDQ (MMBtu/d)</w:t>
            </w:r>
          </w:p>
        </w:tc>
      </w:tr>
      <w:tr>
        <w:trPr/>
        <w:tc>
          <w:tcPr>
            <w:tcW w:w="2160" w:type="dxa"/>
            <w:tcBorders>
              <w:top w:val="single" w:sz="4" w:space="0" w:color="000000"/>
              <w:start w:val="single" w:sz="4" w:space="0" w:color="000000"/>
              <w:bottom w:val="single" w:sz="4" w:space="0" w:color="000000"/>
              <w:end w:val="single" w:sz="4" w:space="0" w:color="000000"/>
            </w:tcBorders>
          </w:tcPr>
          <w:p>
            <w:pPr>
              <w:pStyle w:val="Heading7"/>
              <w:ind w:hanging="0" w:start="0"/>
              <w:rPr/>
            </w:pPr>
            <w:r>
              <w:rPr/>
              <w:t>January</w:t>
            </w:r>
          </w:p>
        </w:tc>
        <w:tc>
          <w:tcPr>
            <w:tcW w:w="216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left" w:pos="0" w:leader="none"/>
              </w:tabs>
              <w:jc w:val="center"/>
              <w:rPr/>
            </w:pPr>
            <w:r>
              <w:rPr/>
              <w:t>38,000</w:t>
            </w:r>
          </w:p>
        </w:tc>
        <w:tc>
          <w:tcPr>
            <w:tcW w:w="216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left" w:pos="0" w:leader="none"/>
              </w:tabs>
              <w:jc w:val="center"/>
              <w:rPr/>
            </w:pPr>
            <w:r>
              <w:rPr/>
              <w:t>62,000</w:t>
            </w:r>
          </w:p>
        </w:tc>
        <w:tc>
          <w:tcPr>
            <w:tcW w:w="2160"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lang w:eastAsia="en-US"/>
              </w:rPr>
            </w:pPr>
            <w:r>
              <w:rPr/>
              <w:t>100,000</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left" w:pos="0" w:leader="none"/>
              </w:tabs>
              <w:rPr/>
            </w:pPr>
            <w:r>
              <w:rPr/>
              <w:t>February</w:t>
            </w:r>
          </w:p>
        </w:tc>
        <w:tc>
          <w:tcPr>
            <w:tcW w:w="216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left" w:pos="0" w:leader="none"/>
              </w:tabs>
              <w:jc w:val="center"/>
              <w:rPr/>
            </w:pPr>
            <w:r>
              <w:rPr/>
              <w:t>38,000</w:t>
            </w:r>
          </w:p>
        </w:tc>
        <w:tc>
          <w:tcPr>
            <w:tcW w:w="216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left" w:pos="0" w:leader="none"/>
              </w:tabs>
              <w:jc w:val="center"/>
              <w:rPr/>
            </w:pPr>
            <w:r>
              <w:rPr/>
              <w:t>62,000</w:t>
            </w:r>
          </w:p>
        </w:tc>
        <w:tc>
          <w:tcPr>
            <w:tcW w:w="2160"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lang w:eastAsia="en-US"/>
              </w:rPr>
            </w:pPr>
            <w:r>
              <w:rPr/>
              <w:t>100,000</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rPr/>
            </w:pPr>
            <w:r>
              <w:rPr/>
              <w:t>March</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38,000</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62,000</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t>100,000</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rPr/>
            </w:pPr>
            <w:r>
              <w:rPr/>
              <w:t>April</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38,000</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62,000</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t>100,000</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rPr/>
            </w:pPr>
            <w:r>
              <w:rPr/>
              <w:t>May</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38,000</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62,000</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t>100,000</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rPr/>
            </w:pPr>
            <w:r>
              <w:rPr/>
              <w:t>June</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38,000</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62,000</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t>100,000</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rPr/>
            </w:pPr>
            <w:r>
              <w:rPr/>
              <w:t>July</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38,000</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62,000</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t>100,000</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rPr/>
            </w:pPr>
            <w:r>
              <w:rPr/>
              <w:t>August</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38,000</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62,000</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t>100,000</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rPr/>
            </w:pPr>
            <w:r>
              <w:rPr/>
              <w:t>September</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38,000</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62,000</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t>100,000</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rPr/>
            </w:pPr>
            <w:r>
              <w:rPr/>
              <w:t>October</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38,000</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62,000</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t>100,000</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rPr/>
            </w:pPr>
            <w:r>
              <w:rPr/>
              <w:t>November</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38,000</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62,000</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t>100,000</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rPr/>
            </w:pPr>
            <w:r>
              <w:rPr/>
              <w:t>December</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38,000</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62,000</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t>100,000</w:t>
            </w:r>
          </w:p>
        </w:tc>
      </w:tr>
    </w:tbl>
    <w:p>
      <w:pPr>
        <w:pStyle w:val="Normal"/>
        <w:rPr>
          <w:b/>
          <w:smallCaps/>
        </w:rPr>
      </w:pPr>
      <w:r>
        <w:br w:type="page"/>
      </w:r>
      <w:r>
        <w:rPr>
          <w:b/>
          <w:smallCaps/>
        </w:rPr>
        <w:t xml:space="preserve"> </w:t>
      </w:r>
      <w:r>
        <w:rPr>
          <w:b/>
          <w:smallCaps/>
        </w:rPr>
        <w:t>Buy Back Provisions</w:t>
      </w:r>
    </w:p>
    <w:p>
      <w:pPr>
        <w:pStyle w:val="Normal"/>
        <w:keepNext w:val="true"/>
        <w:keepLines/>
        <w:tabs>
          <w:tab w:val="clear" w:pos="720"/>
          <w:tab w:val="left" w:pos="360" w:leader="none"/>
        </w:tabs>
        <w:jc w:val="center"/>
        <w:rPr>
          <w:b/>
          <w:smallCaps/>
        </w:rPr>
      </w:pPr>
      <w:r>
        <w:rPr>
          <w:b/>
          <w:smallCaps/>
        </w:rPr>
      </w:r>
    </w:p>
    <w:p>
      <w:pPr>
        <w:pStyle w:val="Heading5"/>
        <w:ind w:hanging="0" w:start="0"/>
        <w:rPr>
          <w:i/>
          <w:i/>
        </w:rPr>
      </w:pPr>
      <w:r>
        <w:rPr>
          <w:i/>
        </w:rPr>
        <w:t>“</w:t>
      </w:r>
      <w:r>
        <w:rPr>
          <w:i/>
        </w:rPr>
        <w:t>Day Ahead” Buy Back of Gas</w:t>
      </w:r>
    </w:p>
    <w:p>
      <w:pPr>
        <w:pStyle w:val="BodyTextIndent"/>
        <w:rPr>
          <w:sz w:val="24"/>
        </w:rPr>
      </w:pPr>
      <w:r>
        <w:rPr>
          <w:sz w:val="24"/>
        </w:rPr>
        <w:tab/>
        <w:t>By providing notice by 9:00 a.m. Eastern Time on the morning of FGT’s chart time nomination deadline, Lakeland would have the option to request quantities to be delivered less than the Firm MaxDQ.  In such event, ECT would buy back such excess quantities of gas at the price set forth below.</w:t>
      </w:r>
    </w:p>
    <w:p>
      <w:pPr>
        <w:pStyle w:val="Heading2"/>
        <w:tabs>
          <w:tab w:val="clear" w:pos="720"/>
          <w:tab w:val="left" w:pos="3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0" w:start="0"/>
        <w:rPr>
          <w:sz w:val="24"/>
        </w:rPr>
      </w:pPr>
      <w:r>
        <w:rPr>
          <w:sz w:val="24"/>
        </w:rPr>
      </w:r>
    </w:p>
    <w:p>
      <w:pPr>
        <w:pStyle w:val="Heading5"/>
        <w:tabs>
          <w:tab w:val="clear" w:pos="360"/>
        </w:tabs>
        <w:ind w:hanging="0" w:start="0"/>
        <w:rPr>
          <w:i/>
          <w:i/>
        </w:rPr>
      </w:pPr>
      <w:r>
        <w:rPr>
          <w:i/>
        </w:rPr>
        <w:t>“</w:t>
      </w:r>
      <w:r>
        <w:rPr>
          <w:i/>
        </w:rPr>
        <w:t>Intraday” Buy Back of Gas</w:t>
      </w:r>
    </w:p>
    <w:p>
      <w:pPr>
        <w:pStyle w:val="BodyTextIndent"/>
        <w:ind w:hanging="0" w:end="0"/>
        <w:rPr>
          <w:sz w:val="24"/>
        </w:rPr>
      </w:pPr>
      <w:r>
        <w:rPr>
          <w:sz w:val="24"/>
        </w:rPr>
        <w:t>Upon providing two (2) hours notice prior to FGT’s intraday nomination deadlines for the applicable gas day, Lakeland would have the option to request quantities to be delivered less than the quantities previously scheduled.  In such event, ECT would buy back such excess quantities of gas at the price set forth below.</w:t>
      </w:r>
    </w:p>
    <w:p>
      <w:pPr>
        <w:pStyle w:val="Heading6"/>
        <w:keepLines/>
        <w:ind w:hanging="0" w:start="0"/>
        <w:rPr>
          <w:sz w:val="24"/>
        </w:rPr>
      </w:pPr>
      <w:r>
        <w:rPr>
          <w:sz w:val="24"/>
        </w:rPr>
      </w:r>
    </w:p>
    <w:p>
      <w:pPr>
        <w:pStyle w:val="Heading6"/>
        <w:keepLines/>
        <w:ind w:hanging="0" w:start="0"/>
        <w:rPr/>
      </w:pPr>
      <w:r>
        <w:rPr/>
        <w:t>Recall of Delivered Gas Supply</w:t>
      </w:r>
    </w:p>
    <w:p>
      <w:pPr>
        <w:pStyle w:val="Normal"/>
        <w:keepNext w:val="true"/>
        <w:keepLines/>
        <w:tabs>
          <w:tab w:val="clear" w:pos="720"/>
          <w:tab w:val="left" w:pos="360" w:leader="none"/>
        </w:tabs>
        <w:jc w:val="both"/>
        <w:rPr>
          <w:b/>
          <w:smallCaps/>
        </w:rPr>
      </w:pPr>
      <w:r>
        <w:rPr>
          <w:b/>
          <w:smallCaps/>
        </w:rPr>
      </w:r>
    </w:p>
    <w:p>
      <w:pPr>
        <w:pStyle w:val="Normal"/>
        <w:tabs>
          <w:tab w:val="clear" w:pos="720"/>
          <w:tab w:val="left" w:pos="360" w:leader="none"/>
        </w:tabs>
        <w:jc w:val="both"/>
        <w:rPr/>
      </w:pPr>
      <w:r>
        <w:rPr/>
        <w:t>On a day ahead basis, ECT would have the right to recall the gas supply that Lakeland has requested to be scheduled and delivered to its citygate. At any time that ECT recalls delivered gas supply requested by Lakeland, Lakeland would be relieved of its obligation to pay ECT the applicable Contract Price. Further, during such recall period, Lakeland would have the right to buy back from ECT such delivered gas which was recalled by ECT at an agreed to price which is reflective of the current market.</w:t>
      </w:r>
    </w:p>
    <w:p>
      <w:pPr>
        <w:pStyle w:val="Heading2"/>
        <w:tabs>
          <w:tab w:val="clear" w:pos="720"/>
          <w:tab w:val="left" w:pos="360" w:leader="none"/>
        </w:tabs>
        <w:ind w:hanging="0" w:start="0"/>
        <w:rPr>
          <w:sz w:val="24"/>
        </w:rPr>
      </w:pPr>
      <w:r>
        <w:rPr>
          <w:sz w:val="24"/>
        </w:rPr>
      </w:r>
    </w:p>
    <w:p>
      <w:pPr>
        <w:pStyle w:val="Heading2"/>
        <w:tabs>
          <w:tab w:val="clear" w:pos="720"/>
          <w:tab w:val="left" w:pos="360" w:leader="none"/>
        </w:tabs>
        <w:ind w:hanging="0" w:start="0"/>
        <w:rPr>
          <w:sz w:val="24"/>
        </w:rPr>
      </w:pPr>
      <w:r>
        <w:rPr>
          <w:sz w:val="24"/>
        </w:rPr>
        <w:t>Contract Price</w:t>
      </w:r>
    </w:p>
    <w:p>
      <w:pPr>
        <w:pStyle w:val="Normal"/>
        <w:keepNext w:val="true"/>
        <w:keepLines/>
        <w:tabs>
          <w:tab w:val="clear" w:pos="720"/>
          <w:tab w:val="left" w:pos="360" w:leader="none"/>
        </w:tabs>
        <w:ind w:hanging="1440" w:start="1440" w:end="0"/>
        <w:jc w:val="both"/>
        <w:rPr>
          <w:b/>
          <w:sz w:val="24"/>
        </w:rPr>
      </w:pPr>
      <w:r>
        <w:rPr>
          <w:b/>
          <w:sz w:val="24"/>
        </w:rPr>
      </w:r>
    </w:p>
    <w:p>
      <w:pPr>
        <w:pStyle w:val="Heading8"/>
        <w:rPr/>
      </w:pPr>
      <w:r>
        <w:rPr/>
        <w:t>Firm Gas Supply Price</w:t>
      </w:r>
    </w:p>
    <w:p>
      <w:pPr>
        <w:pStyle w:val="Normal"/>
        <w:keepNext w:val="true"/>
        <w:keepLines/>
        <w:tabs>
          <w:tab w:val="clear" w:pos="720"/>
          <w:tab w:val="left" w:pos="360" w:leader="none"/>
        </w:tabs>
        <w:jc w:val="both"/>
        <w:rPr/>
      </w:pPr>
      <w:r>
        <w:rPr/>
        <w:t>Lakeland would pay ECT a two-part rate consisting of a Monthly Demand Charge and a Commodity Charge as follows:</w:t>
      </w:r>
    </w:p>
    <w:p>
      <w:pPr>
        <w:pStyle w:val="Normal"/>
        <w:tabs>
          <w:tab w:val="clear" w:pos="720"/>
          <w:tab w:val="left" w:pos="360" w:leader="none"/>
        </w:tabs>
        <w:jc w:val="both"/>
        <w:rPr/>
      </w:pPr>
      <w:r>
        <w:rPr/>
      </w:r>
    </w:p>
    <w:p>
      <w:pPr>
        <w:pStyle w:val="Normal"/>
        <w:tabs>
          <w:tab w:val="clear" w:pos="720"/>
          <w:tab w:val="left" w:pos="360" w:leader="none"/>
        </w:tabs>
        <w:jc w:val="both"/>
        <w:rPr/>
      </w:pPr>
      <w:r>
        <w:rPr>
          <w:u w:val="single"/>
        </w:rPr>
        <w:t>Monthly Demand Charge</w:t>
      </w:r>
      <w:r>
        <w:rPr/>
        <w:t xml:space="preserve"> - Lakeland would pay ECT the sum of (i) the FGT FTS-1 demand charge in effect for any month, times the corresponding assigned FTS-1 volumes in Table 1, times the number of days for such month, and (ii) the FGT FTS-2 demand charge in effect for any month, times the sum of the corresponding assigned FTS-2 volumes and the incremental volumes in Table 1, times the number of days for such month.</w:t>
      </w:r>
    </w:p>
    <w:p>
      <w:pPr>
        <w:pStyle w:val="Normal"/>
        <w:tabs>
          <w:tab w:val="clear" w:pos="720"/>
          <w:tab w:val="left" w:pos="360" w:leader="none"/>
        </w:tabs>
        <w:jc w:val="both"/>
        <w:rPr/>
      </w:pPr>
      <w:r>
        <w:rPr/>
      </w:r>
    </w:p>
    <w:p>
      <w:pPr>
        <w:pStyle w:val="Normal"/>
        <w:tabs>
          <w:tab w:val="clear" w:pos="720"/>
          <w:tab w:val="left" w:pos="360" w:leader="none"/>
        </w:tabs>
        <w:jc w:val="both"/>
        <w:rPr/>
      </w:pPr>
      <w:r>
        <w:rPr>
          <w:u w:val="single"/>
        </w:rPr>
        <w:t>Commodity Charge</w:t>
      </w:r>
      <w:r>
        <w:rPr/>
        <w:t xml:space="preserve"> - The sum of (i) the first of the month Index as published in Inside</w:t>
      </w:r>
      <w:r>
        <w:rPr>
          <w:b/>
          <w:i/>
        </w:rPr>
        <w:t xml:space="preserve"> F.E.R.C.’s Gas Market Report, </w:t>
      </w:r>
      <w:r>
        <w:rPr/>
        <w:t>(“Index Price”) for all gas delivered in the FGT zone outlined below, plus (ii) the applicable FTS-1 and FTS-2 variable transport costs (including fuel retention) on FGT, less (iii) a discount for the assigned FTS-1 and FTS-2 volumes of $.10 per MMBtu, and a discount for the incremental firm volumes of $.13 per MMBtu.</w:t>
      </w:r>
    </w:p>
    <w:p>
      <w:pPr>
        <w:pStyle w:val="Normal"/>
        <w:tabs>
          <w:tab w:val="clear" w:pos="720"/>
          <w:tab w:val="left" w:pos="360" w:leader="none"/>
        </w:tabs>
        <w:jc w:val="both"/>
        <w:rPr/>
      </w:pPr>
      <w:r>
        <w:rPr/>
        <w:tab/>
      </w:r>
    </w:p>
    <w:p>
      <w:pPr>
        <w:pStyle w:val="Normal"/>
        <w:tabs>
          <w:tab w:val="clear" w:pos="720"/>
          <w:tab w:val="left" w:pos="360" w:leader="none"/>
        </w:tabs>
        <w:jc w:val="both"/>
        <w:rPr/>
      </w:pPr>
      <w:r>
        <w:rPr/>
      </w:r>
    </w:p>
    <w:p>
      <w:pPr>
        <w:pStyle w:val="Normal"/>
        <w:tabs>
          <w:tab w:val="clear" w:pos="720"/>
          <w:tab w:val="left" w:pos="360" w:leader="none"/>
        </w:tabs>
        <w:jc w:val="both"/>
        <w:rPr/>
      </w:pPr>
      <w:r>
        <w:rPr/>
      </w:r>
    </w:p>
    <w:p>
      <w:pPr>
        <w:pStyle w:val="Normal"/>
        <w:tabs>
          <w:tab w:val="clear" w:pos="720"/>
          <w:tab w:val="left" w:pos="360" w:leader="none"/>
        </w:tabs>
        <w:jc w:val="both"/>
        <w:rPr/>
      </w:pPr>
      <w:r>
        <w:rPr/>
      </w:r>
    </w:p>
    <w:p>
      <w:pPr>
        <w:pStyle w:val="Normal"/>
        <w:tabs>
          <w:tab w:val="clear" w:pos="720"/>
          <w:tab w:val="left" w:pos="360" w:leader="none"/>
        </w:tabs>
        <w:jc w:val="both"/>
        <w:rPr/>
      </w:pPr>
      <w:r>
        <w:rPr/>
        <w:t xml:space="preserve">Lakeland would have the option to periodically request ECT to modify the Commodity Charge to reflect a price other than the Index Price, such as a fixed price, fixed basis price, floating basis price,  </w:t>
      </w:r>
      <w:r>
        <w:rPr>
          <w:b/>
          <w:i/>
        </w:rPr>
        <w:t>Gas Daily</w:t>
      </w:r>
      <w:r>
        <w:rPr/>
        <w:t xml:space="preserve"> price, or any other mutually agreed to pricing structure, as more fully described in ECT’s Master Firm Agreement.</w:t>
      </w:r>
    </w:p>
    <w:p>
      <w:pPr>
        <w:pStyle w:val="Normal"/>
        <w:tabs>
          <w:tab w:val="clear" w:pos="720"/>
          <w:tab w:val="left" w:pos="3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smallCaps/>
        </w:rPr>
      </w:pPr>
      <w:r>
        <w:rPr>
          <w:b/>
          <w:smallCaps/>
        </w:rPr>
      </w:r>
    </w:p>
    <w:p>
      <w:pPr>
        <w:pStyle w:val="Heading8"/>
        <w:rPr>
          <w:b w:val="false"/>
          <w:smallCaps/>
        </w:rPr>
      </w:pPr>
      <w:r>
        <w:rPr>
          <w:b w:val="false"/>
          <w:smallCaps/>
        </w:rPr>
      </w:r>
    </w:p>
    <w:p>
      <w:pPr>
        <w:pStyle w:val="Heading8"/>
        <w:rPr/>
      </w:pPr>
      <w:r>
        <w:rPr/>
        <w:t>“</w:t>
      </w:r>
      <w:r>
        <w:rPr/>
        <w:t>Day Ahead” Buy Back Price</w:t>
      </w:r>
    </w:p>
    <w:p>
      <w:pPr>
        <w:pStyle w:val="Normal"/>
        <w:tabs>
          <w:tab w:val="clear" w:pos="720"/>
          <w:tab w:val="left" w:pos="360" w:leader="none"/>
        </w:tabs>
        <w:jc w:val="both"/>
        <w:rPr/>
      </w:pPr>
      <w:r>
        <w:rPr/>
        <w:t xml:space="preserve">ECT would buy back such excess quantities of gas at a fixed price agreed upon between the parties, with a default index price of the </w:t>
      </w:r>
      <w:r>
        <w:rPr>
          <w:b/>
          <w:i/>
        </w:rPr>
        <w:t>Gas Daily</w:t>
      </w:r>
      <w:r>
        <w:rPr/>
        <w:t xml:space="preserve">, common, low postings for FGT-Zone 2. </w:t>
      </w:r>
    </w:p>
    <w:p>
      <w:pPr>
        <w:pStyle w:val="Heading2"/>
        <w:tabs>
          <w:tab w:val="clear" w:pos="720"/>
          <w:tab w:val="left" w:pos="3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0" w:start="0"/>
        <w:rPr>
          <w:sz w:val="24"/>
        </w:rPr>
      </w:pPr>
      <w:r>
        <w:rPr>
          <w:sz w:val="24"/>
        </w:rPr>
      </w:r>
    </w:p>
    <w:p>
      <w:pPr>
        <w:pStyle w:val="Heading5"/>
        <w:tabs>
          <w:tab w:val="clear" w:pos="360"/>
        </w:tabs>
        <w:ind w:hanging="0" w:start="0"/>
        <w:rPr>
          <w:i/>
          <w:i/>
          <w:sz w:val="24"/>
        </w:rPr>
      </w:pPr>
      <w:r>
        <w:rPr>
          <w:i/>
          <w:sz w:val="24"/>
        </w:rPr>
      </w:r>
    </w:p>
    <w:p>
      <w:pPr>
        <w:pStyle w:val="Heading5"/>
        <w:tabs>
          <w:tab w:val="clear" w:pos="360"/>
        </w:tabs>
        <w:ind w:hanging="0" w:start="0"/>
        <w:rPr>
          <w:i/>
          <w:i/>
        </w:rPr>
      </w:pPr>
      <w:r>
        <w:rPr>
          <w:i/>
        </w:rPr>
        <w:t>“</w:t>
      </w:r>
      <w:r>
        <w:rPr>
          <w:i/>
        </w:rPr>
        <w:t>Intraday” Buy Back Price</w:t>
      </w:r>
    </w:p>
    <w:p>
      <w:pPr>
        <w:pStyle w:val="Normal"/>
        <w:tabs>
          <w:tab w:val="clear" w:pos="720"/>
          <w:tab w:val="left" w:pos="360" w:leader="none"/>
        </w:tabs>
        <w:jc w:val="both"/>
        <w:rPr/>
      </w:pPr>
      <w:r>
        <w:rPr/>
        <w:t xml:space="preserve">ECT would buy back such excess quantities of gas at a fixed price agreed upon between the parties, with a default index price of the lesser of the </w:t>
      </w:r>
      <w:r>
        <w:rPr>
          <w:b/>
          <w:i/>
        </w:rPr>
        <w:t>Gas Daily</w:t>
      </w:r>
      <w:r>
        <w:rPr/>
        <w:t xml:space="preserve">, common, low postings for FGT-Zone 2, for (1) the day of gas flow or (2) the day after gas flow. </w:t>
      </w:r>
    </w:p>
    <w:p>
      <w:pPr>
        <w:pStyle w:val="Normal"/>
        <w:tabs>
          <w:tab w:val="clear" w:pos="720"/>
          <w:tab w:val="left" w:pos="360" w:leader="none"/>
        </w:tabs>
        <w:ind w:hanging="720" w:end="0"/>
        <w:jc w:val="both"/>
        <w:rPr/>
      </w:pPr>
      <w:r>
        <w:rPr/>
      </w:r>
    </w:p>
    <w:p>
      <w:pPr>
        <w:pStyle w:val="Normal"/>
        <w:rPr/>
      </w:pPr>
      <w:r>
        <w:rPr/>
      </w:r>
    </w:p>
    <w:p>
      <w:pPr>
        <w:pStyle w:val="Heading5"/>
        <w:tabs>
          <w:tab w:val="clear" w:pos="360"/>
        </w:tabs>
        <w:ind w:hanging="0" w:start="0"/>
        <w:rPr>
          <w:i/>
          <w:i/>
        </w:rPr>
      </w:pPr>
      <w:r>
        <w:rPr>
          <w:i/>
        </w:rPr>
        <w:t>Supplemental Gas Supply Price</w:t>
      </w:r>
    </w:p>
    <w:p>
      <w:pPr>
        <w:pStyle w:val="BodyTextIndent"/>
        <w:ind w:hanging="0" w:end="0"/>
        <w:rPr>
          <w:sz w:val="24"/>
        </w:rPr>
      </w:pPr>
      <w:r>
        <w:rPr>
          <w:sz w:val="24"/>
        </w:rPr>
        <w:t>Lakeland would pay ECT a price for each Supplemental Gas Supply package as periodically agreed to between Lakeland and ECT.</w:t>
      </w:r>
    </w:p>
    <w:p>
      <w:pPr>
        <w:pStyle w:val="BodyTextIndent"/>
        <w:ind w:hanging="0" w:end="0"/>
        <w:rPr>
          <w:sz w:val="24"/>
        </w:rPr>
      </w:pPr>
      <w:r>
        <w:rPr>
          <w:sz w:val="24"/>
        </w:rPr>
      </w:r>
    </w:p>
    <w:p>
      <w:pPr>
        <w:pStyle w:val="BodyTextIndent"/>
        <w:ind w:hanging="0" w:end="0"/>
        <w:rPr>
          <w:sz w:val="24"/>
        </w:rPr>
      </w:pPr>
      <w:r>
        <w:rPr>
          <w:sz w:val="24"/>
        </w:rPr>
      </w:r>
    </w:p>
    <w:p>
      <w:pPr>
        <w:pStyle w:val="Heading5"/>
        <w:tabs>
          <w:tab w:val="clear" w:pos="360"/>
        </w:tabs>
        <w:ind w:hanging="0" w:start="0"/>
        <w:rPr>
          <w:i/>
          <w:i/>
        </w:rPr>
      </w:pPr>
      <w:r>
        <w:rPr>
          <w:i/>
        </w:rPr>
        <w:t>Nominating and Scheduling Service Price</w:t>
      </w:r>
    </w:p>
    <w:p>
      <w:pPr>
        <w:pStyle w:val="BodyTextIndent"/>
        <w:ind w:hanging="0" w:end="0"/>
        <w:rPr>
          <w:sz w:val="24"/>
        </w:rPr>
      </w:pPr>
      <w:r>
        <w:rPr>
          <w:sz w:val="24"/>
        </w:rPr>
        <w:t xml:space="preserve">No additional cost for this service. </w:t>
      </w:r>
    </w:p>
    <w:p>
      <w:pPr>
        <w:pStyle w:val="Normal"/>
        <w:tabs>
          <w:tab w:val="clear" w:pos="720"/>
          <w:tab w:val="left" w:pos="360" w:leader="none"/>
        </w:tabs>
        <w:jc w:val="both"/>
        <w:rPr>
          <w:sz w:val="24"/>
        </w:rPr>
      </w:pPr>
      <w:r>
        <w:rPr>
          <w:sz w:val="24"/>
        </w:rPr>
      </w:r>
    </w:p>
    <w:p>
      <w:pPr>
        <w:pStyle w:val="Heading2"/>
        <w:tabs>
          <w:tab w:val="clear" w:pos="720"/>
          <w:tab w:val="left" w:pos="360" w:leader="none"/>
        </w:tabs>
        <w:ind w:hanging="0" w:start="0"/>
        <w:rPr>
          <w:sz w:val="24"/>
        </w:rPr>
      </w:pPr>
      <w:r>
        <w:rPr>
          <w:sz w:val="24"/>
        </w:rPr>
      </w:r>
    </w:p>
    <w:p>
      <w:pPr>
        <w:pStyle w:val="Heading2"/>
        <w:tabs>
          <w:tab w:val="clear" w:pos="720"/>
          <w:tab w:val="left" w:pos="360" w:leader="none"/>
        </w:tabs>
        <w:ind w:hanging="0" w:start="0"/>
        <w:rPr>
          <w:sz w:val="24"/>
        </w:rPr>
      </w:pPr>
      <w:r>
        <w:rPr>
          <w:sz w:val="24"/>
        </w:rPr>
        <w:t>Take and Delivery Obligations</w:t>
      </w:r>
    </w:p>
    <w:p>
      <w:pPr>
        <w:pStyle w:val="Normal"/>
        <w:keepNext w:val="true"/>
        <w:keepLines/>
        <w:tabs>
          <w:tab w:val="clear" w:pos="720"/>
          <w:tab w:val="left" w:pos="360" w:leader="none"/>
        </w:tabs>
        <w:ind w:hanging="1440" w:start="1440" w:end="0"/>
        <w:jc w:val="center"/>
        <w:rPr>
          <w:b/>
          <w:sz w:val="24"/>
        </w:rPr>
      </w:pPr>
      <w:r>
        <w:rPr>
          <w:b/>
          <w:sz w:val="24"/>
        </w:rPr>
      </w:r>
    </w:p>
    <w:p>
      <w:pPr>
        <w:pStyle w:val="BodyText2"/>
        <w:keepNext w:val="true"/>
        <w:keepLines/>
        <w:rPr>
          <w:sz w:val="24"/>
        </w:rPr>
      </w:pPr>
      <w:r>
        <w:rPr>
          <w:sz w:val="24"/>
        </w:rPr>
        <w:t>Lakeland would purchase and take 100% of the gas that it requests each day. ECT would schedule 100% of the gas requested by Lakeland each day.</w:t>
      </w:r>
    </w:p>
    <w:p>
      <w:pPr>
        <w:pStyle w:val="Normal"/>
        <w:tabs>
          <w:tab w:val="left" w:pos="720" w:leader="none"/>
        </w:tabs>
        <w:ind w:hanging="720" w:start="720" w:end="0"/>
        <w:jc w:val="both"/>
        <w:rPr>
          <w:sz w:val="24"/>
        </w:rPr>
      </w:pPr>
      <w:r>
        <w:rPr>
          <w:sz w:val="24"/>
        </w:rPr>
      </w:r>
    </w:p>
    <w:p>
      <w:pPr>
        <w:pStyle w:val="Normal"/>
        <w:ind w:hanging="1440" w:end="0"/>
        <w:jc w:val="both"/>
        <w:rPr/>
      </w:pPr>
      <w:r>
        <w:rPr/>
      </w:r>
    </w:p>
    <w:p>
      <w:pPr>
        <w:pStyle w:val="Normal"/>
        <w:jc w:val="center"/>
        <w:rPr>
          <w:b/>
          <w:smallCaps/>
        </w:rPr>
      </w:pPr>
      <w:r>
        <w:rPr>
          <w:b/>
          <w:smallCaps/>
        </w:rPr>
        <w:t>Delivery Point(s)</w:t>
      </w:r>
    </w:p>
    <w:p>
      <w:pPr>
        <w:pStyle w:val="Normal"/>
        <w:jc w:val="both"/>
        <w:rPr>
          <w:b/>
          <w:smallCaps/>
        </w:rPr>
      </w:pPr>
      <w:r>
        <w:rPr>
          <w:b/>
          <w:smallCaps/>
        </w:rPr>
      </w:r>
    </w:p>
    <w:p>
      <w:pPr>
        <w:pStyle w:val="Heading5"/>
        <w:ind w:hanging="0" w:start="0"/>
        <w:rPr>
          <w:b w:val="false"/>
        </w:rPr>
      </w:pPr>
      <w:r>
        <w:rPr>
          <w:b w:val="false"/>
        </w:rPr>
        <w:t xml:space="preserve">The primary delivery point would be the interconnection between Florida Gas Transmission (“FGT”) and the McIntosh Plant.  The secondary delivery point(s) would be any other Delivery Point(s) on the entire FGT system, subject to limitations by FGT for secondary deliveries. </w:t>
      </w:r>
    </w:p>
    <w:p>
      <w:pPr>
        <w:pStyle w:val="Heading6"/>
        <w:ind w:hanging="0" w:start="0"/>
        <w:rPr>
          <w:b w:val="false"/>
        </w:rPr>
      </w:pPr>
      <w:r>
        <w:rPr>
          <w:b w:val="false"/>
        </w:rPr>
      </w:r>
    </w:p>
    <w:p>
      <w:pPr>
        <w:pStyle w:val="Heading6"/>
        <w:ind w:hanging="0" w:start="0"/>
        <w:rPr/>
      </w:pPr>
      <w:r>
        <w:rPr/>
        <w:t>Transportation Contract Designee Status</w:t>
      </w:r>
    </w:p>
    <w:p>
      <w:pPr>
        <w:pStyle w:val="Normal"/>
        <w:tabs>
          <w:tab w:val="clear" w:pos="720"/>
          <w:tab w:val="left" w:pos="3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smallCaps/>
        </w:rPr>
      </w:pPr>
      <w:r>
        <w:rPr>
          <w:b/>
          <w:smallCaps/>
        </w:rPr>
      </w:r>
    </w:p>
    <w:p>
      <w:pPr>
        <w:pStyle w:val="Normal"/>
        <w:tabs>
          <w:tab w:val="clear" w:pos="720"/>
          <w:tab w:val="left" w:pos="0" w:leader="none"/>
        </w:tabs>
        <w:jc w:val="both"/>
        <w:rPr/>
      </w:pPr>
      <w:r>
        <w:rPr/>
        <w:t>For the nominating and scheduling service, this proposal contemplates that Lakeland would authorize FGT to arrange Designee status for ECT to be able to operate Lakeland’s transportation agreements on FGT.</w:t>
      </w:r>
    </w:p>
    <w:p>
      <w:pPr>
        <w:pStyle w:val="Normal"/>
        <w:tabs>
          <w:tab w:val="clear" w:pos="720"/>
          <w:tab w:val="left" w:pos="3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smallCaps/>
        </w:rPr>
      </w:pPr>
      <w:r>
        <w:rPr>
          <w:b/>
          <w:smallCaps/>
        </w:rPr>
      </w:r>
    </w:p>
    <w:p>
      <w:pPr>
        <w:pStyle w:val="Normal"/>
        <w:tabs>
          <w:tab w:val="clear" w:pos="720"/>
          <w:tab w:val="left" w:pos="2610" w:leader="none"/>
        </w:tabs>
        <w:jc w:val="center"/>
        <w:rPr>
          <w:b/>
          <w:smallCaps/>
        </w:rPr>
      </w:pPr>
      <w:r>
        <w:rPr>
          <w:b/>
          <w:smallCaps/>
        </w:rPr>
        <w:t xml:space="preserve">Nominations and Scheduling </w:t>
      </w:r>
    </w:p>
    <w:p>
      <w:pPr>
        <w:pStyle w:val="Normal"/>
        <w:ind w:hanging="1440" w:end="0"/>
        <w:jc w:val="both"/>
        <w:rPr>
          <w:b/>
          <w:smallCaps/>
        </w:rPr>
      </w:pPr>
      <w:r>
        <w:rPr>
          <w:b/>
          <w:smallCaps/>
        </w:rPr>
      </w:r>
    </w:p>
    <w:p>
      <w:pPr>
        <w:pStyle w:val="Normal"/>
        <w:tabs>
          <w:tab w:val="clear" w:pos="720"/>
          <w:tab w:val="left" w:pos="0" w:leader="none"/>
        </w:tabs>
        <w:jc w:val="both"/>
        <w:rPr/>
      </w:pPr>
      <w:r>
        <w:rPr/>
        <w:t>Lakeland would be responsible for directly requesting its daily gas supply requirements from ECT at or before 9 a.m. Eastern Time on the day preceding the gas delivery day.  ECT would be responsible for all nominating and scheduling of gas supply and arranging transport on FGT as part of this agreement. Lakeland and ECT would adhere to GISB standards on nominating, scheduling, etc. ECT would exercise commercially reasonable efforts to accommodate Lakeland regarding intraday scheduling of gas, and related activities.</w:t>
      </w:r>
    </w:p>
    <w:p>
      <w:pPr>
        <w:pStyle w:val="Normal"/>
        <w:tabs>
          <w:tab w:val="clear" w:pos="720"/>
          <w:tab w:val="left" w:pos="0" w:leader="none"/>
        </w:tabs>
        <w:jc w:val="both"/>
        <w:rPr/>
      </w:pPr>
      <w:r>
        <w:rPr/>
      </w:r>
    </w:p>
    <w:p>
      <w:pPr>
        <w:pStyle w:val="Normal"/>
        <w:tabs>
          <w:tab w:val="clear" w:pos="720"/>
          <w:tab w:val="left" w:pos="3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smallCaps/>
        </w:rPr>
      </w:pPr>
      <w:r>
        <w:rPr>
          <w:b/>
          <w:smallCaps/>
        </w:rPr>
      </w:r>
    </w:p>
    <w:p>
      <w:pPr>
        <w:pStyle w:val="Heading6"/>
        <w:ind w:hanging="0" w:start="0"/>
        <w:rPr/>
      </w:pPr>
      <w:r>
        <w:rPr/>
        <w:t>Transportation Contract Assignment/Release</w:t>
      </w:r>
    </w:p>
    <w:p>
      <w:pPr>
        <w:pStyle w:val="Normal"/>
        <w:tabs>
          <w:tab w:val="clear" w:pos="720"/>
          <w:tab w:val="left" w:pos="360" w:leader="none"/>
        </w:tabs>
        <w:ind w:hanging="1440" w:start="1440" w:end="0"/>
        <w:jc w:val="center"/>
        <w:rPr>
          <w:b/>
        </w:rPr>
      </w:pPr>
      <w:r>
        <w:rPr>
          <w:b/>
        </w:rPr>
      </w:r>
    </w:p>
    <w:p>
      <w:pPr>
        <w:pStyle w:val="Normal"/>
        <w:tabs>
          <w:tab w:val="clear" w:pos="720"/>
          <w:tab w:val="left" w:pos="0" w:leader="none"/>
        </w:tabs>
        <w:jc w:val="both"/>
        <w:rPr/>
      </w:pPr>
      <w:r>
        <w:rPr/>
        <w:t>For the  Firm Gas Supply service, this proposal contemplates that Lakeland would release its existing FTS-1 and FTS-2 firm capacity on FGT to ECT, in the amounts indicated in Table 3, including the right to extend the term of the FTS-1 and FTS-2 agreements during the term of this agreement hereunder.  ECT would be responsible for paying all the demand and variable charges to FGT associated with the assigned transportation capacity.  Upon termination of the agreement, ECT would release such capacity back to Lakeland.  The receipt points on these Firm Transportation agreements are outlined on Exhibit “A” attached.</w:t>
      </w:r>
    </w:p>
    <w:p>
      <w:pPr>
        <w:pStyle w:val="Normal"/>
        <w:tabs>
          <w:tab w:val="clear" w:pos="720"/>
          <w:tab w:val="left" w:pos="0" w:leader="none"/>
        </w:tabs>
        <w:jc w:val="both"/>
        <w:rPr/>
      </w:pPr>
      <w:r>
        <w:rPr/>
      </w:r>
    </w:p>
    <w:p>
      <w:pPr>
        <w:pStyle w:val="Heading1"/>
        <w:ind w:hanging="0" w:start="0"/>
        <w:rPr/>
      </w:pPr>
      <w:r>
        <w:rPr/>
        <w:t>Table 3:  Firm Transportation Capacity Assignments</w:t>
      </w:r>
    </w:p>
    <w:tbl>
      <w:tblPr>
        <w:tblW w:w="5670" w:type="dxa"/>
        <w:jc w:val="start"/>
        <w:tblInd w:w="1818" w:type="dxa"/>
        <w:tblLayout w:type="fixed"/>
        <w:tblCellMar>
          <w:top w:w="0" w:type="dxa"/>
          <w:start w:w="108" w:type="dxa"/>
          <w:bottom w:w="0" w:type="dxa"/>
          <w:end w:w="108" w:type="dxa"/>
        </w:tblCellMar>
      </w:tblPr>
      <w:tblGrid>
        <w:gridCol w:w="1458"/>
        <w:gridCol w:w="2052"/>
        <w:gridCol w:w="2160"/>
      </w:tblGrid>
      <w:tr>
        <w:trPr/>
        <w:tc>
          <w:tcPr>
            <w:tcW w:w="1458" w:type="dxa"/>
            <w:tcBorders>
              <w:top w:val="single" w:sz="4" w:space="0" w:color="000000"/>
              <w:start w:val="single" w:sz="4" w:space="0" w:color="000000"/>
              <w:bottom w:val="single" w:sz="4" w:space="0" w:color="000000"/>
              <w:end w:val="single" w:sz="4" w:space="0" w:color="000000"/>
            </w:tcBorders>
            <w:vAlign w:val="bottom"/>
          </w:tcPr>
          <w:p>
            <w:pPr>
              <w:pStyle w:val="Normal"/>
              <w:tabs>
                <w:tab w:val="clear" w:pos="720"/>
                <w:tab w:val="left" w:pos="0" w:leader="none"/>
              </w:tabs>
              <w:jc w:val="center"/>
              <w:rPr>
                <w:b/>
                <w:i/>
                <w:i/>
              </w:rPr>
            </w:pPr>
            <w:r>
              <w:rPr>
                <w:b/>
                <w:i/>
              </w:rPr>
              <w:t>Month</w:t>
            </w:r>
          </w:p>
        </w:tc>
        <w:tc>
          <w:tcPr>
            <w:tcW w:w="20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b/>
                <w:i/>
                <w:i/>
              </w:rPr>
            </w:pPr>
            <w:r>
              <w:rPr>
                <w:b/>
                <w:i/>
              </w:rPr>
              <w:t xml:space="preserve">FTS-1 </w:t>
            </w:r>
          </w:p>
          <w:p>
            <w:pPr>
              <w:pStyle w:val="Normal"/>
              <w:tabs>
                <w:tab w:val="clear" w:pos="720"/>
                <w:tab w:val="left" w:pos="0" w:leader="none"/>
              </w:tabs>
              <w:jc w:val="center"/>
              <w:rPr>
                <w:b/>
                <w:i/>
                <w:i/>
              </w:rPr>
            </w:pPr>
            <w:r>
              <w:rPr>
                <w:b/>
                <w:i/>
              </w:rPr>
              <w:t>(MMBtu/d)</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b/>
                <w:i/>
                <w:i/>
              </w:rPr>
            </w:pPr>
            <w:r>
              <w:rPr>
                <w:b/>
                <w:i/>
              </w:rPr>
              <w:t xml:space="preserve">FTS-2 </w:t>
            </w:r>
          </w:p>
          <w:p>
            <w:pPr>
              <w:pStyle w:val="Normal"/>
              <w:tabs>
                <w:tab w:val="clear" w:pos="720"/>
                <w:tab w:val="left" w:pos="0" w:leader="none"/>
              </w:tabs>
              <w:jc w:val="center"/>
              <w:rPr>
                <w:b/>
                <w:i/>
                <w:i/>
              </w:rPr>
            </w:pPr>
            <w:r>
              <w:rPr>
                <w:b/>
                <w:i/>
              </w:rPr>
              <w:t>(MMBtu/d)</w:t>
            </w:r>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r>
              <w:rPr/>
              <w:t>January</w:t>
            </w:r>
          </w:p>
        </w:tc>
        <w:tc>
          <w:tcPr>
            <w:tcW w:w="20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11,485</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13,444</w:t>
            </w:r>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r>
              <w:rPr/>
              <w:t>February</w:t>
            </w:r>
          </w:p>
        </w:tc>
        <w:tc>
          <w:tcPr>
            <w:tcW w:w="20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11,485</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13,444</w:t>
            </w:r>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r>
              <w:rPr/>
              <w:t>March</w:t>
            </w:r>
          </w:p>
        </w:tc>
        <w:tc>
          <w:tcPr>
            <w:tcW w:w="20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3,261</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20,944</w:t>
            </w:r>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r>
              <w:rPr/>
              <w:t>April</w:t>
            </w:r>
          </w:p>
        </w:tc>
        <w:tc>
          <w:tcPr>
            <w:tcW w:w="20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7,672</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22,636</w:t>
            </w:r>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r>
              <w:rPr/>
              <w:t>May</w:t>
            </w:r>
          </w:p>
        </w:tc>
        <w:tc>
          <w:tcPr>
            <w:tcW w:w="20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8,306</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20,223</w:t>
            </w:r>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r>
              <w:rPr/>
              <w:t>June</w:t>
            </w:r>
          </w:p>
        </w:tc>
        <w:tc>
          <w:tcPr>
            <w:tcW w:w="20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8,306</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20,223</w:t>
            </w:r>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r>
              <w:rPr/>
              <w:t>July</w:t>
            </w:r>
          </w:p>
        </w:tc>
        <w:tc>
          <w:tcPr>
            <w:tcW w:w="20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8,306</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20,223</w:t>
            </w:r>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r>
              <w:rPr/>
              <w:t>August</w:t>
            </w:r>
          </w:p>
        </w:tc>
        <w:tc>
          <w:tcPr>
            <w:tcW w:w="20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8,306</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20,223</w:t>
            </w:r>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r>
              <w:rPr/>
              <w:t>September</w:t>
            </w:r>
          </w:p>
        </w:tc>
        <w:tc>
          <w:tcPr>
            <w:tcW w:w="20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8,306</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20,223</w:t>
            </w:r>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r>
              <w:rPr/>
              <w:t>October</w:t>
            </w:r>
          </w:p>
        </w:tc>
        <w:tc>
          <w:tcPr>
            <w:tcW w:w="20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9,952</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20,948</w:t>
            </w:r>
          </w:p>
        </w:tc>
      </w:tr>
      <w:tr>
        <w:trPr/>
        <w:tc>
          <w:tcPr>
            <w:tcW w:w="1458" w:type="dxa"/>
            <w:tcBorders>
              <w:top w:val="single" w:sz="4" w:space="0" w:color="000000"/>
              <w:start w:val="single" w:sz="4" w:space="0" w:color="000000"/>
              <w:end w:val="single" w:sz="4" w:space="0" w:color="000000"/>
            </w:tcBorders>
          </w:tcPr>
          <w:p>
            <w:pPr>
              <w:pStyle w:val="Normal"/>
              <w:tabs>
                <w:tab w:val="clear" w:pos="720"/>
                <w:tab w:val="left" w:pos="0" w:leader="none"/>
              </w:tabs>
              <w:jc w:val="both"/>
              <w:rPr/>
            </w:pPr>
            <w:r>
              <w:rPr/>
              <w:t>November</w:t>
            </w:r>
          </w:p>
        </w:tc>
        <w:tc>
          <w:tcPr>
            <w:tcW w:w="2052" w:type="dxa"/>
            <w:tcBorders>
              <w:top w:val="single" w:sz="4" w:space="0" w:color="000000"/>
              <w:start w:val="single" w:sz="4" w:space="0" w:color="000000"/>
              <w:end w:val="single" w:sz="4" w:space="0" w:color="000000"/>
            </w:tcBorders>
          </w:tcPr>
          <w:p>
            <w:pPr>
              <w:pStyle w:val="Normal"/>
              <w:tabs>
                <w:tab w:val="clear" w:pos="720"/>
                <w:tab w:val="left" w:pos="0" w:leader="none"/>
              </w:tabs>
              <w:jc w:val="center"/>
              <w:rPr/>
            </w:pPr>
            <w:r>
              <w:rPr/>
              <w:t>17,724</w:t>
            </w:r>
          </w:p>
        </w:tc>
        <w:tc>
          <w:tcPr>
            <w:tcW w:w="2160" w:type="dxa"/>
            <w:tcBorders>
              <w:top w:val="single" w:sz="4" w:space="0" w:color="000000"/>
              <w:start w:val="single" w:sz="4" w:space="0" w:color="000000"/>
              <w:end w:val="single" w:sz="4" w:space="0" w:color="000000"/>
            </w:tcBorders>
          </w:tcPr>
          <w:p>
            <w:pPr>
              <w:pStyle w:val="Normal"/>
              <w:tabs>
                <w:tab w:val="clear" w:pos="720"/>
                <w:tab w:val="left" w:pos="0" w:leader="none"/>
              </w:tabs>
              <w:jc w:val="center"/>
              <w:rPr/>
            </w:pPr>
            <w:r>
              <w:rPr/>
              <w:t>13,444</w:t>
            </w:r>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r>
              <w:rPr/>
              <w:t>December</w:t>
            </w:r>
          </w:p>
        </w:tc>
        <w:tc>
          <w:tcPr>
            <w:tcW w:w="20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11,485</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13,444</w:t>
            </w:r>
          </w:p>
        </w:tc>
      </w:tr>
      <w:tr>
        <w:trPr/>
        <w:tc>
          <w:tcPr>
            <w:tcW w:w="1458" w:type="dxa"/>
            <w:tcBorders/>
          </w:tcPr>
          <w:p>
            <w:pPr>
              <w:pStyle w:val="Normal"/>
              <w:tabs>
                <w:tab w:val="clear" w:pos="720"/>
                <w:tab w:val="left" w:pos="0" w:leader="none"/>
              </w:tabs>
              <w:snapToGrid w:val="false"/>
              <w:jc w:val="both"/>
              <w:rPr/>
            </w:pPr>
            <w:r>
              <w:rPr/>
            </w:r>
          </w:p>
        </w:tc>
        <w:tc>
          <w:tcPr>
            <w:tcW w:w="2052" w:type="dxa"/>
            <w:tcBorders/>
          </w:tcPr>
          <w:p>
            <w:pPr>
              <w:pStyle w:val="Normal"/>
              <w:tabs>
                <w:tab w:val="clear" w:pos="720"/>
                <w:tab w:val="left" w:pos="0" w:leader="none"/>
              </w:tabs>
              <w:snapToGrid w:val="false"/>
              <w:jc w:val="center"/>
              <w:rPr/>
            </w:pPr>
            <w:r>
              <w:rPr/>
            </w:r>
          </w:p>
        </w:tc>
        <w:tc>
          <w:tcPr>
            <w:tcW w:w="2160" w:type="dxa"/>
            <w:tcBorders/>
          </w:tcPr>
          <w:p>
            <w:pPr>
              <w:pStyle w:val="Normal"/>
              <w:tabs>
                <w:tab w:val="clear" w:pos="720"/>
                <w:tab w:val="left" w:pos="0" w:leader="none"/>
              </w:tabs>
              <w:snapToGrid w:val="false"/>
              <w:jc w:val="center"/>
              <w:rPr/>
            </w:pPr>
            <w:r>
              <w:rPr/>
            </w:r>
          </w:p>
        </w:tc>
      </w:tr>
    </w:tbl>
    <w:p>
      <w:pPr>
        <w:pStyle w:val="Heading2"/>
        <w:tabs>
          <w:tab w:val="clear" w:pos="720"/>
          <w:tab w:val="left" w:pos="3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0" w:start="0"/>
        <w:rPr>
          <w:sz w:val="24"/>
        </w:rPr>
      </w:pPr>
      <w:r>
        <w:rPr>
          <w:sz w:val="24"/>
        </w:rPr>
        <w:t>Billing and Payment</w:t>
      </w:r>
    </w:p>
    <w:p>
      <w:pPr>
        <w:pStyle w:val="Normal"/>
        <w:keepNext w:val="true"/>
        <w:keepLines/>
        <w:tabs>
          <w:tab w:val="clear" w:pos="720"/>
          <w:tab w:val="left" w:pos="3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100" w:leader="none"/>
          <w:tab w:val="left" w:pos="8640" w:leader="none"/>
        </w:tabs>
        <w:jc w:val="both"/>
        <w:rPr>
          <w:sz w:val="24"/>
        </w:rPr>
      </w:pPr>
      <w:r>
        <w:rPr>
          <w:sz w:val="24"/>
        </w:rPr>
      </w:r>
    </w:p>
    <w:p>
      <w:pPr>
        <w:pStyle w:val="Normal"/>
        <w:keepNext w:val="true"/>
        <w:keepLines/>
        <w:tabs>
          <w:tab w:val="clear" w:pos="720"/>
          <w:tab w:val="left" w:pos="3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ECT would provide its demand charge invoice by the first (1</w:t>
      </w:r>
      <w:r>
        <w:rPr>
          <w:vertAlign w:val="superscript"/>
        </w:rPr>
        <w:t>st</w:t>
      </w:r>
      <w:r>
        <w:rPr/>
        <w:t>) day of each month for the upcoming month’s Demand Charge.  Lakeland would pay ECT the Monthly Demand Charge on or before the tenth (10</w:t>
      </w:r>
      <w:r>
        <w:rPr>
          <w:vertAlign w:val="superscript"/>
        </w:rPr>
        <w:t>th</w:t>
      </w:r>
      <w:r>
        <w:rPr/>
        <w:t>) day of such month.  ECT would provide its commodity charge invoice by the tenth (10</w:t>
      </w:r>
      <w:r>
        <w:rPr>
          <w:vertAlign w:val="superscript"/>
        </w:rPr>
        <w:t>th</w:t>
      </w:r>
      <w:r>
        <w:rPr/>
        <w:t>) day of each month for all Commodity Charges due from the previous month.  Lakeland would pay ECT the Commodity Charge on or before the twentieth (20</w:t>
      </w:r>
      <w:r>
        <w:rPr>
          <w:vertAlign w:val="superscript"/>
        </w:rPr>
        <w:t>th</w:t>
      </w:r>
      <w:r>
        <w:rPr/>
        <w:t xml:space="preserve">) day of such month.  Any liquidated damages and buyback arrangements would be settled on a monthly basis.   Interest on unpaid amounts would accrue from the date such payments were due at a rate equal to LIBOR plus 2%.  </w:t>
      </w:r>
    </w:p>
    <w:p>
      <w:pPr>
        <w:pStyle w:val="Normal"/>
        <w:tabs>
          <w:tab w:val="clear" w:pos="720"/>
          <w:tab w:val="left" w:pos="360" w:leader="none"/>
        </w:tabs>
        <w:rPr>
          <w:b/>
          <w:smallCaps/>
        </w:rPr>
      </w:pPr>
      <w:r>
        <w:rPr>
          <w:b/>
          <w:smallCaps/>
        </w:rPr>
      </w:r>
    </w:p>
    <w:p>
      <w:pPr>
        <w:pStyle w:val="Normal"/>
        <w:tabs>
          <w:tab w:val="clear" w:pos="720"/>
          <w:tab w:val="left" w:pos="360" w:leader="none"/>
        </w:tabs>
        <w:rPr>
          <w:b/>
          <w:smallCaps/>
        </w:rPr>
      </w:pPr>
      <w:r>
        <w:rPr>
          <w:b/>
          <w:smallCaps/>
        </w:rPr>
      </w:r>
    </w:p>
    <w:p>
      <w:pPr>
        <w:pStyle w:val="Heading2"/>
        <w:tabs>
          <w:tab w:val="clear" w:pos="720"/>
          <w:tab w:val="left" w:pos="360" w:leader="none"/>
        </w:tabs>
        <w:ind w:hanging="0" w:start="0"/>
        <w:rPr>
          <w:sz w:val="24"/>
        </w:rPr>
      </w:pPr>
      <w:r>
        <w:rPr>
          <w:sz w:val="24"/>
        </w:rPr>
        <w:t>Liquidated Damages</w:t>
      </w:r>
    </w:p>
    <w:p>
      <w:pPr>
        <w:pStyle w:val="Normal"/>
        <w:keepNext w:val="true"/>
        <w:keepLines/>
        <w:tabs>
          <w:tab w:val="clear" w:pos="720"/>
          <w:tab w:val="left" w:pos="0" w:leader="none"/>
        </w:tabs>
        <w:jc w:val="both"/>
        <w:rPr>
          <w:sz w:val="24"/>
        </w:rPr>
      </w:pPr>
      <w:r>
        <w:rPr>
          <w:sz w:val="24"/>
        </w:rPr>
      </w:r>
    </w:p>
    <w:p>
      <w:pPr>
        <w:pStyle w:val="Normal"/>
        <w:keepNext w:val="true"/>
        <w:keepLines/>
        <w:tabs>
          <w:tab w:val="clear" w:pos="720"/>
          <w:tab w:val="left" w:pos="0" w:leader="none"/>
        </w:tabs>
        <w:jc w:val="both"/>
        <w:rPr/>
      </w:pPr>
      <w:r>
        <w:rPr/>
        <w:t xml:space="preserve">In the event of ECT’s unexcused failure to schedule gas requested by Lakeland on any given day, ECT would pay liquidated damages equal to the sum of (i) the difference, if positive, between the </w:t>
      </w:r>
      <w:r>
        <w:rPr>
          <w:b/>
          <w:i/>
        </w:rPr>
        <w:t>Gas Daily,</w:t>
      </w:r>
      <w:r>
        <w:rPr/>
        <w:t xml:space="preserve"> Midpoint, posting for deliveries in FGT-Zone 2 and the delivered contract price inclusive of Lakeland’s unitized demand charge, and (ii) applicable penalties and/or balancing requirements on FGT.</w:t>
      </w:r>
    </w:p>
    <w:p>
      <w:pPr>
        <w:pStyle w:val="Normal"/>
        <w:tabs>
          <w:tab w:val="clear" w:pos="720"/>
          <w:tab w:val="left" w:pos="3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rPr>
      </w:pPr>
      <w:r>
        <w:rPr>
          <w:b/>
        </w:rPr>
      </w:r>
    </w:p>
    <w:p>
      <w:pPr>
        <w:pStyle w:val="Normal"/>
        <w:tabs>
          <w:tab w:val="clear" w:pos="720"/>
          <w:tab w:val="left" w:pos="360" w:leader="none"/>
        </w:tabs>
        <w:jc w:val="both"/>
        <w:rPr/>
      </w:pPr>
      <w:r>
        <w:rPr/>
        <w:t>In the event that Lakeland fails to take its obligation on any given day, Lakeland would pay liquidated damages calculated daily as the sum of (i) the difference, if positive, between the</w:t>
      </w:r>
      <w:r>
        <w:rPr>
          <w:b/>
          <w:i/>
        </w:rPr>
        <w:t xml:space="preserve"> Gas Daily,</w:t>
      </w:r>
      <w:r>
        <w:rPr/>
        <w:t xml:space="preserve"> Midpoint, posting for deliveries in FGT-Zone 2 and the delivered contract price inclusive of Lakeland’s unitized demand charge, minus $0.02 per MMBtu, plus (2) applicable penalties and/or balancing requirements on FGT and applicable upstream pipelines.</w:t>
      </w:r>
    </w:p>
    <w:p>
      <w:pPr>
        <w:pStyle w:val="Normal"/>
        <w:jc w:val="center"/>
        <w:rPr>
          <w:b/>
          <w:smallCaps/>
        </w:rPr>
      </w:pPr>
      <w:r>
        <w:rPr>
          <w:b/>
          <w:smallCaps/>
        </w:rPr>
      </w:r>
    </w:p>
    <w:p>
      <w:pPr>
        <w:pStyle w:val="Normal"/>
        <w:keepNext w:val="true"/>
        <w:keepLines/>
        <w:tabs>
          <w:tab w:val="clear" w:pos="720"/>
          <w:tab w:val="left" w:pos="0" w:leader="none"/>
        </w:tabs>
        <w:jc w:val="both"/>
        <w:rPr/>
      </w:pPr>
      <w:r>
        <w:rPr/>
        <w:t xml:space="preserve">Reasonable efforts would be exercised by ECT and Lakeland for mitigation of replacement costs and associated factors. Both parties would be obligated to inform the other party of its intent to replace gas markets or supplies, respectively, prior to taking such actions.  </w:t>
      </w:r>
    </w:p>
    <w:p>
      <w:pPr>
        <w:pStyle w:val="Normal"/>
        <w:keepNext w:val="true"/>
        <w:keepLines/>
        <w:tabs>
          <w:tab w:val="clear" w:pos="720"/>
          <w:tab w:val="left" w:pos="0" w:leader="none"/>
        </w:tabs>
        <w:jc w:val="both"/>
        <w:rPr/>
      </w:pPr>
      <w:r>
        <w:rPr/>
      </w:r>
    </w:p>
    <w:p>
      <w:pPr>
        <w:pStyle w:val="Normal"/>
        <w:keepNext w:val="true"/>
        <w:keepLines/>
        <w:tabs>
          <w:tab w:val="clear" w:pos="720"/>
          <w:tab w:val="left" w:pos="0" w:leader="none"/>
        </w:tabs>
        <w:jc w:val="both"/>
        <w:rPr/>
      </w:pPr>
      <w:r>
        <w:rPr/>
        <w:t>As part of its nominating and scheduling service, it is understood that ECT is not responsible for replacing non-performing third party gas supplies that Lakeland has procured and ECT has properly scheduled.</w:t>
      </w:r>
    </w:p>
    <w:p>
      <w:pPr>
        <w:pStyle w:val="Normal"/>
        <w:jc w:val="center"/>
        <w:rPr>
          <w:b/>
          <w:smallCaps/>
        </w:rPr>
      </w:pPr>
      <w:r>
        <w:rPr>
          <w:b/>
          <w:smallCaps/>
        </w:rPr>
      </w:r>
    </w:p>
    <w:p>
      <w:pPr>
        <w:pStyle w:val="Normal"/>
        <w:jc w:val="center"/>
        <w:rPr>
          <w:b/>
          <w:smallCaps/>
        </w:rPr>
      </w:pPr>
      <w:r>
        <w:rPr>
          <w:b/>
          <w:smallCaps/>
        </w:rPr>
        <w:t>Confidentiality</w:t>
      </w:r>
    </w:p>
    <w:p>
      <w:pPr>
        <w:pStyle w:val="Normal"/>
        <w:jc w:val="both"/>
        <w:rPr>
          <w:b/>
          <w:smallCaps/>
        </w:rPr>
      </w:pPr>
      <w:r>
        <w:rPr>
          <w:b/>
          <w:smallCaps/>
        </w:rPr>
      </w:r>
    </w:p>
    <w:p>
      <w:pPr>
        <w:pStyle w:val="Normal"/>
        <w:jc w:val="both"/>
        <w:rPr/>
      </w:pPr>
      <w:r>
        <w:rPr/>
        <w:t>All terms and conditions of this proposal are proprietary trade secrets of ECT and are exempted by the “Florida Public Records Law” and must be kept confidential between Lakeland, ECT and their duly appointed agents.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smallCaps/>
        </w:rPr>
      </w:pPr>
      <w:r>
        <w:rPr>
          <w:b/>
          <w:smallCaps/>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smallCaps/>
        </w:rPr>
      </w:pPr>
      <w:r>
        <w:rPr>
          <w:b/>
          <w:smallCaps/>
        </w:rPr>
        <w:t>Governing Law</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smallCaps/>
        </w:rPr>
      </w:pPr>
      <w:r>
        <w:rPr>
          <w:b/>
          <w:smallCaps/>
        </w:rPr>
      </w:r>
    </w:p>
    <w:p>
      <w:pPr>
        <w:pStyle w:val="Normal"/>
        <w:tabs>
          <w:tab w:val="clear" w:pos="720"/>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The Contract would be governed by the laws of the State of Texas.</w:t>
      </w:r>
    </w:p>
    <w:p>
      <w:pPr>
        <w:pStyle w:val="Normal"/>
        <w:jc w:val="both"/>
        <w:rPr>
          <w:sz w:val="22"/>
        </w:rPr>
      </w:pPr>
      <w:r>
        <w:rPr>
          <w:sz w:val="22"/>
        </w:rPr>
      </w:r>
    </w:p>
    <w:p>
      <w:pPr>
        <w:pStyle w:val="Normal"/>
        <w:jc w:val="both"/>
        <w:rPr>
          <w:sz w:val="22"/>
        </w:rPr>
      </w:pPr>
      <w:r>
        <w:rPr>
          <w:sz w:val="22"/>
        </w:rPr>
      </w:r>
    </w:p>
    <w:p>
      <w:pPr>
        <w:pStyle w:val="Normal"/>
        <w:jc w:val="both"/>
        <w:rPr>
          <w:b/>
          <w:i/>
          <w:i/>
          <w:sz w:val="22"/>
        </w:rPr>
      </w:pPr>
      <w:r>
        <w:rPr>
          <w:b/>
          <w:i/>
          <w:sz w:val="22"/>
        </w:rPr>
        <w:t>The prices in this proposal are subject to change until a final agreement is reached.  This proposal is for discussion purposes only to facilitate the negotiation, preparation, and execution of definitive agreements. This is not an offer or commitment of Seller or any of its affiliates to enter into any transaction. The transaction described herein is subject to further review and approval of the Board of Directors and the Commission respectively of Seller and Buyer, and execution of definitive agreements containing all appropriate provisions, including those related to credit and limitation of damages and remedies.</w:t>
      </w:r>
    </w:p>
    <w:p>
      <w:pPr>
        <w:pStyle w:val="Normal"/>
        <w:jc w:val="both"/>
        <w:rPr>
          <w:b/>
          <w:i/>
          <w:i/>
          <w:sz w:val="22"/>
        </w:rPr>
      </w:pPr>
      <w:r>
        <w:rPr>
          <w:b/>
          <w:i/>
          <w:sz w:val="22"/>
        </w:rPr>
      </w:r>
    </w:p>
    <w:p>
      <w:pPr>
        <w:pStyle w:val="Normal"/>
        <w:keepNext w:val="true"/>
        <w:keepLines/>
        <w:jc w:val="both"/>
        <w:rPr>
          <w:sz w:val="16"/>
        </w:rPr>
      </w:pPr>
      <w:r>
        <w:rPr>
          <w:sz w:val="16"/>
        </w:rPr>
        <w:t>Lakegas20.doc</w:t>
        <w:tab/>
        <w:t>8/30/99</w:t>
      </w:r>
    </w:p>
    <w:sectPr>
      <w:headerReference w:type="default" r:id="rId2"/>
      <w:headerReference w:type="first" r:id="rId3"/>
      <w:footerReference w:type="default" r:id="rId4"/>
      <w:footerReference w:type="first" r:id="rId5"/>
      <w:type w:val="nextPage"/>
      <w:pgSz w:w="12240" w:h="15840"/>
      <w:pgMar w:left="1800" w:right="1440" w:gutter="0" w:header="720" w:top="1440" w:footer="432"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tabs>
        <w:tab w:val="clear" w:pos="8640"/>
        <w:tab w:val="center" w:pos="4320" w:leader="none"/>
        <w:tab w:val="right" w:pos="9630" w:leader="none"/>
      </w:tabs>
      <w:ind w:end="-990"/>
      <w:rPr/>
    </w:pPr>
    <w:r>
      <w:rPr/>
      <w:drawing>
        <wp:inline distT="0" distB="0" distL="0" distR="0">
          <wp:extent cx="1762125" cy="400050"/>
          <wp:effectExtent l="0" t="0" r="0" b="0"/>
          <wp:docPr id="1"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title=""/>
                  <pic:cNvPicPr>
                    <a:picLocks noChangeAspect="1" noChangeArrowheads="1"/>
                  </pic:cNvPicPr>
                </pic:nvPicPr>
                <pic:blipFill>
                  <a:blip r:embed="rId1"/>
                  <a:srcRect l="-20" t="-90" r="-20" b="-90"/>
                  <a:stretch>
                    <a:fillRect/>
                  </a:stretch>
                </pic:blipFill>
                <pic:spPr bwMode="auto">
                  <a:xfrm>
                    <a:off x="0" y="0"/>
                    <a:ext cx="1762125" cy="400050"/>
                  </a:xfrm>
                  <a:prstGeom prst="rect">
                    <a:avLst/>
                  </a:prstGeom>
                  <a:noFill/>
                </pic:spPr>
              </pic:pic>
            </a:graphicData>
          </a:graphic>
        </wp:inline>
      </w:drawing>
    </w:r>
    <w:r>
      <w:rPr/>
      <w:tab/>
      <w:tab/>
    </w:r>
    <w:r>
      <w:rPr/>
      <w:drawing>
        <wp:inline distT="0" distB="0" distL="0" distR="0">
          <wp:extent cx="1275080" cy="575310"/>
          <wp:effectExtent l="0" t="0" r="0" b="0"/>
          <wp:docPr id="2"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descr="" title=""/>
                  <pic:cNvPicPr>
                    <a:picLocks noChangeAspect="1" noChangeArrowheads="1"/>
                  </pic:cNvPicPr>
                </pic:nvPicPr>
                <pic:blipFill>
                  <a:blip r:embed="rId2"/>
                  <a:srcRect l="-15" t="-33" r="-15" b="-33"/>
                  <a:stretch>
                    <a:fillRect/>
                  </a:stretch>
                </pic:blipFill>
                <pic:spPr bwMode="auto">
                  <a:xfrm>
                    <a:off x="0" y="0"/>
                    <a:ext cx="1275080" cy="575310"/>
                  </a:xfrm>
                  <a:prstGeom prst="rect">
                    <a:avLst/>
                  </a:prstGeom>
                  <a:noFill/>
                </pic:spPr>
              </pic:pic>
            </a:graphicData>
          </a:graphic>
        </wp:inline>
      </w:drawing>
    </w:r>
  </w:p>
  <w:p>
    <w:pPr>
      <w:pStyle w:val="Footer"/>
      <w:tabs>
        <w:tab w:val="clear" w:pos="8640"/>
        <w:tab w:val="center" w:pos="4320" w:leader="none"/>
        <w:tab w:val="right" w:pos="9630" w:leader="none"/>
      </w:tabs>
      <w:ind w:end="-99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630" w:leader="none"/>
      </w:tabs>
      <w:ind w:end="-990"/>
      <w:rPr/>
    </w:pPr>
    <w:r>
      <w:rPr/>
      <w:drawing>
        <wp:inline distT="0" distB="0" distL="0" distR="0">
          <wp:extent cx="1762125" cy="400050"/>
          <wp:effectExtent l="0" t="0" r="0" b="0"/>
          <wp:docPr id="3" name="lakeland%20new%20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akeland%20new%20logo" descr="" title=""/>
                  <pic:cNvPicPr>
                    <a:picLocks noChangeAspect="1" noChangeArrowheads="1"/>
                  </pic:cNvPicPr>
                </pic:nvPicPr>
                <pic:blipFill>
                  <a:blip r:embed="rId1"/>
                  <a:srcRect l="-20" t="-90" r="-20" b="-90"/>
                  <a:stretch>
                    <a:fillRect/>
                  </a:stretch>
                </pic:blipFill>
                <pic:spPr bwMode="auto">
                  <a:xfrm>
                    <a:off x="0" y="0"/>
                    <a:ext cx="1762125" cy="400050"/>
                  </a:xfrm>
                  <a:prstGeom prst="rect">
                    <a:avLst/>
                  </a:prstGeom>
                  <a:noFill/>
                </pic:spPr>
              </pic:pic>
            </a:graphicData>
          </a:graphic>
        </wp:inline>
      </w:drawing>
    </w:r>
    <w:r>
      <w:rPr/>
      <w:tab/>
      <w:tab/>
    </w:r>
    <w:r>
      <w:rPr/>
      <w:drawing>
        <wp:inline distT="0" distB="0" distL="0" distR="0">
          <wp:extent cx="1275080" cy="575310"/>
          <wp:effectExtent l="0" t="0" r="0" b="0"/>
          <wp:docPr id="4"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title=""/>
                  <pic:cNvPicPr>
                    <a:picLocks noChangeAspect="1" noChangeArrowheads="1"/>
                  </pic:cNvPicPr>
                </pic:nvPicPr>
                <pic:blipFill>
                  <a:blip r:embed="rId2"/>
                  <a:srcRect l="-15" t="-33" r="-15" b="-33"/>
                  <a:stretch>
                    <a:fillRect/>
                  </a:stretch>
                </pic:blipFill>
                <pic:spPr bwMode="auto">
                  <a:xfrm>
                    <a:off x="0" y="0"/>
                    <a:ext cx="1275080" cy="575310"/>
                  </a:xfrm>
                  <a:prstGeom prst="rect">
                    <a:avLst/>
                  </a:prstGeom>
                  <a:noFill/>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i/>
        <w:i/>
      </w:rPr>
    </w:pPr>
    <w:r>
      <w:rPr>
        <w:i/>
      </w:rPr>
      <w:t>Confidential For Discussion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84"/>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0" w:leader="none"/>
      </w:tabs>
      <w:jc w:val="center"/>
      <w:outlineLvl w:val="0"/>
    </w:pPr>
    <w:rPr>
      <w:b/>
      <w:sz w:val="22"/>
      <w:u w:val="single"/>
    </w:rPr>
  </w:style>
  <w:style w:type="paragraph" w:styleId="Heading2">
    <w:name w:val="heading 2"/>
    <w:basedOn w:val="Normal"/>
    <w:next w:val="Normal"/>
    <w:qFormat/>
    <w:pPr>
      <w:keepNext w:val="true"/>
      <w:keepLines/>
      <w:numPr>
        <w:ilvl w:val="1"/>
        <w:numId w:val="1"/>
      </w:numPr>
      <w:jc w:val="center"/>
      <w:outlineLvl w:val="1"/>
    </w:pPr>
    <w:rPr>
      <w:b/>
      <w:smallCaps/>
      <w:sz w:val="22"/>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Normal"/>
    <w:next w:val="Normal"/>
    <w:qFormat/>
    <w:pPr>
      <w:keepNext w:val="true"/>
      <w:numPr>
        <w:ilvl w:val="3"/>
        <w:numId w:val="1"/>
      </w:numPr>
      <w:jc w:val="both"/>
      <w:outlineLvl w:val="3"/>
    </w:pPr>
    <w:rPr>
      <w:sz w:val="22"/>
      <w:u w:val="single"/>
    </w:rPr>
  </w:style>
  <w:style w:type="paragraph" w:styleId="Heading5">
    <w:name w:val="heading 5"/>
    <w:basedOn w:val="Normal"/>
    <w:next w:val="Normal"/>
    <w:qFormat/>
    <w:pPr>
      <w:keepNext w:val="true"/>
      <w:keepLines/>
      <w:numPr>
        <w:ilvl w:val="4"/>
        <w:numId w:val="1"/>
      </w:numPr>
      <w:tabs>
        <w:tab w:val="clear" w:pos="720"/>
        <w:tab w:val="left" w:pos="360" w:leader="none"/>
      </w:tabs>
      <w:jc w:val="both"/>
      <w:outlineLvl w:val="4"/>
    </w:pPr>
    <w:rPr>
      <w:b/>
    </w:rPr>
  </w:style>
  <w:style w:type="paragraph" w:styleId="Heading6">
    <w:name w:val="heading 6"/>
    <w:basedOn w:val="Normal"/>
    <w:next w:val="Normal"/>
    <w:qFormat/>
    <w:pPr>
      <w:keepNext w:val="true"/>
      <w:numPr>
        <w:ilvl w:val="5"/>
        <w:numId w:val="1"/>
      </w:numPr>
      <w:tabs>
        <w:tab w:val="clear" w:pos="720"/>
        <w:tab w:val="left" w:pos="360" w:leader="none"/>
      </w:tabs>
      <w:jc w:val="center"/>
      <w:outlineLvl w:val="5"/>
    </w:pPr>
    <w:rPr>
      <w:b/>
      <w:smallCaps/>
    </w:rPr>
  </w:style>
  <w:style w:type="paragraph" w:styleId="Heading7">
    <w:name w:val="heading 7"/>
    <w:basedOn w:val="Normal"/>
    <w:next w:val="Normal"/>
    <w:qFormat/>
    <w:pPr>
      <w:keepNext w:val="true"/>
      <w:keepLines/>
      <w:numPr>
        <w:ilvl w:val="6"/>
        <w:numId w:val="1"/>
      </w:numPr>
      <w:tabs>
        <w:tab w:val="clear" w:pos="720"/>
        <w:tab w:val="left" w:pos="0" w:leader="none"/>
      </w:tabs>
      <w:outlineLvl w:val="6"/>
    </w:pPr>
    <w:rPr/>
  </w:style>
  <w:style w:type="paragraph" w:styleId="Heading8">
    <w:name w:val="heading 8"/>
    <w:basedOn w:val="Normal"/>
    <w:next w:val="Normal"/>
    <w:qFormat/>
    <w:pPr>
      <w:keepNext w:val="true"/>
      <w:keepLines/>
      <w:numPr>
        <w:ilvl w:val="7"/>
        <w:numId w:val="1"/>
      </w:numPr>
      <w:tabs>
        <w:tab w:val="clear" w:pos="720"/>
        <w:tab w:val="left" w:pos="360" w:leader="none"/>
      </w:tabs>
      <w:ind w:hanging="1440" w:start="1440" w:end="0"/>
      <w:jc w:val="both"/>
      <w:outlineLvl w:val="7"/>
    </w:pPr>
    <w:rPr>
      <w:b/>
      <w:i/>
    </w:rPr>
  </w:style>
  <w:style w:type="paragraph" w:styleId="Heading9">
    <w:name w:val="heading 9"/>
    <w:basedOn w:val="Normal"/>
    <w:next w:val="Normal"/>
    <w:qFormat/>
    <w:pPr>
      <w:keepNext w:val="true"/>
      <w:numPr>
        <w:ilvl w:val="8"/>
        <w:numId w:val="1"/>
      </w:numPr>
      <w:outlineLvl w:val="8"/>
    </w:pPr>
    <w:rPr>
      <w:b/>
      <w:i/>
    </w:rPr>
  </w:style>
  <w:style w:type="character" w:styleId="WW8Num1z0">
    <w:name w:val="WW8Num1z0"/>
    <w:qFormat/>
    <w:rPr>
      <w:rFonts w:ascii="Times New Roman" w:hAnsi="Times New Roman" w:cs="Times New Roman"/>
      <w:b w:val="false"/>
      <w:i w:val="false"/>
      <w:sz w:val="22"/>
      <w:u w:val="non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b/>
      <w:smallCaps/>
      <w:sz w:val="3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istBullet">
    <w:name w:val="List Bullet"/>
    <w:basedOn w:val="Normal"/>
    <w:qFormat/>
    <w:pPr>
      <w:numPr>
        <w:ilvl w:val="0"/>
        <w:numId w:val="2"/>
      </w:numPr>
      <w:ind w:hanging="360" w:start="360" w:end="0"/>
    </w:pPr>
    <w:rPr/>
  </w:style>
  <w:style w:type="paragraph" w:styleId="BodyText2">
    <w:name w:val="Body Text 2"/>
    <w:basedOn w:val="Normal"/>
    <w:qFormat/>
    <w:pPr>
      <w:jc w:val="both"/>
    </w:pPr>
    <w:rPr>
      <w:sz w:val="22"/>
    </w:rPr>
  </w:style>
  <w:style w:type="paragraph" w:styleId="BodyTextIndent">
    <w:name w:val="Body Text Indent"/>
    <w:basedOn w:val="Normal"/>
    <w:pPr>
      <w:keepNext w:val="true"/>
      <w:keepLines/>
      <w:tabs>
        <w:tab w:val="clear" w:pos="720"/>
        <w:tab w:val="left" w:pos="360" w:leader="none"/>
      </w:tabs>
      <w:ind w:hanging="720" w:start="0" w:end="0"/>
      <w:jc w:val="both"/>
    </w:pPr>
    <w:rPr>
      <w:sz w:val="22"/>
    </w:rPr>
  </w:style>
  <w:style w:type="paragraph" w:styleId="BodyText3">
    <w:name w:val="Body Text 3"/>
    <w:basedOn w:val="Normal"/>
    <w:qFormat/>
    <w:pPr>
      <w:jc w:val="both"/>
    </w:pPr>
    <w:rPr/>
  </w:style>
  <w:style w:type="paragraph" w:styleId="DocumentMap">
    <w:name w:val="Document Map"/>
    <w:basedOn w:val="Normal"/>
    <w:qFormat/>
    <w:pPr>
      <w:shd w:fill="000080" w:val="clear"/>
    </w:pPr>
    <w:rPr>
      <w:rFonts w:ascii="Tahoma" w:hAnsi="Tahoma" w:cs="Tahoma"/>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_rels/foot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1999-08-23T10:33:00Z</dcterms:created>
  <dc:creator>ECT</dc:creator>
  <dc:description/>
  <dc:language>en-CA</dc:language>
  <cp:lastModifiedBy>ECT</cp:lastModifiedBy>
  <cp:lastPrinted>1999-08-24T14:53:00Z</cp:lastPrinted>
  <dcterms:modified xsi:type="dcterms:W3CDTF">1999-08-30T16:25:00Z</dcterms:modified>
  <cp:revision>8</cp:revision>
  <dc:subject/>
  <dc:title>SUMMARY OF TERMS FOR PROPOSED TRANSACTION BETWEEN</dc:title>
</cp:coreProperties>
</file>