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CONFIDENTIALITY</w:t>
      </w:r>
    </w:p>
    <w:p>
      <w:pPr>
        <w:pStyle w:val="Normal"/>
        <w:jc w:val="center"/>
        <w:rPr>
          <w:rFonts w:ascii="Arial" w:hAnsi="Arial" w:cs="Arial"/>
          <w:b/>
        </w:rPr>
      </w:pPr>
      <w:r>
        <w:rPr>
          <w:rFonts w:cs="Arial" w:ascii="Arial" w:hAnsi="Arial"/>
          <w:b/>
        </w:rPr>
        <w:t>PRE-AGREEMENT DATA SHEET</w:t>
      </w:r>
    </w:p>
    <w:p>
      <w:pPr>
        <w:pStyle w:val="Normal"/>
        <w:jc w:val="center"/>
        <w:rPr>
          <w:rFonts w:ascii="Arial" w:hAnsi="Arial" w:cs="Arial"/>
          <w:b/>
        </w:rPr>
      </w:pPr>
      <w:r>
        <w:rPr>
          <w:rFonts w:cs="Arial" w:ascii="Arial" w:hAnsi="Arial"/>
          <w:b/>
        </w:rPr>
      </w:r>
    </w:p>
    <w:p>
      <w:pPr>
        <w:pStyle w:val="Normal"/>
        <w:tabs>
          <w:tab w:val="clear" w:pos="720"/>
          <w:tab w:val="left" w:pos="9180" w:leader="none"/>
        </w:tabs>
        <w:rPr>
          <w:rFonts w:ascii="Arial" w:hAnsi="Arial" w:cs="Arial"/>
          <w:b/>
        </w:rPr>
      </w:pPr>
      <w:r>
        <w:rPr>
          <w:rFonts w:cs="Arial" w:ascii="Arial" w:hAnsi="Arial"/>
        </w:rPr>
        <w:t>Date</w:t>
      </w:r>
      <w:r>
        <w:rPr>
          <w:rFonts w:cs="Arial" w:ascii="Arial" w:hAnsi="Arial"/>
          <w:u w:val="single"/>
        </w:rPr>
        <w:t>:         5/21/99</w:t>
        <w:tab/>
      </w:r>
    </w:p>
    <w:p>
      <w:pPr>
        <w:pStyle w:val="Normal"/>
        <w:rPr>
          <w:rFonts w:ascii="Arial" w:hAnsi="Arial" w:cs="Arial"/>
          <w:b/>
        </w:rPr>
      </w:pPr>
      <w:r>
        <w:rPr>
          <w:rFonts w:cs="Arial" w:ascii="Arial" w:hAnsi="Arial"/>
          <w:b/>
        </w:rPr>
      </w:r>
    </w:p>
    <w:p>
      <w:pPr>
        <w:pStyle w:val="Normal"/>
        <w:tabs>
          <w:tab w:val="clear" w:pos="720"/>
          <w:tab w:val="left" w:pos="9180" w:leader="none"/>
        </w:tabs>
        <w:rPr/>
      </w:pPr>
      <w:r>
        <w:rPr>
          <w:rFonts w:cs="Arial" w:ascii="Arial" w:hAnsi="Arial"/>
        </w:rPr>
        <w:t xml:space="preserve">Enron Company Name: </w:t>
      </w:r>
      <w:r>
        <w:rPr>
          <w:rFonts w:cs="Arial" w:ascii="Arial" w:hAnsi="Arial"/>
          <w:u w:val="single"/>
        </w:rPr>
        <w:t>Houston Pipe Line Company</w:t>
        <w:tab/>
      </w:r>
    </w:p>
    <w:p>
      <w:pPr>
        <w:pStyle w:val="Header"/>
        <w:tabs>
          <w:tab w:val="clear" w:pos="4320"/>
          <w:tab w:val="clear" w:pos="8640"/>
        </w:tabs>
        <w:rPr>
          <w:rFonts w:ascii="Arial" w:hAnsi="Arial" w:cs="Arial"/>
          <w:u w:val="single"/>
        </w:rPr>
      </w:pPr>
      <w:r>
        <w:rPr>
          <w:rFonts w:cs="Arial" w:ascii="Arial" w:hAnsi="Arial"/>
          <w:u w:val="single"/>
        </w:rPr>
      </w:r>
    </w:p>
    <w:p>
      <w:pPr>
        <w:pStyle w:val="Normal"/>
        <w:tabs>
          <w:tab w:val="clear" w:pos="720"/>
          <w:tab w:val="left" w:pos="8280" w:leader="none"/>
          <w:tab w:val="left" w:pos="9180" w:leader="none"/>
        </w:tabs>
        <w:rPr/>
      </w:pPr>
      <w:r>
        <w:rPr>
          <w:rFonts w:cs="Arial" w:ascii="Arial" w:hAnsi="Arial"/>
        </w:rPr>
        <w:t>Counterparty Name: (Full legal name. Include all known affiliates and possible related and unrelated parties that may be involved)</w:t>
      </w:r>
      <w:r>
        <w:rPr>
          <w:rFonts w:cs="Arial" w:ascii="Arial" w:hAnsi="Arial"/>
          <w:u w:val="single"/>
        </w:rPr>
        <w:t xml:space="preserve">     Louisiana Western Gas Gathering Company, L.L.C.</w:t>
        <w:tab/>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rPr>
      </w:pPr>
      <w:r>
        <w:rPr>
          <w:rFonts w:cs="Arial" w:ascii="Arial" w:hAnsi="Arial"/>
          <w:u w:val="single"/>
        </w:rPr>
        <w:tab/>
      </w:r>
    </w:p>
    <w:p>
      <w:pPr>
        <w:pStyle w:val="Normal"/>
        <w:tabs>
          <w:tab w:val="clear" w:pos="720"/>
          <w:tab w:val="left" w:pos="8280" w:leader="none"/>
        </w:tabs>
        <w:rPr>
          <w:rFonts w:ascii="Arial" w:hAnsi="Arial" w:cs="Arial"/>
        </w:rPr>
      </w:pPr>
      <w:r>
        <w:rPr>
          <w:rFonts w:cs="Arial" w:ascii="Arial" w:hAnsi="Arial"/>
        </w:rPr>
      </w:r>
    </w:p>
    <w:p>
      <w:pPr>
        <w:pStyle w:val="Normal"/>
        <w:tabs>
          <w:tab w:val="clear" w:pos="720"/>
          <w:tab w:val="left" w:pos="9180" w:leader="none"/>
        </w:tabs>
        <w:rPr/>
      </w:pPr>
      <w:r>
        <w:rPr>
          <w:rFonts w:cs="Arial" w:ascii="Arial" w:hAnsi="Arial"/>
        </w:rPr>
        <w:t>Location of counterparty offices</w:t>
      </w:r>
      <w:r>
        <w:rPr>
          <w:rFonts w:cs="Arial" w:ascii="Arial" w:hAnsi="Arial"/>
          <w:u w:val="single"/>
        </w:rPr>
        <w:t xml:space="preserve">     Shreveport, Louisiana</w:t>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u w:val="single"/>
        </w:rPr>
      </w:pPr>
      <w:r>
        <w:rPr>
          <w:rFonts w:cs="Arial" w:ascii="Arial" w:hAnsi="Arial"/>
          <w:u w:val="single"/>
        </w:rPr>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3600" w:leader="none"/>
          <w:tab w:val="left" w:pos="7200" w:leader="none"/>
          <w:tab w:val="left" w:pos="8280" w:leader="none"/>
        </w:tabs>
        <w:rPr>
          <w:rFonts w:ascii="Arial" w:hAnsi="Arial" w:cs="Arial"/>
        </w:rPr>
      </w:pPr>
      <w:r>
        <w:rPr>
          <w:rFonts w:eastAsia="Arial" w:cs="Arial" w:ascii="Arial" w:hAnsi="Arial"/>
        </w:rPr>
        <w:t xml:space="preserve"> </w:t>
      </w:r>
      <w:r>
        <w:rPr>
          <w:rFonts w:cs="Arial" w:ascii="Arial" w:hAnsi="Arial"/>
        </w:rPr>
        <w:t>Protects Enron entity</w:t>
        <w:tab/>
        <w:t>X Protects counterparty</w:t>
        <w:tab/>
        <w:t>Protects both</w:t>
      </w:r>
    </w:p>
    <w:p>
      <w:pPr>
        <w:pStyle w:val="Normal"/>
        <w:tabs>
          <w:tab w:val="clear" w:pos="720"/>
          <w:tab w:val="left" w:pos="3240" w:leader="none"/>
          <w:tab w:val="left" w:pos="6480" w:leader="none"/>
          <w:tab w:val="left" w:pos="8280" w:leader="none"/>
        </w:tabs>
        <w:rPr>
          <w:rFonts w:ascii="Arial" w:hAnsi="Arial" w:cs="Arial"/>
        </w:rPr>
      </w:pPr>
      <w:r>
        <w:rPr>
          <w:rFonts w:cs="Arial" w:ascii="Arial" w:hAnsi="Arial"/>
        </w:rPr>
      </w:r>
    </w:p>
    <w:p>
      <w:pPr>
        <w:pStyle w:val="Normal"/>
        <w:tabs>
          <w:tab w:val="clear" w:pos="720"/>
          <w:tab w:val="left" w:pos="8280" w:leader="none"/>
        </w:tabs>
        <w:rPr>
          <w:rFonts w:ascii="Arial" w:hAnsi="Arial" w:cs="Arial"/>
          <w:u w:val="single"/>
        </w:rPr>
      </w:pPr>
      <w:r>
        <w:rPr>
          <w:rFonts w:cs="Arial" w:ascii="Arial" w:hAnsi="Arial"/>
        </w:rPr>
        <w:t>Description of Proposed Transaction: (Include as much information as you have including location of any properties involved).</w:t>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u w:val="single"/>
        </w:rPr>
      </w:pPr>
      <w:r>
        <w:rPr>
          <w:rFonts w:cs="Arial" w:ascii="Arial" w:hAnsi="Arial"/>
          <w:u w:val="single"/>
        </w:rPr>
        <w:t xml:space="preserve">Louisiana Western Gas Gathering Company, L.L.C. will be providing HPL information related to their natural gas gathering pipeline system in Upshur, County Texas in the Rosewood Field area.  HPL will be assessing a potential purchase of the system.                                             </w:t>
      </w:r>
    </w:p>
    <w:p>
      <w:pPr>
        <w:pStyle w:val="Normal"/>
        <w:tabs>
          <w:tab w:val="clear" w:pos="720"/>
          <w:tab w:val="left" w:pos="8280" w:leader="none"/>
          <w:tab w:val="left" w:pos="91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u w:val="single"/>
        </w:rPr>
      </w:pPr>
      <w:r>
        <w:rPr>
          <w:rFonts w:cs="Arial" w:ascii="Arial" w:hAnsi="Arial"/>
          <w:u w:val="single"/>
        </w:rPr>
        <w:tab/>
      </w:r>
    </w:p>
    <w:p>
      <w:pPr>
        <w:pStyle w:val="Normal"/>
        <w:tabs>
          <w:tab w:val="clear" w:pos="720"/>
          <w:tab w:val="left" w:pos="9180" w:leader="none"/>
        </w:tabs>
        <w:rPr>
          <w:rFonts w:ascii="Arial" w:hAnsi="Arial" w:cs="Arial"/>
          <w:u w:val="single"/>
        </w:rPr>
      </w:pPr>
      <w:r>
        <w:rPr>
          <w:rFonts w:cs="Arial" w:ascii="Arial" w:hAnsi="Arial"/>
          <w:u w:val="single"/>
        </w:rPr>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8280" w:leader="none"/>
        </w:tabs>
        <w:rPr/>
      </w:pPr>
      <w:r>
        <w:rPr>
          <w:rFonts w:cs="Arial" w:ascii="Arial" w:hAnsi="Arial"/>
        </w:rPr>
        <w:t>Other Pertinent Information:(Include standstill or other special provisions)</w:t>
      </w:r>
      <w:r>
        <w:rPr>
          <w:rFonts w:cs="Arial" w:ascii="Arial" w:hAnsi="Arial"/>
          <w:u w:val="single"/>
        </w:rPr>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u w:val="single"/>
        </w:rPr>
      </w:pPr>
      <w:r>
        <w:rPr>
          <w:rFonts w:cs="Arial" w:ascii="Arial" w:hAnsi="Arial"/>
          <w:u w:val="single"/>
        </w:rPr>
        <w:t>N/A</w:t>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rFonts w:ascii="Arial" w:hAnsi="Arial" w:cs="Arial"/>
          <w:u w:val="single"/>
        </w:rPr>
      </w:pPr>
      <w:r>
        <w:rPr>
          <w:rFonts w:cs="Arial" w:ascii="Arial" w:hAnsi="Arial"/>
          <w:u w:val="single"/>
        </w:rPr>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pPr>
      <w:r>
        <w:rPr>
          <w:rFonts w:cs="Arial" w:ascii="Arial" w:hAnsi="Arial"/>
        </w:rPr>
        <w:t>ECT Business Contact</w:t>
      </w:r>
      <w:r>
        <w:rPr>
          <w:rFonts w:cs="Arial" w:ascii="Arial" w:hAnsi="Arial"/>
          <w:u w:val="single"/>
        </w:rPr>
        <w:t xml:space="preserve">    Brian Bierbach</w:t>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tabs>
          <w:tab w:val="clear" w:pos="720"/>
          <w:tab w:val="left" w:pos="9180" w:leader="none"/>
        </w:tabs>
        <w:rPr/>
      </w:pPr>
      <w:r>
        <w:rPr>
          <w:rFonts w:cs="Arial" w:ascii="Arial" w:hAnsi="Arial"/>
        </w:rPr>
        <w:t xml:space="preserve">ECT Attorney   </w:t>
      </w:r>
      <w:r>
        <w:rPr>
          <w:rFonts w:cs="Arial" w:ascii="Arial" w:hAnsi="Arial"/>
          <w:u w:val="single"/>
        </w:rPr>
        <w:t xml:space="preserve">      Gerald Nemec</w:t>
        <w:tab/>
      </w:r>
    </w:p>
    <w:p>
      <w:pPr>
        <w:pStyle w:val="Normal"/>
        <w:tabs>
          <w:tab w:val="clear" w:pos="720"/>
          <w:tab w:val="left" w:pos="8280" w:leader="none"/>
        </w:tabs>
        <w:rPr>
          <w:rFonts w:ascii="Arial" w:hAnsi="Arial" w:cs="Arial"/>
          <w:u w:val="single"/>
        </w:rPr>
      </w:pPr>
      <w:r>
        <w:rPr>
          <w:rFonts w:cs="Arial" w:ascii="Arial" w:hAnsi="Arial"/>
          <w:u w:val="single"/>
        </w:rPr>
      </w:r>
    </w:p>
    <w:p>
      <w:pPr>
        <w:pStyle w:val="Normal"/>
        <w:rPr>
          <w:rFonts w:ascii="Arial" w:hAnsi="Arial" w:cs="Arial"/>
          <w:b/>
        </w:rPr>
      </w:pPr>
      <w:r>
        <w:rPr>
          <w:rFonts w:cs="Arial" w:ascii="Arial" w:hAnsi="Arial"/>
          <w:b/>
        </w:rPr>
        <w:t xml:space="preserve">RETURN TO KAY YOUNG ECT LEGAL EB3833, X 36794,  FAX (713) 646-3393 </w:t>
        <w:tab/>
        <w:t>FOR CONFLICTS CHECK</w:t>
      </w:r>
    </w:p>
    <w:p>
      <w:pPr>
        <w:pStyle w:val="Normal"/>
        <w:rPr>
          <w:rFonts w:ascii="Arial" w:hAnsi="Arial" w:cs="Arial"/>
          <w:b/>
        </w:rPr>
      </w:pPr>
      <w:r>
        <w:rPr>
          <w:rFonts w:cs="Arial" w:ascii="Arial" w:hAnsi="Arial"/>
          <w:b/>
        </w:rPr>
        <w:t>THIS FORM MAY BE ATTACHED TO NOTESMAIL AND SENT TO KAY YOUNG</w:t>
      </w:r>
    </w:p>
    <w:p>
      <w:pPr>
        <w:pStyle w:val="Normal"/>
        <w:rPr>
          <w:rFonts w:ascii="Arial" w:hAnsi="Arial" w:cs="Arial"/>
          <w:b/>
        </w:rPr>
      </w:pPr>
      <w:r>
        <w:rPr>
          <w:b/>
          <w:i/>
        </w:rPr>
        <w:t xml:space="preserve">YOU MAY SEND A DRAFT OF YOUR AGREEMENT CONTAINING THESE </w:t>
        <w:tab/>
        <w:t>ELEMENTS FOR A CHECK IF YOU WISH</w:t>
      </w:r>
    </w:p>
    <w:p>
      <w:pPr>
        <w:pStyle w:val="Normal"/>
        <w:rPr>
          <w:rFonts w:ascii="Arial" w:hAnsi="Arial" w:cs="Arial"/>
          <w:b/>
        </w:rPr>
      </w:pPr>
      <w:r>
        <w:rPr>
          <w:rFonts w:cs="Arial" w:ascii="Arial" w:hAnsi="Arial"/>
          <w:b/>
        </w:rPr>
        <w:t>SEND EXECUTED ORIGINALS TO KAY YOUNG AT EB3833</w:t>
      </w:r>
    </w:p>
    <w:p>
      <w:pPr>
        <w:pStyle w:val="Normal"/>
        <w:rPr>
          <w:rFonts w:ascii="Arial" w:hAnsi="Arial" w:cs="Arial"/>
          <w:b/>
        </w:rPr>
      </w:pPr>
      <w:r>
        <w:rPr>
          <w:rFonts w:cs="Arial" w:ascii="Arial" w:hAnsi="Arial"/>
          <w:b/>
        </w:rPr>
      </w:r>
    </w:p>
    <w:sectPr>
      <w:headerReference w:type="default" r:id="rId2"/>
      <w:footerReference w:type="default" r:id="rId3"/>
      <w:type w:val="nextPage"/>
      <w:pgSz w:w="12240" w:h="15840"/>
      <w:pgMar w:left="1440" w:right="1440" w:gutter="0" w:header="72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/mnt/main-storage/datasets/enron-docs/doc/La_Western_Gas_Gathering_Data.doc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1999-05-21T17:10:00Z</dcterms:created>
  <dc:creator>kyoung</dc:creator>
  <dc:description/>
  <dc:language>en-CA</dc:language>
  <cp:lastModifiedBy>gnemec</cp:lastModifiedBy>
  <cp:lastPrinted>1998-09-15T11:36:00Z</cp:lastPrinted>
  <dcterms:modified xsi:type="dcterms:W3CDTF">1999-05-21T17:10:00Z</dcterms:modified>
  <cp:revision>2</cp:revision>
  <dc:subject/>
  <dc:title>CONFIDENTIALITY</dc:title>
</cp:coreProperties>
</file>