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center"/>
        <w:rPr/>
      </w:pPr>
      <w:r>
        <w:rPr/>
      </w:r>
    </w:p>
    <w:p>
      <w:pPr>
        <w:pStyle w:val="Heading"/>
        <w:jc w:val="center"/>
        <w:rPr/>
      </w:pPr>
      <w:r>
        <w:rPr/>
        <w:drawing>
          <wp:inline distT="0" distB="0" distL="0" distR="0">
            <wp:extent cx="991235" cy="9715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1235" cy="97155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See Distribution</w:t>
            </w:r>
            <w:r>
              <w:rPr>
                <w:rStyle w:val="FootnoteCharacters"/>
                <w:rStyle w:val="FootnoteReference"/>
              </w:rPr>
              <w:footnoteReference w:id="2"/>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Jerry T. Moore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Sales &amp; Use Tax</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Louisiana Tax on Compressor Fuel</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April 10, 2000</w:t>
            </w:r>
          </w:p>
        </w:tc>
      </w:tr>
    </w:tbl>
    <w:p>
      <w:pPr>
        <w:pStyle w:val="Body"/>
        <w:rPr/>
      </w:pPr>
      <w:r>
        <w:rPr/>
      </w:r>
      <w:bookmarkStart w:id="3" w:name="StartOfMemo"/>
      <w:bookmarkStart w:id="4" w:name="StartOfMemo"/>
      <w:bookmarkEnd w:id="4"/>
    </w:p>
    <w:p>
      <w:pPr>
        <w:pStyle w:val="Body"/>
        <w:jc w:val="both"/>
        <w:rPr/>
      </w:pPr>
      <w:r>
        <w:rPr/>
        <w:t xml:space="preserve">Enron (FGT and other Enron pipeline entities located in Louisiana) currently pay a 3% Use Tax on compressor fuel (and a 1% Louisiana Natural Gas Franchise Tax on compressor fuel, which is not at issue here).  For 1999, FGT has paid $203,418.13 on a volume of 2,809,554 mcf for the Use Tax. </w:t>
      </w:r>
    </w:p>
    <w:p>
      <w:pPr>
        <w:pStyle w:val="Body"/>
        <w:jc w:val="both"/>
        <w:rPr/>
      </w:pPr>
      <w:r>
        <w:rPr/>
      </w:r>
    </w:p>
    <w:p>
      <w:pPr>
        <w:pStyle w:val="Body"/>
        <w:jc w:val="both"/>
        <w:rPr/>
      </w:pPr>
      <w:r>
        <w:rPr/>
        <w:t>Our Legislative Affairs group has asked that I comment on the following:</w:t>
      </w:r>
    </w:p>
    <w:p>
      <w:pPr>
        <w:pStyle w:val="Body"/>
        <w:jc w:val="both"/>
        <w:rPr/>
      </w:pPr>
      <w:r>
        <w:rPr/>
      </w:r>
    </w:p>
    <w:p>
      <w:pPr>
        <w:pStyle w:val="Body"/>
        <w:jc w:val="both"/>
        <w:rPr/>
      </w:pPr>
      <w:r>
        <w:rPr/>
        <w:t>“…</w:t>
      </w:r>
      <w:r>
        <w:rPr>
          <w:b/>
          <w:color w:val="FF0000"/>
        </w:rPr>
        <w:t>Duke Energy is floating a concept whereby the tax would be paid in-kind with an actual delivery of natural gas.</w:t>
      </w:r>
      <w:r>
        <w:rPr/>
        <w:t xml:space="preserve">  The amount of gas would be determined by figuring the dollar value of the tax and dividing this by some spot price or agreed upon value of a mcf of gas.  The state would take the delivery and resale the gas at another delivery point.  The delivery and resale agreements could be worked out with your affiliate marketing group and as a result this in-kind gas and the charges associated with the transaction could be passed through in the rates.</w:t>
      </w:r>
    </w:p>
    <w:p>
      <w:pPr>
        <w:pStyle w:val="Body"/>
        <w:jc w:val="both"/>
        <w:rPr/>
      </w:pPr>
      <w:r>
        <w:rPr/>
      </w:r>
    </w:p>
    <w:p>
      <w:pPr>
        <w:pStyle w:val="Body"/>
        <w:jc w:val="both"/>
        <w:rPr/>
      </w:pPr>
      <w:r>
        <w:rPr/>
        <w:t>“</w:t>
      </w:r>
      <w:r>
        <w:rPr/>
        <w:t>In essence, the law would be changed to include the option of paying this tax with an in-kind equivalent delivery of natural gas.</w:t>
      </w:r>
    </w:p>
    <w:p>
      <w:pPr>
        <w:pStyle w:val="Body"/>
        <w:jc w:val="both"/>
        <w:rPr/>
      </w:pPr>
      <w:r>
        <w:rPr/>
      </w:r>
    </w:p>
    <w:p>
      <w:pPr>
        <w:pStyle w:val="Body"/>
        <w:pBdr>
          <w:bottom w:val="single" w:sz="12" w:space="1" w:color="000000"/>
        </w:pBdr>
        <w:jc w:val="both"/>
        <w:rPr/>
      </w:pPr>
      <w:r>
        <w:rPr/>
        <w:t>“</w:t>
      </w:r>
      <w:r>
        <w:rPr/>
        <w:t>Please check with your regulatory affairs department to see if they have a problem with placing this option into law.  This would not be a mandate and the current collection method would not change.”</w:t>
      </w:r>
    </w:p>
    <w:p>
      <w:pPr>
        <w:pStyle w:val="Body"/>
        <w:pBdr>
          <w:bottom w:val="single" w:sz="12" w:space="1" w:color="000000"/>
        </w:pBdr>
        <w:jc w:val="both"/>
        <w:rPr/>
      </w:pPr>
      <w:r>
        <w:rPr/>
      </w:r>
    </w:p>
    <w:p>
      <w:pPr>
        <w:pStyle w:val="Body"/>
        <w:jc w:val="both"/>
        <w:rPr/>
      </w:pPr>
      <w:r>
        <w:rPr/>
      </w:r>
    </w:p>
    <w:p>
      <w:pPr>
        <w:pStyle w:val="Body"/>
        <w:jc w:val="both"/>
        <w:rPr/>
      </w:pPr>
      <w:r>
        <w:rPr/>
        <w:t>I am told the above maneuver has less to do with taxes and more to do with regulatory matters.</w:t>
      </w:r>
    </w:p>
    <w:p>
      <w:pPr>
        <w:pStyle w:val="Body"/>
        <w:jc w:val="both"/>
        <w:rPr/>
      </w:pPr>
      <w:r>
        <w:rPr/>
      </w:r>
    </w:p>
    <w:p>
      <w:pPr>
        <w:pStyle w:val="Body"/>
        <w:jc w:val="both"/>
        <w:rPr/>
      </w:pPr>
      <w:r>
        <w:rPr/>
        <w:t xml:space="preserve">The reasoning behind trading an In-kind payment for a cash tax payment lies within the world of FERC.  If the in-kind proposal is used in place of tax payments, then we have avoided using a Fuel Tracker and what might develop into a full Rate Case.  The compressor fuel component of the last rate hearing probably was much less than we are having to pay today (from comments I have gathered from around the industry).  </w:t>
      </w:r>
    </w:p>
    <w:p>
      <w:pPr>
        <w:pStyle w:val="Body"/>
        <w:jc w:val="both"/>
        <w:rPr/>
      </w:pPr>
      <w:r>
        <w:rPr/>
      </w:r>
    </w:p>
    <w:p>
      <w:pPr>
        <w:pStyle w:val="Body"/>
        <w:jc w:val="both"/>
        <w:rPr/>
      </w:pPr>
      <w:r>
        <w:rPr/>
        <w:t>The purpose of this memo is to alert you to the above movement by Duke Energy, and to solicit your comments so I may reply to our Legislative Affairs contact.  Please let me have your comments no later than this Friday, April 14.  Are we opposed or do we support?</w:t>
      </w:r>
    </w:p>
    <w:p>
      <w:pPr>
        <w:pStyle w:val="Body"/>
        <w:jc w:val="both"/>
        <w:rPr/>
      </w:pPr>
      <w:r>
        <w:rPr/>
      </w:r>
    </w:p>
    <w:p>
      <w:pPr>
        <w:pStyle w:val="CopyList"/>
        <w:jc w:val="both"/>
        <w:rPr/>
      </w:pPr>
      <w:r>
        <w:rPr/>
      </w:r>
    </w:p>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jc w:val="center"/>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Mike Fredell</w:t>
      </w:r>
    </w:p>
    <w:p>
      <w:pPr>
        <w:pStyle w:val="FootnoteText"/>
        <w:rPr/>
      </w:pPr>
      <w:r>
        <w:rPr/>
        <w:t>Greek Rice</w:t>
      </w:r>
    </w:p>
    <w:p>
      <w:pPr>
        <w:pStyle w:val="FootnoteText"/>
        <w:rPr/>
      </w:pPr>
      <w:r>
        <w:rPr/>
        <w:t xml:space="preserve">Robert Guthrie </w:t>
      </w:r>
    </w:p>
    <w:p>
      <w:pPr>
        <w:pStyle w:val="FootnoteText"/>
        <w:rPr/>
      </w:pPr>
      <w:r>
        <w:rPr/>
        <w:t>Rod Hayslett</w:t>
      </w:r>
    </w:p>
    <w:p>
      <w:pPr>
        <w:pStyle w:val="FootnoteText"/>
        <w:rPr/>
      </w:pPr>
      <w:r>
        <w:rPr/>
        <w:t>Sandra Hrna</w:t>
      </w:r>
    </w:p>
    <w:p>
      <w:pPr>
        <w:pStyle w:val="FootnoteText"/>
        <w:rPr/>
      </w:pPr>
      <w:r>
        <w:rPr/>
        <w:t>Bill Moore</w:t>
      </w:r>
    </w:p>
    <w:p>
      <w:pPr>
        <w:pStyle w:val="FootnoteText"/>
        <w:rPr/>
      </w:pPr>
      <w:r>
        <w:rPr/>
        <w:t>Gavin Russo</w:t>
      </w:r>
    </w:p>
    <w:p>
      <w:pPr>
        <w:pStyle w:val="FootnoteText"/>
        <w:rPr/>
      </w:pPr>
      <w:r>
        <w:rPr/>
      </w:r>
    </w:p>
    <w:p>
      <w:pPr>
        <w:pStyle w:val="FootnoteText"/>
        <w:rPr/>
      </w:pPr>
      <w:r>
        <w:rPr/>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3293745</wp:posOffset>
              </wp:positionH>
              <wp:positionV relativeFrom="paragraph">
                <wp:posOffset>-184150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14.5pt;mso-position-vertical-relative:text;margin-left:259.35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2000-04-10T13:23:00Z</dcterms:created>
  <dc:creator>jmoore</dc:creator>
  <dc:description/>
  <dc:language>en-CA</dc:language>
  <cp:lastModifiedBy>jmoore</cp:lastModifiedBy>
  <cp:lastPrinted>2000-04-10T11:32:00Z</cp:lastPrinted>
  <dcterms:modified xsi:type="dcterms:W3CDTF">2000-04-10T14:06:00Z</dcterms:modified>
  <cp:revision>7</cp:revision>
  <dc:subject/>
  <dc:title>Better, Faster, Simpler Memo </dc:title>
</cp:coreProperties>
</file>