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HEADING"/>
        <w:spacing w:before="0" w:after="600"/>
        <w:jc w:val="start"/>
        <w:rPr/>
      </w:pPr>
      <w:r>
        <w:rPr/>
        <w:t>we MEMORANDUM</w:t>
      </w:r>
    </w:p>
    <w:p>
      <w:pPr>
        <w:pStyle w:val="Normal"/>
        <w:rPr/>
      </w:pPr>
      <w:bookmarkStart w:id="0" w:name="START"/>
      <w:bookmarkStart w:id="1" w:name="HEADING"/>
      <w:bookmarkEnd w:id="0"/>
      <w:bookmarkEnd w:id="1"/>
      <w:r>
        <w:rPr/>
        <w:t>London, 15.30 hrs (London time), Wednesday, 12 September 2001</w:t>
      </w:r>
    </w:p>
    <w:p>
      <w:pPr>
        <w:pStyle w:val="Normal"/>
        <w:rPr>
          <w:b/>
          <w:sz w:val="28"/>
        </w:rPr>
      </w:pPr>
      <w:r>
        <w:rPr>
          <w:b/>
          <w:sz w:val="28"/>
        </w:rPr>
        <w:t>Terrorist attacks in the US - some market issues</w:t>
      </w:r>
    </w:p>
    <w:p>
      <w:pPr>
        <w:pStyle w:val="Normal"/>
        <w:rPr/>
      </w:pPr>
      <w:r>
        <w:rPr/>
        <w:t>Following the tragic events in the US, we thought it would be helpful to update clients with our understanding of the current situation and with some preliminary thoughts, from a legal perspective, on related market issues.</w:t>
      </w:r>
      <w:r>
        <w:rPr>
          <w:b/>
        </w:rPr>
        <w:t xml:space="preserve"> </w:t>
      </w:r>
    </w:p>
    <w:p>
      <w:pPr>
        <w:pStyle w:val="Normal"/>
        <w:numPr>
          <w:ilvl w:val="0"/>
          <w:numId w:val="6"/>
        </w:numPr>
        <w:rPr/>
      </w:pPr>
      <w:r>
        <w:rPr/>
        <w:t xml:space="preserve">We understand that the key US payment systems, Fedwire and CHIPS, are open today. We also understand that DTCC will continue processing through the day. However, we understand that US financial markets are generally closed for trading business, including the major stock and derivatives exchanges. </w:t>
      </w:r>
    </w:p>
    <w:p>
      <w:pPr>
        <w:pStyle w:val="Normal"/>
        <w:numPr>
          <w:ilvl w:val="0"/>
          <w:numId w:val="6"/>
        </w:numPr>
        <w:rPr/>
      </w:pPr>
      <w:r>
        <w:rPr/>
        <w:t>We are not aware of any definite announcement yet being made concerning the position tomorrow, although the SEC is expected to make an announcement this evening.</w:t>
      </w:r>
    </w:p>
    <w:p>
      <w:pPr>
        <w:pStyle w:val="Normal"/>
        <w:numPr>
          <w:ilvl w:val="0"/>
          <w:numId w:val="6"/>
        </w:numPr>
        <w:rPr>
          <w:b/>
        </w:rPr>
      </w:pPr>
      <w:r>
        <w:rPr/>
        <w:t xml:space="preserve">We understand that most European and Asian markets and payment and clearing systems are open today, although some may have closed early. We also understand that Euroclear and Clearstream are able to settle transactions today, including primary market transactions in US dollars. </w:t>
      </w:r>
    </w:p>
    <w:p>
      <w:pPr>
        <w:pStyle w:val="Normal"/>
        <w:numPr>
          <w:ilvl w:val="0"/>
          <w:numId w:val="4"/>
        </w:numPr>
        <w:rPr>
          <w:b/>
        </w:rPr>
      </w:pPr>
      <w:r>
        <w:rPr/>
        <w:t>The question of whether today is a "business" or "exchange" day in New York will be relevant for a number of purposes, including settlement obligations and the exercise of rights and performance of other obligations under existing transactions (e.g. exercise of options, margin calls and determination of rates, prices and valuations). One key issue for firms will be to identify transactions where critical events (e.g. expiry of options or other rights, closing dates, etc.) are due to take place today or tomorrow with a view to determining whether or not any action needs to be taken. We understand, for example, that in the early stages following yesterday's events, a number of bond issue closings were postponed for a day.</w:t>
      </w:r>
    </w:p>
    <w:p>
      <w:pPr>
        <w:pStyle w:val="Normal"/>
        <w:numPr>
          <w:ilvl w:val="0"/>
          <w:numId w:val="4"/>
        </w:numPr>
        <w:rPr>
          <w:b/>
        </w:rPr>
      </w:pPr>
      <w:r>
        <w:rPr/>
        <w:t>The question of whether today is a business day for the purposes of a particular transaction (and the consequences, if it is not) will depend on the particular terms concerned. There are three main types of definition:</w:t>
      </w:r>
    </w:p>
    <w:p>
      <w:pPr>
        <w:pStyle w:val="Normal"/>
        <w:numPr>
          <w:ilvl w:val="0"/>
          <w:numId w:val="4"/>
        </w:numPr>
        <w:tabs>
          <w:tab w:val="left" w:pos="720" w:leader="none"/>
        </w:tabs>
        <w:ind w:hanging="360" w:start="720" w:end="0"/>
        <w:rPr>
          <w:b/>
        </w:rPr>
      </w:pPr>
      <w:r>
        <w:rPr/>
        <w:t>Definitions which focus on whether the settlement of payments takes place. For example, section 1.4 of the 1991 ISDA Definitions defines "Business Day" by reference to whether the day is "a day on which commercial banks and foreign exchange markets settle payments" in the relevant currency in the principal financial centre of that currency. Other examples of this type of definition include the definition of "Local Banking Day" in the 1997 IFEMA (in relation to any currency - see further below in relation to a party). As already indicated, it is our understanding that the principal US dollar payment systems are open today for settlements and we would assume that banks and markets are in fact settling payments.</w:t>
      </w:r>
    </w:p>
    <w:p>
      <w:pPr>
        <w:pStyle w:val="Normal"/>
        <w:numPr>
          <w:ilvl w:val="0"/>
          <w:numId w:val="4"/>
        </w:numPr>
        <w:tabs>
          <w:tab w:val="left" w:pos="720" w:leader="none"/>
        </w:tabs>
        <w:ind w:hanging="360" w:start="720" w:end="0"/>
        <w:rPr>
          <w:b/>
        </w:rPr>
      </w:pPr>
      <w:r>
        <w:rPr/>
        <w:t xml:space="preserve">Definitions which focus on whether banks are open for business in the relevant financial centre (which is often also linked to the question of whether settlement of payments takes place). For example, section 1.4 of the 2000 ISDA Definitions defines "Business Day" by reference to whether the day is "a day on which commercial banks and foreign exchange markets settle payments and are open for general business (including dealings in foreign exchange and foreign currency deposits)" in the relevant currency in the principal financial centre of that currency. Other examples of definitions which focus on this question include the definition of "Banking Day" in both the 1991 and 2000 ISDA Definitions and the definition of "Business Day" in the Loan Market Association standard form. </w:t>
      </w:r>
    </w:p>
    <w:p>
      <w:pPr>
        <w:pStyle w:val="Normal"/>
        <w:numPr>
          <w:ilvl w:val="0"/>
          <w:numId w:val="4"/>
        </w:numPr>
        <w:tabs>
          <w:tab w:val="left" w:pos="720" w:leader="none"/>
        </w:tabs>
        <w:ind w:hanging="360" w:start="720" w:end="0"/>
        <w:rPr>
          <w:b/>
        </w:rPr>
      </w:pPr>
      <w:r>
        <w:rPr/>
        <w:t>Definitions which focus on whether banks are authorised or required by law to close. For example, section 1 of the 1997 IFEMA defines "Local Banking Day" as "for any Party, a day in the location of the applicable Designated Office of such party on which commercial banks in that location are not authorised or required by law to close".</w:t>
      </w:r>
    </w:p>
    <w:p>
      <w:pPr>
        <w:pStyle w:val="Normal"/>
        <w:numPr>
          <w:ilvl w:val="0"/>
          <w:numId w:val="11"/>
        </w:numPr>
        <w:tabs>
          <w:tab w:val="clear" w:pos="720"/>
        </w:tabs>
        <w:rPr>
          <w:b/>
        </w:rPr>
      </w:pPr>
      <w:r>
        <w:rPr/>
        <w:t xml:space="preserve">Other issues arise with respect to whether today is an "Exchange Business Day" and similar expressions. </w:t>
      </w:r>
    </w:p>
    <w:p>
      <w:pPr>
        <w:pStyle w:val="Normal"/>
        <w:numPr>
          <w:ilvl w:val="0"/>
          <w:numId w:val="11"/>
        </w:numPr>
        <w:tabs>
          <w:tab w:val="clear" w:pos="720"/>
        </w:tabs>
        <w:ind w:hanging="360" w:start="720" w:end="0"/>
        <w:rPr>
          <w:b/>
        </w:rPr>
      </w:pPr>
      <w:r>
        <w:rPr/>
        <w:t xml:space="preserve">For example, the definition of "Exchange Business Day" in section 1.20 of the 1996 ISDA Equity Derivatives Definition is "any day that is (or, but for the occurrence of a Market Disruption Event, would have been) a trading day on each Exchange and each Related Exchange other than a day on which trading on such Exchange or Related Exchange is scheduled to close prior to its regular weekday closing time." Thus, it seems to us that, subject to the terms of any particular transaction, today is an Exchange Business Day for these purposes in relation to US equities or indices, albeit one on which a "Market Disruption Event" has occurred. </w:t>
      </w:r>
    </w:p>
    <w:p>
      <w:pPr>
        <w:pStyle w:val="Normal"/>
        <w:numPr>
          <w:ilvl w:val="0"/>
          <w:numId w:val="11"/>
        </w:numPr>
        <w:tabs>
          <w:tab w:val="clear" w:pos="720"/>
        </w:tabs>
        <w:ind w:hanging="360" w:start="720" w:end="0"/>
        <w:rPr>
          <w:b/>
        </w:rPr>
      </w:pPr>
      <w:r>
        <w:rPr/>
        <w:t xml:space="preserve">In contrast, the definition of "Exchange Business Day" in section 3.5 of the 1997 ISDA Government Bond Option Definitions is "any day that is a trading day on the Exchange (or on each Exchange if more than one is specified) other than a day on which trading on that Exchange is scheduled to close prior to its regular weekday closing time". </w:t>
      </w:r>
    </w:p>
    <w:p>
      <w:pPr>
        <w:pStyle w:val="Normal"/>
        <w:numPr>
          <w:ilvl w:val="0"/>
          <w:numId w:val="10"/>
        </w:numPr>
        <w:rPr>
          <w:b/>
        </w:rPr>
      </w:pPr>
      <w:r>
        <w:rPr/>
        <w:t xml:space="preserve">Some transactions may include force majeure or impossibility clauses on which parties may be able to rely, although it would be necessary to look at the individual circumstances to see whether these would apply.  In general, for contracts governed by English law, it is considered difficult to argue that a financial contract has been terminated by "frustration". </w:t>
      </w:r>
    </w:p>
    <w:p>
      <w:pPr>
        <w:pStyle w:val="Normal"/>
        <w:numPr>
          <w:ilvl w:val="0"/>
          <w:numId w:val="10"/>
        </w:numPr>
        <w:rPr>
          <w:b/>
        </w:rPr>
      </w:pPr>
      <w:r>
        <w:rPr/>
        <w:t>In contrast, contracts which contain market disruption provisions need careful review. In some cases, the parties may need to take account of these provisions in determining prices or rates that are applicable under the contract. Bond underwriting agreements commonly contain provisions which allow the lead manager (often after consultation with the issuer) to terminate a transaction where changes in circumstances could prejudice the success of the offering or dealings in the secondary market. However, where closing is not imminent, we anticipate lead managers would wish to wait and see how matters develop before taking any decision on terminating transactions.</w:t>
      </w:r>
    </w:p>
    <w:p>
      <w:pPr>
        <w:pStyle w:val="Normal"/>
        <w:rPr>
          <w:i/>
          <w:i/>
        </w:rPr>
      </w:pPr>
      <w:r>
        <w:rPr>
          <w:i/>
        </w:rPr>
        <w:t>This note is intended to be comprehensive or to constitute legal advice. For more information, contact any of the members of our team co-ordinating these issues or your usual Clifford Chance contact. In London:</w:t>
      </w:r>
    </w:p>
    <w:p>
      <w:pPr>
        <w:pStyle w:val="Normal"/>
        <w:rPr>
          <w:i/>
          <w:i/>
        </w:rPr>
      </w:pPr>
      <w:r>
        <w:rPr>
          <w:i/>
        </w:rPr>
        <w:t xml:space="preserve">Chris Bates </w:t>
        <w:tab/>
        <w:tab/>
        <w:t>+44 20 7006 1041 (mobile 07785 700236)</w:t>
      </w:r>
    </w:p>
    <w:p>
      <w:pPr>
        <w:pStyle w:val="Normal"/>
        <w:rPr>
          <w:i/>
          <w:i/>
        </w:rPr>
      </w:pPr>
      <w:r>
        <w:rPr>
          <w:i/>
        </w:rPr>
        <w:t>Mark Harding</w:t>
        <w:tab/>
        <w:tab/>
        <w:t>+44 20 7006 2237 (mobile 07881 588854)</w:t>
      </w:r>
    </w:p>
    <w:p>
      <w:pPr>
        <w:pStyle w:val="Normal"/>
        <w:rPr>
          <w:i/>
          <w:i/>
        </w:rPr>
      </w:pPr>
      <w:r>
        <w:rPr>
          <w:i/>
        </w:rPr>
        <w:t>Habib Motani</w:t>
        <w:tab/>
        <w:tab/>
        <w:t>+44 20 7006 1718 (mobile 07785 700107)</w:t>
      </w:r>
    </w:p>
    <w:p>
      <w:pPr>
        <w:pStyle w:val="Normal"/>
        <w:spacing w:before="0" w:after="200"/>
        <w:rPr/>
      </w:pPr>
      <w:r>
        <w:rPr/>
      </w:r>
    </w:p>
    <w:sectPr>
      <w:headerReference w:type="default" r:id="rId2"/>
      <w:headerReference w:type="first" r:id="rId3"/>
      <w:footerReference w:type="default" r:id="rId4"/>
      <w:footerReference w:type="first" r:id="rId5"/>
      <w:type w:val="nextPage"/>
      <w:pgSz w:w="11906" w:h="16838"/>
      <w:pgMar w:left="1701" w:right="1701" w:gutter="0" w:header="720" w:top="1440" w:footer="284"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Copperplate33bc">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snapToGrid w:val="false"/>
            <w:jc w:val="start"/>
            <w:rPr/>
          </w:pPr>
          <w:r>
            <w:rPr/>
          </w:r>
        </w:p>
      </w:tc>
      <w:tc>
        <w:tcPr>
          <w:tcW w:w="2900" w:type="dxa"/>
          <w:tcBorders/>
          <w:vAlign w:val="center"/>
        </w:tcPr>
        <w:p>
          <w:pPr>
            <w:pStyle w:val="Footer"/>
            <w:jc w:val="center"/>
            <w:rPr>
              <w:sz w:val="22"/>
            </w:rPr>
          </w:pPr>
          <w:r>
            <w:rPr>
              <w:sz w:val="22"/>
              <w:lang w:val="en-CA"/>
            </w:rPr>
            <w:fldChar w:fldCharType="begin"/>
          </w:r>
          <w:r>
            <w:rPr>
              <w:sz w:val="22"/>
              <w:lang w:val="en-CA"/>
            </w:rPr>
            <w:instrText xml:space="preserve"> IF  "" ""</w:instrText>
          </w:r>
          <w:r>
            <w:rPr>
              <w:sz w:val="22"/>
              <w:lang w:val="en-CA"/>
            </w:rPr>
            <w:fldChar w:fldCharType="separate"/>
          </w:r>
          <w:r>
            <w:rPr>
              <w:sz w:val="22"/>
              <w:lang w:val="en-CA"/>
            </w:rPr>
          </w:r>
          <w:r>
            <w:rPr>
              <w:sz w:val="22"/>
              <w:lang w:val="en-CA"/>
            </w:rPr>
            <w:fldChar w:fldCharType="end"/>
          </w:r>
        </w:p>
      </w:tc>
      <w:tc>
        <w:tcPr>
          <w:tcW w:w="2900" w:type="dxa"/>
          <w:tcBorders/>
          <w:vAlign w:val="bottom"/>
        </w:tcPr>
        <w:p>
          <w:pPr>
            <w:pStyle w:val="Footer"/>
            <w:snapToGrid w:val="false"/>
            <w:jc w:val="end"/>
            <w:rPr>
              <w:sz w:val="22"/>
            </w:rPr>
          </w:pPr>
          <w:r>
            <w:rPr>
              <w:sz w:val="22"/>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snapToGrid w:val="false"/>
            <w:jc w:val="start"/>
            <w:rPr>
              <w:lang w:val="en-CA"/>
            </w:rPr>
          </w:pPr>
          <w:r>
            <w:rPr>
              <w:lang w:val="en-CA"/>
            </w:rPr>
          </w:r>
        </w:p>
      </w:tc>
      <w:tc>
        <w:tcPr>
          <w:tcW w:w="2900" w:type="dxa"/>
          <w:tcBorders/>
          <w:vAlign w:val="center"/>
        </w:tcPr>
        <w:p>
          <w:pPr>
            <w:pStyle w:val="Footer"/>
            <w:jc w:val="center"/>
            <w:rPr>
              <w:sz w:val="22"/>
              <w:lang w:val="en-CA"/>
            </w:rPr>
          </w:pPr>
          <w:r>
            <w:rPr>
              <w:sz w:val="22"/>
              <w:lang w:val="en-CA"/>
            </w:rPr>
            <w:fldChar w:fldCharType="begin"/>
          </w:r>
          <w:r>
            <w:rPr>
              <w:sz w:val="22"/>
              <w:lang w:val="en-CA"/>
            </w:rPr>
            <w:instrText xml:space="preserve"> IF  "" ""</w:instrText>
          </w:r>
          <w:r>
            <w:rPr>
              <w:sz w:val="22"/>
              <w:lang w:val="en-CA"/>
            </w:rPr>
            <w:fldChar w:fldCharType="separate"/>
          </w:r>
          <w:r>
            <w:rPr>
              <w:sz w:val="22"/>
              <w:lang w:val="en-CA"/>
            </w:rPr>
          </w:r>
          <w:r>
            <w:rPr>
              <w:sz w:val="22"/>
              <w:lang w:val="en-CA"/>
            </w:rPr>
            <w:fldChar w:fldCharType="end"/>
          </w:r>
        </w:p>
      </w:tc>
      <w:tc>
        <w:tcPr>
          <w:tcW w:w="2900" w:type="dxa"/>
          <w:tcBorders/>
          <w:vAlign w:val="bottom"/>
        </w:tcPr>
        <w:p>
          <w:pPr>
            <w:pStyle w:val="Footer"/>
            <w:snapToGrid w:val="false"/>
            <w:jc w:val="end"/>
            <w:rPr>
              <w:sz w:val="22"/>
              <w:lang w:val="en-CA"/>
            </w:rPr>
          </w:pPr>
          <w:r>
            <w:rPr>
              <w:sz w:val="22"/>
              <w:lang w:val="en-CA"/>
            </w:rPr>
          </w:r>
        </w:p>
      </w:tc>
    </w:tr>
  </w:tbl>
  <w:p>
    <w:pPr>
      <w:pStyle w:val="Footer"/>
      <w:rPr>
        <w:lang w:val="en-CA"/>
      </w:rPr>
    </w:pPr>
    <w:r>
      <w:rPr>
        <w:lang w:val="en-C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83" w:type="dxa"/>
      <w:jc w:val="start"/>
      <w:tblInd w:w="0" w:type="dxa"/>
      <w:tblLayout w:type="fixed"/>
      <w:tblCellMar>
        <w:top w:w="0" w:type="dxa"/>
        <w:start w:w="108" w:type="dxa"/>
        <w:bottom w:w="0" w:type="dxa"/>
        <w:end w:w="108" w:type="dxa"/>
      </w:tblCellMar>
    </w:tblPr>
    <w:tblGrid>
      <w:gridCol w:w="4672"/>
      <w:gridCol w:w="4111"/>
    </w:tblGrid>
    <w:tr>
      <w:trPr>
        <w:trHeight w:val="284" w:hRule="atLeast"/>
      </w:trPr>
      <w:tc>
        <w:tcPr>
          <w:tcW w:w="4672" w:type="dxa"/>
          <w:tcBorders/>
        </w:tcPr>
        <w:p>
          <w:pPr>
            <w:pStyle w:val="Header"/>
            <w:rPr>
              <w:rFonts w:ascii="Arial Black" w:hAnsi="Arial Black" w:cs="Arial Black"/>
            </w:rPr>
          </w:pPr>
          <w:r>
            <w:rPr/>
            <w:drawing>
              <wp:inline distT="0" distB="0" distL="0" distR="0">
                <wp:extent cx="1684020" cy="375920"/>
                <wp:effectExtent l="0" t="0" r="0" b="0"/>
                <wp:docPr id="1" name="CC%20small%20black%209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20small%20black%2090" descr="" title=""/>
                        <pic:cNvPicPr>
                          <a:picLocks noChangeAspect="1" noChangeArrowheads="1"/>
                        </pic:cNvPicPr>
                      </pic:nvPicPr>
                      <pic:blipFill>
                        <a:blip r:embed="rId1"/>
                        <a:srcRect l="-21" t="-96" r="-21" b="-96"/>
                        <a:stretch>
                          <a:fillRect/>
                        </a:stretch>
                      </pic:blipFill>
                      <pic:spPr bwMode="auto">
                        <a:xfrm>
                          <a:off x="0" y="0"/>
                          <a:ext cx="1684020" cy="375920"/>
                        </a:xfrm>
                        <a:prstGeom prst="rect">
                          <a:avLst/>
                        </a:prstGeom>
                        <a:noFill/>
                      </pic:spPr>
                    </pic:pic>
                  </a:graphicData>
                </a:graphic>
              </wp:inline>
            </w:drawing>
          </w:r>
        </w:p>
      </w:tc>
      <w:tc>
        <w:tcPr>
          <w:tcW w:w="4111" w:type="dxa"/>
          <w:tcBorders/>
        </w:tcPr>
        <w:p>
          <w:pPr>
            <w:pStyle w:val="Header"/>
            <w:jc w:val="end"/>
            <w:rPr>
              <w:b/>
              <w:spacing w:val="6"/>
              <w:sz w:val="11"/>
              <w:lang w:val="en-CA"/>
            </w:rPr>
          </w:pPr>
          <w:r>
            <w:rPr>
              <w:rFonts w:cs="Arial Black" w:ascii="Arial Black" w:hAnsi="Arial Black"/>
              <w:b/>
              <w:spacing w:val="6"/>
              <w:sz w:val="11"/>
              <w:lang w:val="en-CA"/>
            </w:rPr>
            <w:t>LIMITED LIABILITY PARTNERSHIP</w:t>
          </w:r>
        </w:p>
      </w:tc>
    </w:tr>
  </w:tbl>
  <w:p>
    <w:pPr>
      <w:pStyle w:val="Header"/>
      <w:spacing w:before="0" w:after="240"/>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Pr>
    </w:lvl>
    <w:lvl w:ilvl="1">
      <w:start w:val="1"/>
      <w:pStyle w:val="Heading2"/>
      <w:numFmt w:val="lowerLetter"/>
      <w:lvlText w:val="(%2)"/>
      <w:lvlJc w:val="start"/>
      <w:pPr>
        <w:tabs>
          <w:tab w:val="num" w:pos="1134"/>
        </w:tabs>
        <w:ind w:start="1134" w:hanging="510"/>
      </w:pPr>
      <w:rPr>
        <w:sz w:val="20"/>
        <w:i w:val="false"/>
        <w:b w:val="false"/>
      </w:rPr>
    </w:lvl>
    <w:lvl w:ilvl="2">
      <w:start w:val="1"/>
      <w:pStyle w:val="Heading3"/>
      <w:numFmt w:val="lowerRoman"/>
      <w:lvlText w:val="(%3)"/>
      <w:lvlJc w:val="start"/>
      <w:pPr>
        <w:tabs>
          <w:tab w:val="num" w:pos="1644"/>
        </w:tabs>
        <w:ind w:start="1644" w:hanging="510"/>
      </w:pPr>
      <w:rPr>
        <w:sz w:val="18"/>
        <w:i w:val="false"/>
        <w:b w:val="false"/>
      </w:rPr>
    </w:lvl>
    <w:lvl w:ilvl="3">
      <w:start w:val="1"/>
      <w:pStyle w:val="Heading4"/>
      <w:numFmt w:val="decimal"/>
      <w:lvlText w:val="(%4)"/>
      <w:lvlJc w:val="start"/>
      <w:pPr>
        <w:tabs>
          <w:tab w:val="num" w:pos="2154"/>
        </w:tabs>
        <w:ind w:start="2154" w:hanging="510"/>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decimal"/>
      <w:suff w:val="nothing"/>
      <w:lvlText w:val="SCHEDULE %9"/>
      <w:lvlJc w:val="start"/>
      <w:pPr>
        <w:tabs>
          <w:tab w:val="num" w:pos="0"/>
        </w:tabs>
        <w:ind w:start="0" w:hanging="0"/>
      </w:pPr>
      <w:rPr>
        <w:sz w:val="22"/>
        <w:i w:val="false"/>
        <w:b/>
      </w:rPr>
    </w:lvl>
  </w:abstractNum>
  <w:abstractNum w:abstractNumId="2">
    <w:lvl w:ilvl="0">
      <w:start w:val="1"/>
      <w:numFmt w:val="decimal"/>
      <w:lvlText w:val="(%1)"/>
      <w:lvlJc w:val="start"/>
      <w:pPr>
        <w:tabs>
          <w:tab w:val="num" w:pos="624"/>
        </w:tabs>
        <w:ind w:start="624" w:hanging="624"/>
      </w:pPr>
      <w:rPr>
        <w:sz w:val="20"/>
        <w:i w:val="false"/>
        <w:b w:val="false"/>
      </w:rPr>
    </w:lvl>
    <w:lvl w:ilvl="1">
      <w:start w:val="1"/>
      <w:numFmt w:val="decimal"/>
      <w:lvlText w:val="(%2)"/>
      <w:lvlJc w:val="start"/>
      <w:pPr>
        <w:tabs>
          <w:tab w:val="num" w:pos="1134"/>
        </w:tabs>
        <w:ind w:start="1134" w:hanging="510"/>
      </w:pPr>
      <w:rPr>
        <w:sz w:val="20"/>
        <w:i w:val="false"/>
        <w:b w:val="false"/>
      </w:rPr>
    </w:lvl>
    <w:lvl w:ilvl="2">
      <w:start w:val="1"/>
      <w:numFmt w:val="decimal"/>
      <w:lvlText w:val="(%3)"/>
      <w:lvlJc w:val="start"/>
      <w:pPr>
        <w:tabs>
          <w:tab w:val="num" w:pos="1644"/>
        </w:tabs>
        <w:ind w:start="1644" w:hanging="510"/>
      </w:pPr>
      <w:rPr>
        <w:sz w:val="20"/>
        <w:i w:val="false"/>
        <w:b w:val="false"/>
      </w:rPr>
    </w:lvl>
    <w:lvl w:ilvl="3">
      <w:start w:val="1"/>
      <w:numFmt w:val="decimal"/>
      <w:lvlText w:val="(%4)"/>
      <w:lvlJc w:val="start"/>
      <w:pPr>
        <w:tabs>
          <w:tab w:val="num" w:pos="2154"/>
        </w:tabs>
        <w:ind w:start="2154"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suff w:val="nothing"/>
      <w:lvlText w:val="SCHEDULE %9"/>
      <w:lvlJc w:val="start"/>
      <w:pPr>
        <w:tabs>
          <w:tab w:val="num" w:pos="0"/>
        </w:tabs>
        <w:ind w:start="0" w:hanging="0"/>
      </w:pPr>
      <w:rPr>
        <w:sz w:val="22"/>
        <w:i w:val="false"/>
        <w:b/>
      </w:rPr>
    </w:lvl>
  </w:abstractNum>
  <w:abstractNum w:abstractNumId="3">
    <w:lvl w:ilvl="0">
      <w:start w:val="1"/>
      <w:numFmt w:val="upperLetter"/>
      <w:lvlText w:val="(%1)"/>
      <w:lvlJc w:val="start"/>
      <w:pPr>
        <w:tabs>
          <w:tab w:val="num" w:pos="624"/>
        </w:tabs>
        <w:ind w:start="624" w:hanging="624"/>
      </w:pPr>
      <w:rPr>
        <w:sz w:val="20"/>
        <w:i w:val="false"/>
        <w:b w:val="false"/>
      </w:rPr>
    </w:lvl>
    <w:lvl w:ilvl="1">
      <w:start w:val="1"/>
      <w:numFmt w:val="upperLetter"/>
      <w:lvlText w:val="(%2)"/>
      <w:lvlJc w:val="start"/>
      <w:pPr>
        <w:tabs>
          <w:tab w:val="num" w:pos="1134"/>
        </w:tabs>
        <w:ind w:start="1134" w:hanging="510"/>
      </w:pPr>
      <w:rPr>
        <w:sz w:val="20"/>
        <w:i w:val="false"/>
        <w:b w:val="false"/>
      </w:rPr>
    </w:lvl>
    <w:lvl w:ilvl="2">
      <w:start w:val="1"/>
      <w:numFmt w:val="upperLetter"/>
      <w:lvlText w:val="(%3)"/>
      <w:lvlJc w:val="start"/>
      <w:pPr>
        <w:tabs>
          <w:tab w:val="num" w:pos="1644"/>
        </w:tabs>
        <w:ind w:start="1644" w:hanging="510"/>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suff w:val="nothing"/>
      <w:lvlText w:val="SCHEDULE %9"/>
      <w:lvlJc w:val="start"/>
      <w:pPr>
        <w:tabs>
          <w:tab w:val="num" w:pos="0"/>
        </w:tabs>
        <w:ind w:start="0" w:hanging="0"/>
      </w:pPr>
      <w:rPr>
        <w:sz w:val="22"/>
        <w:i w:val="false"/>
        <w:b/>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624"/>
        </w:tabs>
        <w:ind w:start="624" w:hanging="624"/>
      </w:pPr>
      <w:rPr>
        <w:sz w:val="18"/>
        <w:i w:val="false"/>
        <w:b w:val="false"/>
      </w:rPr>
    </w:lvl>
    <w:lvl w:ilvl="1">
      <w:start w:val="1"/>
      <w:numFmt w:val="lowerRoman"/>
      <w:lvlText w:val="(%2)"/>
      <w:lvlJc w:val="start"/>
      <w:pPr>
        <w:tabs>
          <w:tab w:val="num" w:pos="1134"/>
        </w:tabs>
        <w:ind w:start="1134" w:hanging="510"/>
      </w:pPr>
      <w:rPr>
        <w:sz w:val="18"/>
        <w:i w:val="false"/>
        <w:b w:val="false"/>
      </w:rPr>
    </w:lvl>
    <w:lvl w:ilvl="2">
      <w:start w:val="1"/>
      <w:numFmt w:val="lowerRoman"/>
      <w:lvlText w:val="(%3)"/>
      <w:lvlJc w:val="start"/>
      <w:pPr>
        <w:tabs>
          <w:tab w:val="num" w:pos="1644"/>
        </w:tabs>
        <w:ind w:start="1644" w:hanging="510"/>
      </w:pPr>
      <w:rPr>
        <w:sz w:val="18"/>
        <w:i w:val="false"/>
        <w:b w:val="false"/>
      </w:rPr>
    </w:lvl>
    <w:lvl w:ilvl="3">
      <w:start w:val="1"/>
      <w:numFmt w:val="decimal"/>
      <w:lvlText w:val="(%4)"/>
      <w:lvlJc w:val="start"/>
      <w:pPr>
        <w:tabs>
          <w:tab w:val="num" w:pos="2154"/>
        </w:tabs>
        <w:ind w:start="2154"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suff w:val="nothing"/>
      <w:lvlText w:val="SCHEDULE %9"/>
      <w:lvlJc w:val="start"/>
      <w:pPr>
        <w:tabs>
          <w:tab w:val="num" w:pos="0"/>
        </w:tabs>
        <w:ind w:start="0" w:hanging="0"/>
      </w:pPr>
      <w:rPr>
        <w:sz w:val="22"/>
        <w:i w:val="false"/>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624"/>
        </w:tabs>
        <w:ind w:start="624" w:hanging="624"/>
      </w:pPr>
      <w:rPr>
        <w:sz w:val="20"/>
        <w:i w:val="false"/>
        <w:b w:val="false"/>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154"/>
        </w:tabs>
        <w:ind w:start="2154"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suff w:val="nothing"/>
      <w:lvlText w:val="SCHEDULE %9"/>
      <w:lvlJc w:val="start"/>
      <w:pPr>
        <w:tabs>
          <w:tab w:val="num" w:pos="0"/>
        </w:tabs>
        <w:ind w:start="0" w:hanging="0"/>
      </w:pPr>
      <w:rPr>
        <w:sz w:val="22"/>
        <w:i w:val="false"/>
        <w:b/>
      </w:rPr>
    </w:lvl>
  </w:abstractNum>
  <w:abstractNum w:abstractNumId="8">
    <w:lvl w:ilvl="0">
      <w:start w:val="1"/>
      <w:numFmt w:val="lowerLetter"/>
      <w:lvlText w:val="(%1)"/>
      <w:lvlJc w:val="start"/>
      <w:pPr>
        <w:tabs>
          <w:tab w:val="num" w:pos="624"/>
        </w:tabs>
        <w:ind w:start="624" w:hanging="624"/>
      </w:pPr>
      <w:rPr>
        <w:sz w:val="20"/>
        <w:i w:val="false"/>
        <w:b w:val="false"/>
      </w:rPr>
    </w:lvl>
    <w:lvl w:ilvl="1">
      <w:start w:val="1"/>
      <w:numFmt w:val="lowerLetter"/>
      <w:lvlText w:val="(%2)"/>
      <w:lvlJc w:val="start"/>
      <w:pPr>
        <w:tabs>
          <w:tab w:val="num" w:pos="1134"/>
        </w:tabs>
        <w:ind w:start="1134" w:hanging="510"/>
      </w:pPr>
      <w:rPr>
        <w:sz w:val="20"/>
        <w:i w:val="false"/>
        <w:b w:val="false"/>
      </w:rPr>
    </w:lvl>
    <w:lvl w:ilvl="2">
      <w:start w:val="1"/>
      <w:numFmt w:val="lowerLetter"/>
      <w:lvlText w:val="(%3)"/>
      <w:lvlJc w:val="start"/>
      <w:pPr>
        <w:tabs>
          <w:tab w:val="num" w:pos="1644"/>
        </w:tabs>
        <w:ind w:start="1644" w:hanging="510"/>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suff w:val="nothing"/>
      <w:lvlText w:val="SCHEDULE %9"/>
      <w:lvlJc w:val="start"/>
      <w:pPr>
        <w:tabs>
          <w:tab w:val="num" w:pos="0"/>
        </w:tabs>
        <w:ind w:start="0" w:hanging="0"/>
      </w:pPr>
      <w:rPr>
        <w:sz w:val="22"/>
        <w:i w:val="false"/>
        <w:b/>
      </w:rPr>
    </w:lvl>
  </w:abstractNum>
  <w:abstractNum w:abstractNumId="9">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TYLE" w:val="3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BodyText"/>
    <w:qFormat/>
    <w:pPr>
      <w:numPr>
        <w:ilvl w:val="0"/>
        <w:numId w:val="1"/>
      </w:numPr>
      <w:tabs>
        <w:tab w:val="clear" w:pos="720"/>
        <w:tab w:val="left" w:pos="22" w:leader="none"/>
      </w:tabs>
      <w:outlineLvl w:val="0"/>
    </w:pPr>
    <w:rPr>
      <w:kern w:val="2"/>
    </w:rPr>
  </w:style>
  <w:style w:type="paragraph" w:styleId="Heading2">
    <w:name w:val="heading 2"/>
    <w:basedOn w:val="Normal"/>
    <w:next w:val="BodyText2"/>
    <w:qFormat/>
    <w:pPr>
      <w:numPr>
        <w:ilvl w:val="1"/>
        <w:numId w:val="1"/>
      </w:numPr>
      <w:tabs>
        <w:tab w:val="clear" w:pos="720"/>
        <w:tab w:val="left" w:pos="40" w:leader="none"/>
      </w:tabs>
      <w:outlineLvl w:val="1"/>
    </w:pPr>
    <w:rPr>
      <w:kern w:val="2"/>
    </w:rPr>
  </w:style>
  <w:style w:type="paragraph" w:styleId="Heading3">
    <w:name w:val="heading 3"/>
    <w:basedOn w:val="Normal"/>
    <w:next w:val="BodyText3"/>
    <w:qFormat/>
    <w:pPr>
      <w:numPr>
        <w:ilvl w:val="2"/>
        <w:numId w:val="1"/>
      </w:numPr>
      <w:tabs>
        <w:tab w:val="clear" w:pos="720"/>
        <w:tab w:val="left" w:pos="58" w:leader="none"/>
      </w:tabs>
      <w:outlineLvl w:val="2"/>
    </w:pPr>
    <w:rPr/>
  </w:style>
  <w:style w:type="paragraph" w:styleId="Heading4">
    <w:name w:val="heading 4"/>
    <w:basedOn w:val="Normal"/>
    <w:next w:val="BodyText4"/>
    <w:qFormat/>
    <w:pPr>
      <w:numPr>
        <w:ilvl w:val="3"/>
        <w:numId w:val="1"/>
      </w:numPr>
      <w:tabs>
        <w:tab w:val="clear" w:pos="720"/>
        <w:tab w:val="left" w:pos="76" w:leader="none"/>
      </w:tabs>
      <w:outlineLvl w:val="3"/>
    </w:pPr>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val="false"/>
      <w:i w:val="false"/>
      <w:sz w:val="20"/>
    </w:rPr>
  </w:style>
  <w:style w:type="character" w:styleId="WW8Num1z4">
    <w:name w:val="WW8Num1z4"/>
    <w:qFormat/>
    <w:rPr>
      <w:b w:val="false"/>
      <w:i w:val="false"/>
      <w:sz w:val="18"/>
    </w:rPr>
  </w:style>
  <w:style w:type="character" w:styleId="WW8Num1z8">
    <w:name w:val="WW8Num1z8"/>
    <w:qFormat/>
    <w:rPr>
      <w:b/>
      <w:i w:val="false"/>
      <w:sz w:val="22"/>
    </w:rPr>
  </w:style>
  <w:style w:type="character" w:styleId="WW8Num2z0">
    <w:name w:val="WW8Num2z0"/>
    <w:qFormat/>
    <w:rPr>
      <w:b w:val="false"/>
      <w:i w:val="false"/>
      <w:sz w:val="20"/>
    </w:rPr>
  </w:style>
  <w:style w:type="character" w:styleId="WW8Num2z4">
    <w:name w:val="WW8Num2z4"/>
    <w:qFormat/>
    <w:rPr>
      <w:b w:val="false"/>
      <w:i w:val="false"/>
      <w:sz w:val="18"/>
    </w:rPr>
  </w:style>
  <w:style w:type="character" w:styleId="WW8Num2z8">
    <w:name w:val="WW8Num2z8"/>
    <w:qFormat/>
    <w:rPr>
      <w:b/>
      <w:i w:val="false"/>
      <w:sz w:val="22"/>
    </w:rPr>
  </w:style>
  <w:style w:type="character" w:styleId="WW8Num3z0">
    <w:name w:val="WW8Num3z0"/>
    <w:qFormat/>
    <w:rPr>
      <w:b w:val="false"/>
      <w:i w:val="false"/>
      <w:sz w:val="20"/>
    </w:rPr>
  </w:style>
  <w:style w:type="character" w:styleId="WW8Num3z2">
    <w:name w:val="WW8Num3z2"/>
    <w:qFormat/>
    <w:rPr>
      <w:b w:val="false"/>
      <w:i w:val="false"/>
      <w:sz w:val="18"/>
    </w:rPr>
  </w:style>
  <w:style w:type="character" w:styleId="WW8Num3z8">
    <w:name w:val="WW8Num3z8"/>
    <w:qFormat/>
    <w:rPr>
      <w:b/>
      <w:i w:val="false"/>
      <w:sz w:val="22"/>
    </w:rPr>
  </w:style>
  <w:style w:type="character" w:styleId="WW8Num4z0">
    <w:name w:val="WW8Num4z0"/>
    <w:qFormat/>
    <w:rPr>
      <w:rFonts w:ascii="Symbol" w:hAnsi="Symbol" w:cs="Symbol"/>
    </w:rPr>
  </w:style>
  <w:style w:type="character" w:styleId="WW8Num5z0">
    <w:name w:val="WW8Num5z0"/>
    <w:qFormat/>
    <w:rPr>
      <w:b w:val="false"/>
      <w:i w:val="false"/>
      <w:sz w:val="18"/>
    </w:rPr>
  </w:style>
  <w:style w:type="character" w:styleId="WW8Num5z3">
    <w:name w:val="WW8Num5z3"/>
    <w:qFormat/>
    <w:rPr>
      <w:b w:val="false"/>
      <w:i w:val="false"/>
      <w:sz w:val="20"/>
    </w:rPr>
  </w:style>
  <w:style w:type="character" w:styleId="WW8Num5z8">
    <w:name w:val="WW8Num5z8"/>
    <w:qFormat/>
    <w:rPr>
      <w:b/>
      <w:i w:val="false"/>
      <w:sz w:val="22"/>
    </w:rPr>
  </w:style>
  <w:style w:type="character" w:styleId="WW8Num6z0">
    <w:name w:val="WW8Num6z0"/>
    <w:qFormat/>
    <w:rPr>
      <w:rFonts w:ascii="Symbol" w:hAnsi="Symbol" w:cs="Symbol"/>
    </w:rPr>
  </w:style>
  <w:style w:type="character" w:styleId="WW8Num7z0">
    <w:name w:val="WW8Num7z0"/>
    <w:qFormat/>
    <w:rPr>
      <w:b w:val="false"/>
      <w:i w:val="false"/>
      <w:sz w:val="20"/>
    </w:rPr>
  </w:style>
  <w:style w:type="character" w:styleId="WW8Num7z2">
    <w:name w:val="WW8Num7z2"/>
    <w:qFormat/>
    <w:rPr>
      <w:b w:val="false"/>
      <w:i w:val="false"/>
      <w:sz w:val="18"/>
    </w:rPr>
  </w:style>
  <w:style w:type="character" w:styleId="WW8Num7z8">
    <w:name w:val="WW8Num7z8"/>
    <w:qFormat/>
    <w:rPr>
      <w:b/>
      <w:i w:val="false"/>
      <w:sz w:val="22"/>
    </w:rPr>
  </w:style>
  <w:style w:type="character" w:styleId="WW8Num8z0">
    <w:name w:val="WW8Num8z0"/>
    <w:qFormat/>
    <w:rPr>
      <w:b w:val="false"/>
      <w:i w:val="false"/>
      <w:sz w:val="20"/>
    </w:rPr>
  </w:style>
  <w:style w:type="character" w:styleId="WW8Num8z4">
    <w:name w:val="WW8Num8z4"/>
    <w:qFormat/>
    <w:rPr>
      <w:b w:val="false"/>
      <w:i w:val="false"/>
      <w:sz w:val="18"/>
    </w:rPr>
  </w:style>
  <w:style w:type="character" w:styleId="WW8Num8z8">
    <w:name w:val="WW8Num8z8"/>
    <w:qFormat/>
    <w:rPr>
      <w:b/>
      <w:i w:val="false"/>
      <w:sz w:val="22"/>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z w:val="18"/>
    </w:rPr>
  </w:style>
  <w:style w:type="paragraph" w:styleId="Footer">
    <w:name w:val="footer"/>
    <w:basedOn w:val="Normal"/>
    <w:pPr>
      <w:spacing w:lineRule="auto" w:line="240" w:before="0" w:after="0"/>
    </w:pPr>
    <w:rPr>
      <w:sz w:val="16"/>
    </w:rPr>
  </w:style>
  <w:style w:type="paragraph" w:styleId="MEMOHEADING">
    <w:name w:val="MEMOHEADING"/>
    <w:basedOn w:val="Normal"/>
    <w:qFormat/>
    <w:pPr>
      <w:spacing w:before="0" w:after="240"/>
      <w:jc w:val="center"/>
    </w:pPr>
    <w:rPr>
      <w:rFonts w:ascii="Copperplate33bc" w:hAnsi="Copperplate33bc" w:cs="Copperplate33bc"/>
      <w:caps/>
      <w:sz w:val="36"/>
    </w:rPr>
  </w:style>
  <w:style w:type="paragraph" w:styleId="DOCHEADING">
    <w:name w:val="DOCHEADING"/>
    <w:basedOn w:val="Normal"/>
    <w:next w:val="Normal"/>
    <w:qFormat/>
    <w:pPr>
      <w:spacing w:before="0" w:after="480"/>
      <w:jc w:val="center"/>
    </w:pPr>
    <w:rPr>
      <w:rFonts w:ascii="Arial" w:hAnsi="Arial" w:cs="Arial"/>
      <w:caps/>
      <w:sz w:val="13"/>
    </w:rPr>
  </w:style>
  <w:style w:type="paragraph" w:styleId="MEMOLBL">
    <w:name w:val="MEMOLBL"/>
    <w:basedOn w:val="Normal"/>
    <w:next w:val="Normal"/>
    <w:qFormat/>
    <w:pPr>
      <w:spacing w:before="100" w:after="200"/>
    </w:pPr>
    <w:rPr>
      <w:rFonts w:ascii="Arial" w:hAnsi="Arial" w:cs="Arial"/>
      <w:caps/>
      <w:sz w:val="13"/>
    </w:rPr>
  </w:style>
  <w:style w:type="paragraph" w:styleId="MEMOTBL">
    <w:name w:val="MEMOTBL"/>
    <w:basedOn w:val="Normal"/>
    <w:qFormat/>
    <w:pPr>
      <w:spacing w:before="0" w:after="0"/>
    </w:pPr>
    <w:rPr/>
  </w:style>
  <w:style w:type="paragraph" w:styleId="BodyText2">
    <w:name w:val="Body Text 2"/>
    <w:basedOn w:val="Normal"/>
    <w:qFormat/>
    <w:pPr>
      <w:ind w:hanging="0" w:start="1134" w:end="0"/>
    </w:pPr>
    <w:rPr/>
  </w:style>
  <w:style w:type="paragraph" w:styleId="BodyText3">
    <w:name w:val="Body Text 3"/>
    <w:basedOn w:val="Normal"/>
    <w:qFormat/>
    <w:pPr>
      <w:ind w:hanging="0" w:start="1644" w:end="0"/>
    </w:pPr>
    <w:rPr/>
  </w:style>
  <w:style w:type="paragraph" w:styleId="BodyText4">
    <w:name w:val="Body Text 4"/>
    <w:basedOn w:val="Normal"/>
    <w:qFormat/>
    <w:pPr>
      <w:ind w:hanging="0" w:start="2154" w:end="0"/>
    </w:pPr>
    <w:rPr/>
  </w:style>
  <w:style w:type="paragraph" w:styleId="ListAlpha1">
    <w:name w:val="List Alpha 1"/>
    <w:basedOn w:val="Normal"/>
    <w:next w:val="BodyText"/>
    <w:qFormat/>
    <w:pPr>
      <w:numPr>
        <w:ilvl w:val="0"/>
        <w:numId w:val="8"/>
      </w:numPr>
      <w:tabs>
        <w:tab w:val="clear" w:pos="720"/>
        <w:tab w:val="left" w:pos="22" w:leader="none"/>
      </w:tabs>
    </w:pPr>
    <w:rPr/>
  </w:style>
  <w:style w:type="paragraph" w:styleId="ListAlpha2">
    <w:name w:val="List Alpha 2"/>
    <w:basedOn w:val="Normal"/>
    <w:next w:val="BodyText2"/>
    <w:qFormat/>
    <w:pPr>
      <w:numPr>
        <w:ilvl w:val="0"/>
        <w:numId w:val="8"/>
      </w:numPr>
      <w:tabs>
        <w:tab w:val="clear" w:pos="720"/>
        <w:tab w:val="left" w:pos="40" w:leader="none"/>
      </w:tabs>
    </w:pPr>
    <w:rPr/>
  </w:style>
  <w:style w:type="paragraph" w:styleId="ListAlpha3">
    <w:name w:val="List Alpha 3"/>
    <w:basedOn w:val="Normal"/>
    <w:next w:val="BodyText3"/>
    <w:qFormat/>
    <w:pPr>
      <w:numPr>
        <w:ilvl w:val="0"/>
        <w:numId w:val="8"/>
      </w:numPr>
      <w:tabs>
        <w:tab w:val="clear" w:pos="720"/>
        <w:tab w:val="left" w:pos="58" w:leader="none"/>
      </w:tabs>
    </w:pPr>
    <w:rPr/>
  </w:style>
  <w:style w:type="paragraph" w:styleId="ListALPHACAPS1">
    <w:name w:val="List ALPHA CAPS 1"/>
    <w:basedOn w:val="Normal"/>
    <w:next w:val="BodyText"/>
    <w:qFormat/>
    <w:pPr>
      <w:numPr>
        <w:ilvl w:val="0"/>
        <w:numId w:val="3"/>
      </w:numPr>
      <w:tabs>
        <w:tab w:val="clear" w:pos="720"/>
        <w:tab w:val="left" w:pos="22" w:leader="none"/>
      </w:tabs>
    </w:pPr>
    <w:rPr/>
  </w:style>
  <w:style w:type="paragraph" w:styleId="ListALPHACAPS2">
    <w:name w:val="List ALPHA CAPS 2"/>
    <w:basedOn w:val="Normal"/>
    <w:next w:val="BodyText2"/>
    <w:qFormat/>
    <w:pPr>
      <w:numPr>
        <w:ilvl w:val="0"/>
        <w:numId w:val="3"/>
      </w:numPr>
      <w:tabs>
        <w:tab w:val="clear" w:pos="720"/>
        <w:tab w:val="left" w:pos="40" w:leader="none"/>
      </w:tabs>
    </w:pPr>
    <w:rPr/>
  </w:style>
  <w:style w:type="paragraph" w:styleId="ListALPHACAPS3">
    <w:name w:val="List ALPHA CAPS 3"/>
    <w:basedOn w:val="Normal"/>
    <w:next w:val="BodyText3"/>
    <w:qFormat/>
    <w:pPr>
      <w:numPr>
        <w:ilvl w:val="0"/>
        <w:numId w:val="3"/>
      </w:numPr>
      <w:tabs>
        <w:tab w:val="clear" w:pos="720"/>
        <w:tab w:val="left" w:pos="58" w:leader="none"/>
      </w:tabs>
    </w:pPr>
    <w:rPr/>
  </w:style>
  <w:style w:type="paragraph" w:styleId="ListArabic1">
    <w:name w:val="List Arabic 1"/>
    <w:basedOn w:val="Normal"/>
    <w:next w:val="BodyText"/>
    <w:qFormat/>
    <w:pPr>
      <w:numPr>
        <w:ilvl w:val="0"/>
        <w:numId w:val="2"/>
      </w:numPr>
      <w:tabs>
        <w:tab w:val="clear" w:pos="720"/>
        <w:tab w:val="left" w:pos="22" w:leader="none"/>
      </w:tabs>
    </w:pPr>
    <w:rPr/>
  </w:style>
  <w:style w:type="paragraph" w:styleId="ListArabic2">
    <w:name w:val="List Arabic 2"/>
    <w:basedOn w:val="Normal"/>
    <w:next w:val="BodyText2"/>
    <w:qFormat/>
    <w:pPr>
      <w:numPr>
        <w:ilvl w:val="0"/>
        <w:numId w:val="2"/>
      </w:numPr>
      <w:tabs>
        <w:tab w:val="clear" w:pos="720"/>
        <w:tab w:val="left" w:pos="40" w:leader="none"/>
      </w:tabs>
    </w:pPr>
    <w:rPr/>
  </w:style>
  <w:style w:type="paragraph" w:styleId="ListArabic3">
    <w:name w:val="List Arabic 3"/>
    <w:basedOn w:val="Normal"/>
    <w:next w:val="BodyText3"/>
    <w:qFormat/>
    <w:pPr>
      <w:numPr>
        <w:ilvl w:val="0"/>
        <w:numId w:val="2"/>
      </w:numPr>
      <w:tabs>
        <w:tab w:val="clear" w:pos="720"/>
        <w:tab w:val="left" w:pos="58" w:leader="none"/>
      </w:tabs>
    </w:pPr>
    <w:rPr/>
  </w:style>
  <w:style w:type="paragraph" w:styleId="ListArabic4">
    <w:name w:val="List Arabic 4"/>
    <w:basedOn w:val="Normal"/>
    <w:next w:val="BodyText4"/>
    <w:qFormat/>
    <w:pPr>
      <w:numPr>
        <w:ilvl w:val="0"/>
        <w:numId w:val="7"/>
      </w:numPr>
      <w:tabs>
        <w:tab w:val="clear" w:pos="720"/>
        <w:tab w:val="left" w:pos="76" w:leader="none"/>
      </w:tabs>
    </w:pPr>
    <w:rPr/>
  </w:style>
  <w:style w:type="paragraph" w:styleId="ListLegal1">
    <w:name w:val="List Legal 1"/>
    <w:basedOn w:val="Normal"/>
    <w:next w:val="BodyText"/>
    <w:qFormat/>
    <w:pPr>
      <w:numPr>
        <w:ilvl w:val="0"/>
        <w:numId w:val="7"/>
      </w:numPr>
      <w:tabs>
        <w:tab w:val="clear" w:pos="720"/>
        <w:tab w:val="left" w:pos="22" w:leader="none"/>
      </w:tabs>
    </w:pPr>
    <w:rPr/>
  </w:style>
  <w:style w:type="paragraph" w:styleId="ListLegal2">
    <w:name w:val="List Legal 2"/>
    <w:basedOn w:val="Normal"/>
    <w:next w:val="BodyText"/>
    <w:qFormat/>
    <w:pPr>
      <w:numPr>
        <w:ilvl w:val="0"/>
        <w:numId w:val="7"/>
      </w:numPr>
      <w:tabs>
        <w:tab w:val="clear" w:pos="720"/>
        <w:tab w:val="left" w:pos="22" w:leader="none"/>
      </w:tabs>
    </w:pPr>
    <w:rPr/>
  </w:style>
  <w:style w:type="paragraph" w:styleId="ListLegal3">
    <w:name w:val="List Legal 3"/>
    <w:basedOn w:val="Normal"/>
    <w:next w:val="BodyText2"/>
    <w:qFormat/>
    <w:pPr>
      <w:numPr>
        <w:ilvl w:val="0"/>
        <w:numId w:val="7"/>
      </w:numPr>
      <w:tabs>
        <w:tab w:val="clear" w:pos="720"/>
        <w:tab w:val="left" w:pos="40" w:leader="none"/>
      </w:tabs>
    </w:pPr>
    <w:rPr/>
  </w:style>
  <w:style w:type="paragraph" w:styleId="ListRoman1">
    <w:name w:val="List Roman 1"/>
    <w:basedOn w:val="Normal"/>
    <w:next w:val="BodyText"/>
    <w:qFormat/>
    <w:pPr>
      <w:numPr>
        <w:ilvl w:val="0"/>
        <w:numId w:val="5"/>
      </w:numPr>
      <w:tabs>
        <w:tab w:val="clear" w:pos="720"/>
        <w:tab w:val="left" w:pos="22" w:leader="none"/>
      </w:tabs>
    </w:pPr>
    <w:rPr/>
  </w:style>
  <w:style w:type="paragraph" w:styleId="ListRoman2">
    <w:name w:val="List Roman 2"/>
    <w:basedOn w:val="Normal"/>
    <w:next w:val="BodyText2"/>
    <w:qFormat/>
    <w:pPr>
      <w:numPr>
        <w:ilvl w:val="0"/>
        <w:numId w:val="5"/>
      </w:numPr>
      <w:tabs>
        <w:tab w:val="clear" w:pos="720"/>
        <w:tab w:val="left" w:pos="40" w:leader="none"/>
      </w:tabs>
    </w:pPr>
    <w:rPr/>
  </w:style>
  <w:style w:type="paragraph" w:styleId="ListRoman3">
    <w:name w:val="List Roman 3"/>
    <w:basedOn w:val="Normal"/>
    <w:next w:val="BodyText3"/>
    <w:qFormat/>
    <w:pPr>
      <w:numPr>
        <w:ilvl w:val="0"/>
        <w:numId w:val="5"/>
      </w:numPr>
      <w:tabs>
        <w:tab w:val="clear" w:pos="720"/>
        <w:tab w:val="left" w:pos="58" w:leader="none"/>
      </w:tabs>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BodyText5">
    <w:name w:val="Body Text 5"/>
    <w:basedOn w:val="Normal"/>
    <w:qFormat/>
    <w:pPr>
      <w:ind w:hanging="0" w:start="2948" w:end="0"/>
    </w:pPr>
    <w:rPr/>
  </w:style>
  <w:style w:type="paragraph" w:styleId="ScheduleHeading">
    <w:name w:val="Schedule Heading"/>
    <w:basedOn w:val="Normal"/>
    <w:next w:val="Normal"/>
    <w:qFormat/>
    <w:pPr>
      <w:jc w:val="center"/>
    </w:pPr>
    <w:rPr>
      <w:b/>
      <w:smallCaps/>
    </w:rPr>
  </w:style>
  <w:style w:type="paragraph" w:styleId="NotesAlpha">
    <w:name w:val="Notes Alpha"/>
    <w:basedOn w:val="Normal"/>
    <w:qFormat/>
    <w:pPr>
      <w:numPr>
        <w:ilvl w:val="0"/>
        <w:numId w:val="9"/>
      </w:numPr>
      <w:spacing w:before="0" w:after="100"/>
    </w:pPr>
    <w:rPr/>
  </w:style>
  <w:style w:type="paragraph" w:styleId="NotesArabic">
    <w:name w:val="Notes Arabic"/>
    <w:basedOn w:val="Normal"/>
    <w:qFormat/>
    <w:pPr>
      <w:numPr>
        <w:ilvl w:val="0"/>
        <w:numId w:val="9"/>
      </w:numPr>
      <w:spacing w:before="0" w:after="100"/>
    </w:pPr>
    <w:rPr/>
  </w:style>
  <w:style w:type="paragraph" w:styleId="NotesRoman">
    <w:name w:val="Notes Roman"/>
    <w:basedOn w:val="Normal"/>
    <w:qFormat/>
    <w:pPr>
      <w:numPr>
        <w:ilvl w:val="0"/>
        <w:numId w:val="9"/>
      </w:numPr>
      <w:tabs>
        <w:tab w:val="clear" w:pos="720"/>
        <w:tab w:val="left" w:pos="624" w:leader="none"/>
      </w:tabs>
      <w:spacing w:before="0" w:after="100"/>
    </w:pPr>
    <w:rPr/>
  </w:style>
  <w:style w:type="paragraph" w:styleId="RightTab">
    <w:name w:val="Right Tab"/>
    <w:basedOn w:val="Normal"/>
    <w:next w:val="Normal"/>
    <w:qFormat/>
    <w:pPr>
      <w:tabs>
        <w:tab w:val="clear" w:pos="720"/>
        <w:tab w:val="right" w:pos="8505" w:leader="none"/>
      </w:tabs>
      <w:spacing w:before="0" w:after="10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200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2001-09-12T09:06:00Z</dcterms:created>
  <dc:creator>Chris Bates</dc:creator>
  <dc:description/>
  <dc:language>en-CA</dc:language>
  <cp:lastModifiedBy>Chris Bates</cp:lastModifiedBy>
  <cp:lastPrinted>1999-10-26T11:32:00Z</cp:lastPrinted>
  <dcterms:modified xsi:type="dcterms:W3CDTF">2001-09-12T13:19:00Z</dcterms:modified>
  <cp:revision>1</cp:revision>
  <dc:subject/>
  <dc:title>Clifford Chance</dc:title>
</cp:coreProperties>
</file>