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1"/>
          <w:numId w:val="9"/>
        </w:numPr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Investment Merits of Projects (LV Cogen and LV Cogen II)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Heading1"/>
        <w:ind w:hanging="0" w:start="0"/>
        <w:rPr/>
      </w:pPr>
      <w:r>
        <w:rPr/>
        <w:t>Strategic Location</w:t>
      </w:r>
    </w:p>
    <w:p>
      <w:pPr>
        <w:pStyle w:val="Normal"/>
        <w:numPr>
          <w:ilvl w:val="0"/>
          <w:numId w:val="10"/>
        </w:numPr>
        <w:rPr>
          <w:rFonts w:ascii="Arial" w:hAnsi="Arial" w:cs="Arial"/>
        </w:rPr>
      </w:pPr>
      <w:r>
        <w:rPr>
          <w:rFonts w:cs="Arial" w:ascii="Arial" w:hAnsi="Arial"/>
        </w:rPr>
        <w:t>The plant is located in North Las Vegas, Nevada, the fastest growing city in the United States (Las Vegas)</w:t>
      </w:r>
    </w:p>
    <w:p>
      <w:pPr>
        <w:pStyle w:val="Normal"/>
        <w:numPr>
          <w:ilvl w:val="0"/>
          <w:numId w:val="10"/>
        </w:numPr>
        <w:rPr>
          <w:rFonts w:ascii="Arial" w:hAnsi="Arial" w:cs="Arial"/>
        </w:rPr>
      </w:pPr>
      <w:r>
        <w:rPr>
          <w:rFonts w:cs="Arial" w:ascii="Arial" w:hAnsi="Arial"/>
        </w:rPr>
        <w:t>It is anticipated that the Nevada market will open in November 2000, creating a range of opportunities to sell excess power and ancillary services</w:t>
      </w:r>
    </w:p>
    <w:p>
      <w:pPr>
        <w:pStyle w:val="Normal"/>
        <w:numPr>
          <w:ilvl w:val="0"/>
          <w:numId w:val="10"/>
        </w:numPr>
        <w:rPr>
          <w:rFonts w:ascii="Arial" w:hAnsi="Arial" w:cs="Arial"/>
        </w:rPr>
      </w:pPr>
      <w:r>
        <w:rPr>
          <w:rFonts w:cs="Arial" w:ascii="Arial" w:hAnsi="Arial"/>
        </w:rPr>
        <w:t>Given the projects strategic proximity to Meade, Nevada and California markets, it will have the optionality to sell merchant power into all three markets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r>
        <w:rPr/>
        <w:t>Existing Merchant Capacity Anchored by Existing PPA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LVCLP enjoys the financial stability associated with an anchor PPA and the upside of selling excess megawatts into nearby power markets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r>
        <w:rPr/>
        <w:t>PPA Restructuring</w:t>
      </w:r>
    </w:p>
    <w:p>
      <w:pPr>
        <w:pStyle w:val="Normal"/>
        <w:numPr>
          <w:ilvl w:val="0"/>
          <w:numId w:val="11"/>
        </w:numPr>
        <w:rPr>
          <w:rFonts w:ascii="Arial" w:hAnsi="Arial" w:cs="Arial"/>
        </w:rPr>
      </w:pPr>
      <w:r>
        <w:rPr>
          <w:rFonts w:cs="Arial" w:ascii="Arial" w:hAnsi="Arial"/>
        </w:rPr>
        <w:t>ENA has had several conversations with Nevada Power, who has expressed an interest in granting LVCLP delivery point flexibility</w:t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Renegotiation would give LVCLP the optionality to fullfill its obligation under the PPA either through market purchases or self-generation.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r>
        <w:rPr/>
        <w:t>Expansion in Advanced Stage of Development</w:t>
      </w:r>
    </w:p>
    <w:p>
      <w:pPr>
        <w:pStyle w:val="Normal"/>
        <w:numPr>
          <w:ilvl w:val="0"/>
          <w:numId w:val="8"/>
        </w:numPr>
        <w:rPr>
          <w:rFonts w:ascii="Arial" w:hAnsi="Arial" w:cs="Arial"/>
        </w:rPr>
      </w:pPr>
      <w:r>
        <w:rPr>
          <w:rFonts w:cs="Arial" w:ascii="Arial" w:hAnsi="Arial"/>
        </w:rPr>
        <w:t>ENA is in the advanced stages of development of LVCII</w:t>
      </w:r>
    </w:p>
    <w:p>
      <w:pPr>
        <w:pStyle w:val="Normal"/>
        <w:numPr>
          <w:ilvl w:val="0"/>
          <w:numId w:val="8"/>
        </w:numPr>
        <w:rPr>
          <w:rFonts w:ascii="Arial" w:hAnsi="Arial" w:cs="Arial"/>
        </w:rPr>
      </w:pPr>
      <w:r>
        <w:rPr>
          <w:rFonts w:cs="Arial" w:ascii="Arial" w:hAnsi="Arial"/>
        </w:rPr>
        <w:t>LVCII’s Air Permit was deemed complete by the ADCD on June 9, 2000</w:t>
      </w:r>
    </w:p>
    <w:p>
      <w:pPr>
        <w:pStyle w:val="Normal"/>
        <w:numPr>
          <w:ilvl w:val="0"/>
          <w:numId w:val="8"/>
        </w:numPr>
        <w:rPr>
          <w:rFonts w:ascii="Arial" w:hAnsi="Arial" w:cs="Arial"/>
        </w:rPr>
      </w:pPr>
      <w:r>
        <w:rPr>
          <w:rFonts w:cs="Arial" w:ascii="Arial" w:hAnsi="Arial"/>
        </w:rPr>
        <w:t>ENA expects approval of the Air Permit by November of 2000</w:t>
      </w:r>
    </w:p>
    <w:p>
      <w:pPr>
        <w:pStyle w:val="Normal"/>
        <w:numPr>
          <w:ilvl w:val="0"/>
          <w:numId w:val="5"/>
        </w:numPr>
        <w:rPr>
          <w:rFonts w:ascii="Arial" w:hAnsi="Arial" w:cs="Arial"/>
        </w:rPr>
      </w:pPr>
      <w:r>
        <w:rPr>
          <w:rFonts w:cs="Arial" w:ascii="Arial" w:hAnsi="Arial"/>
        </w:rPr>
        <w:t>Turnkey bids have been submitted and a limited notice to proceed will be issued on September 1, 2000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r>
        <w:rPr/>
        <w:t>Firm Commitment for Turbine Schedule</w:t>
      </w:r>
    </w:p>
    <w:p>
      <w:pPr>
        <w:pStyle w:val="Normal"/>
        <w:numPr>
          <w:ilvl w:val="0"/>
          <w:numId w:val="6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The contract for the LM 6000s was signed with GE on </w:t>
      </w:r>
      <w:r>
        <w:rPr>
          <w:rFonts w:cs="Arial" w:ascii="Arial" w:hAnsi="Arial"/>
          <w:highlight w:val="yellow"/>
        </w:rPr>
        <w:t>____</w:t>
      </w:r>
      <w:r>
        <w:rPr>
          <w:rFonts w:cs="Arial" w:ascii="Arial" w:hAnsi="Arial"/>
        </w:rPr>
        <w:t xml:space="preserve"> and they are scheduled for delivery to support a March 2002 commercial operations date</w:t>
      </w:r>
    </w:p>
    <w:p>
      <w:pPr>
        <w:pStyle w:val="Normal"/>
        <w:numPr>
          <w:ilvl w:val="0"/>
          <w:numId w:val="6"/>
        </w:numPr>
        <w:rPr>
          <w:rFonts w:ascii="Arial" w:hAnsi="Arial" w:cs="Arial"/>
        </w:rPr>
      </w:pPr>
      <w:r>
        <w:rPr>
          <w:rFonts w:cs="Arial" w:ascii="Arial" w:hAnsi="Arial"/>
        </w:rPr>
        <w:t>As availability of turbines is expected to be severely limited during the next few years, any project under development without firm rights to equipment is at risk of substantial delays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r>
        <w:rPr/>
        <w:t>Significant Barriers to Entry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cs="Arial" w:ascii="Arial" w:hAnsi="Arial"/>
        </w:rPr>
        <w:t>ENA believes that there are significant barriers that confront any potential power plant development in the region, including: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Arial" w:hAnsi="Arial" w:cs="Arial"/>
          <w:b/>
          <w:sz w:val="24"/>
        </w:rPr>
      </w:pPr>
      <w:r>
        <w:rPr>
          <w:rFonts w:cs="Arial" w:ascii="Arial" w:hAnsi="Arial"/>
        </w:rPr>
        <w:t>access to water rights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Arial" w:hAnsi="Arial" w:cs="Arial"/>
          <w:b/>
        </w:rPr>
      </w:pPr>
      <w:r>
        <w:rPr>
          <w:rFonts w:cs="Arial" w:ascii="Arial" w:hAnsi="Arial"/>
        </w:rPr>
        <w:t>air quality standards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Arial" w:hAnsi="Arial" w:cs="Arial"/>
          <w:b/>
        </w:rPr>
      </w:pPr>
      <w:r>
        <w:rPr>
          <w:rFonts w:cs="Arial" w:ascii="Arial" w:hAnsi="Arial"/>
        </w:rPr>
        <w:t>access to industrially zoned property and existing transmission interconnections and substations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Arial" w:hAnsi="Arial" w:cs="Arial"/>
          <w:b/>
        </w:rPr>
      </w:pPr>
      <w:r>
        <w:rPr>
          <w:rFonts w:cs="Arial" w:ascii="Arial" w:hAnsi="Arial"/>
        </w:rPr>
        <w:t>availability of turbines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Arial" w:hAnsi="Arial" w:cs="Arial"/>
          <w:b/>
        </w:rPr>
      </w:pPr>
      <w:r>
        <w:rPr>
          <w:rFonts w:cs="Arial" w:ascii="Arial" w:hAnsi="Arial"/>
        </w:rPr>
        <w:t>environmental concerns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1"/>
        <w:ind w:hanging="0" w:start="0"/>
        <w:rPr/>
      </w:pPr>
      <w:r>
        <w:rPr/>
        <w:t>Experienced Project Sponsor</w:t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Enron, through its Wholesale Energy Operations and Services businesses, which includes ENA, is a leader in developing, constructing and operating energy-related infrastructure Projects worldwide</w:t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ENA is the clear market leader in commodity delivery and risk management, supported by extensive physical natural gas transportation, storage and electric interchange capabilities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3"/>
      <w:numFmt w:val="decimal"/>
      <w:lvlText w:val="%1"/>
      <w:lvlJc w:val="start"/>
      <w:pPr>
        <w:tabs>
          <w:tab w:val="num" w:pos="555"/>
        </w:tabs>
        <w:ind w:start="555" w:hanging="555"/>
      </w:pPr>
      <w:rPr/>
    </w:lvl>
    <w:lvl w:ilvl="1">
      <w:start w:val="1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1080"/>
        </w:tabs>
        <w:ind w:start="1080" w:hanging="1080"/>
      </w:pPr>
      <w:rPr/>
    </w:lvl>
    <w:lvl w:ilvl="4">
      <w:start w:val="1"/>
      <w:numFmt w:val="decimal"/>
      <w:lvlText w:val="%1.%2.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1800"/>
        </w:tabs>
        <w:ind w:start="1800" w:hanging="180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800"/>
        </w:tabs>
        <w:ind w:start="1800" w:hanging="180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2160"/>
        </w:tabs>
        <w:ind w:start="2160" w:hanging="2160"/>
      </w:pPr>
      <w:rPr/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2000-08-24T22:09:00Z</dcterms:created>
  <dc:creator>Ben Rogers</dc:creator>
  <dc:description/>
  <dc:language>en-CA</dc:language>
  <cp:lastModifiedBy>Ben Rogers</cp:lastModifiedBy>
  <dcterms:modified xsi:type="dcterms:W3CDTF">2000-08-25T10:33:00Z</dcterms:modified>
  <cp:revision>7</cp:revision>
  <dc:subject/>
  <dc:title>3</dc:title>
</cp:coreProperties>
</file>