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bin" ContentType="application/vnd.openxmlformats-officedocument.oleObject"/>
  <Override PartName="/word/embeddings/oleObject2.pptx" ContentType="application/vnd.openxmlformats-officedocument.presentationml.presentation"/>
  <Override PartName="/word/embeddings/oleObject3.bin" ContentType="application/vnd.openxmlformats-officedocument.oleObject"/>
  <Override PartName="/word/media/image1.png" ContentType="image/png"/>
  <Override PartName="/word/media/image2.wmf" ContentType="image/x-wmf"/>
  <Override PartName="/word/media/image3.png" ContentType="image/png"/>
  <Override PartName="/word/media/image4.wmf" ContentType="image/x-wmf"/>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sz w:val="36"/>
        </w:rPr>
      </w:pPr>
      <w:r>
        <w:rPr>
          <w:rFonts w:cs="Arial" w:ascii="Arial" w:hAnsi="Arial"/>
          <w:b/>
          <w:sz w:val="36"/>
        </w:rPr>
        <w:t>3-B. Project LV</w:t>
      </w:r>
    </w:p>
    <w:p>
      <w:pPr>
        <w:pStyle w:val="Normal"/>
        <w:rPr>
          <w:rFonts w:ascii="Arial" w:hAnsi="Arial" w:cs="Arial"/>
          <w:b/>
          <w:sz w:val="32"/>
        </w:rPr>
      </w:pPr>
      <w:r>
        <w:rPr>
          <w:rFonts w:cs="Arial" w:ascii="Arial" w:hAnsi="Arial"/>
          <w:b/>
          <w:sz w:val="32"/>
        </w:rPr>
      </w:r>
    </w:p>
    <w:p>
      <w:pPr>
        <w:pStyle w:val="TableImpColHd"/>
        <w:keepNext w:val="false"/>
        <w:keepLines w:val="false"/>
        <w:spacing w:before="0" w:after="0"/>
        <w:rPr>
          <w:kern w:val="0"/>
        </w:rPr>
      </w:pPr>
      <w:r>
        <w:rPr>
          <w:kern w:val="0"/>
        </w:rPr>
        <w:t>3-B-I. Investment Merits of Project LV</w:t>
      </w:r>
    </w:p>
    <w:p>
      <w:pPr>
        <w:pStyle w:val="Normal"/>
        <w:rPr>
          <w:kern w:val="0"/>
        </w:rPr>
      </w:pPr>
      <w:r>
        <w:rPr>
          <w:kern w:val="0"/>
        </w:rPr>
      </w:r>
    </w:p>
    <w:p>
      <w:pPr>
        <w:pStyle w:val="Sub0"/>
        <w:spacing w:before="120" w:after="0"/>
        <w:ind w:firstLine="720" w:start="720" w:end="0"/>
        <w:rPr/>
      </w:pPr>
      <w:r>
        <w:rPr/>
        <w:t>Strategic Location</w:t>
      </w:r>
    </w:p>
    <w:p>
      <w:pPr>
        <w:pStyle w:val="A0b"/>
        <w:numPr>
          <w:ilvl w:val="0"/>
          <w:numId w:val="7"/>
        </w:numPr>
        <w:spacing w:before="120" w:after="0"/>
        <w:ind w:hanging="0" w:start="0"/>
        <w:rPr/>
      </w:pPr>
      <w:r>
        <w:rPr/>
        <w:t>Project LV is located in North Las Vegas, Nevada, 5 miles from Las Vegas, the fastest growing city in the United States</w:t>
      </w:r>
    </w:p>
    <w:p>
      <w:pPr>
        <w:pStyle w:val="A0b"/>
        <w:numPr>
          <w:ilvl w:val="0"/>
          <w:numId w:val="7"/>
        </w:numPr>
        <w:spacing w:before="120" w:after="0"/>
        <w:ind w:hanging="0" w:start="0"/>
        <w:rPr/>
      </w:pPr>
      <w:r>
        <w:rPr/>
        <w:t>The Nevada power market will open for many classes of customers on November 1, 2000, creating a range of opportunities to sell excess power and ancillary services</w:t>
      </w:r>
    </w:p>
    <w:p>
      <w:pPr>
        <w:pStyle w:val="A0b"/>
        <w:numPr>
          <w:ilvl w:val="0"/>
          <w:numId w:val="7"/>
        </w:numPr>
        <w:spacing w:before="120" w:after="0"/>
        <w:ind w:hanging="0" w:start="0"/>
        <w:rPr/>
      </w:pPr>
      <w:r>
        <w:rPr/>
        <w:t>Given the projects’ strategic proximity to the Mead, Nevada markets and the California SP-15, they will have the optionality to sell merchant power into multiple markets</w:t>
      </w:r>
    </w:p>
    <w:p>
      <w:pPr>
        <w:pStyle w:val="Sub0"/>
        <w:spacing w:before="120" w:after="0"/>
        <w:rPr>
          <w:sz w:val="20"/>
        </w:rPr>
      </w:pPr>
      <w:r>
        <w:rPr>
          <w:sz w:val="20"/>
        </w:rPr>
      </w:r>
    </w:p>
    <w:p>
      <w:pPr>
        <w:pStyle w:val="Sub0"/>
        <w:spacing w:before="120" w:after="0"/>
        <w:rPr/>
      </w:pPr>
      <w:r>
        <w:rPr/>
        <w:t>Existing Merchant Capacity Anchored by Existing PPA</w:t>
      </w:r>
    </w:p>
    <w:p>
      <w:pPr>
        <w:pStyle w:val="A0b"/>
        <w:numPr>
          <w:ilvl w:val="0"/>
          <w:numId w:val="7"/>
        </w:numPr>
        <w:spacing w:before="120" w:after="0"/>
        <w:ind w:hanging="0" w:start="0"/>
        <w:rPr/>
      </w:pPr>
      <w:r>
        <w:rPr/>
        <w:t>LV Cogen enjoys the financial stability associated with LV Cogen’s PPA with Nevada Power and the upside of selling excess megawatts into nearby power markets</w:t>
      </w:r>
    </w:p>
    <w:p>
      <w:pPr>
        <w:pStyle w:val="Sub0"/>
        <w:spacing w:before="120" w:after="0"/>
        <w:rPr>
          <w:sz w:val="20"/>
        </w:rPr>
      </w:pPr>
      <w:r>
        <w:rPr>
          <w:sz w:val="20"/>
        </w:rPr>
      </w:r>
    </w:p>
    <w:p>
      <w:pPr>
        <w:pStyle w:val="Sub0"/>
        <w:spacing w:before="120" w:after="0"/>
        <w:rPr/>
      </w:pPr>
      <w:r>
        <w:rPr/>
        <w:t>PPA Restructuring</w:t>
      </w:r>
    </w:p>
    <w:p>
      <w:pPr>
        <w:pStyle w:val="A0b"/>
        <w:numPr>
          <w:ilvl w:val="0"/>
          <w:numId w:val="7"/>
        </w:numPr>
        <w:spacing w:before="120" w:after="0"/>
        <w:ind w:hanging="0" w:start="0"/>
        <w:rPr/>
      </w:pPr>
      <w:r>
        <w:rPr/>
        <w:t>Enron North America has had several conversations with Nevada Power, who has expressed an interest in granting LV Cogen delivery point flexibility giving LV Cogen the optionality to fulfill its obligation under the PPA either through market purchases or self-generation</w:t>
      </w:r>
    </w:p>
    <w:p>
      <w:pPr>
        <w:pStyle w:val="A0b"/>
        <w:numPr>
          <w:ilvl w:val="0"/>
          <w:numId w:val="7"/>
        </w:numPr>
        <w:spacing w:before="120" w:after="0"/>
        <w:ind w:hanging="0" w:start="0"/>
        <w:rPr/>
      </w:pPr>
      <w:r>
        <w:rPr/>
        <w:t>The restructuring efforts with Nevada Power have also focused on the elimination of the QF requirement for LV Cogen</w:t>
      </w:r>
    </w:p>
    <w:p>
      <w:pPr>
        <w:pStyle w:val="Sub0"/>
        <w:spacing w:before="120" w:after="0"/>
        <w:rPr>
          <w:sz w:val="20"/>
        </w:rPr>
      </w:pPr>
      <w:r>
        <w:rPr>
          <w:sz w:val="20"/>
        </w:rPr>
      </w:r>
    </w:p>
    <w:p>
      <w:pPr>
        <w:pStyle w:val="Sub0"/>
        <w:spacing w:before="120" w:after="0"/>
        <w:rPr/>
      </w:pPr>
      <w:r>
        <w:rPr/>
        <w:t>Expansion in Advanced Stage of Development</w:t>
      </w:r>
    </w:p>
    <w:p>
      <w:pPr>
        <w:pStyle w:val="A0b"/>
        <w:numPr>
          <w:ilvl w:val="0"/>
          <w:numId w:val="7"/>
        </w:numPr>
        <w:spacing w:before="120" w:after="0"/>
        <w:ind w:hanging="0" w:start="0"/>
        <w:rPr/>
      </w:pPr>
      <w:r>
        <w:rPr/>
        <w:t>Enron North America is in the advanced stages of development of LV Cogen II</w:t>
      </w:r>
    </w:p>
    <w:p>
      <w:pPr>
        <w:pStyle w:val="A0b"/>
        <w:numPr>
          <w:ilvl w:val="0"/>
          <w:numId w:val="7"/>
        </w:numPr>
        <w:spacing w:before="120" w:after="0"/>
        <w:ind w:hanging="0" w:start="0"/>
        <w:rPr/>
      </w:pPr>
      <w:r>
        <w:rPr/>
        <w:t>LV Cogen II’s Air Permit was deemed complete by the Air Pollution Control District on June 9, 2000 and expects approval of the Air Permit by November 2000</w:t>
      </w:r>
    </w:p>
    <w:p>
      <w:pPr>
        <w:pStyle w:val="A0b"/>
        <w:numPr>
          <w:ilvl w:val="0"/>
          <w:numId w:val="7"/>
        </w:numPr>
        <w:spacing w:before="120" w:after="0"/>
        <w:ind w:hanging="0" w:start="0"/>
        <w:rPr/>
      </w:pPr>
      <w:r>
        <w:rPr/>
        <w:t>Turnkey construction bids have been submitted and a limited notice to proceed will be issued in September 2000</w:t>
      </w:r>
    </w:p>
    <w:p>
      <w:pPr>
        <w:pStyle w:val="Sub0"/>
        <w:spacing w:before="120" w:after="0"/>
        <w:rPr>
          <w:sz w:val="20"/>
        </w:rPr>
      </w:pPr>
      <w:r>
        <w:rPr>
          <w:sz w:val="20"/>
        </w:rPr>
      </w:r>
    </w:p>
    <w:p>
      <w:pPr>
        <w:pStyle w:val="Sub0"/>
        <w:spacing w:before="120" w:after="0"/>
        <w:rPr/>
      </w:pPr>
      <w:r>
        <w:rPr/>
        <w:t>Firm Commitment for Turbine Schedule</w:t>
      </w:r>
    </w:p>
    <w:p>
      <w:pPr>
        <w:pStyle w:val="A0b"/>
        <w:numPr>
          <w:ilvl w:val="0"/>
          <w:numId w:val="7"/>
        </w:numPr>
        <w:spacing w:before="120" w:after="0"/>
        <w:ind w:hanging="0" w:start="0"/>
        <w:rPr>
          <w:b/>
          <w:sz w:val="28"/>
        </w:rPr>
      </w:pPr>
      <w:r>
        <w:rPr/>
        <w:t>The contract for the four (4) LM 6000 turbines has been signed with GE and the turbine delivery schedule allows for a March 2002 commercial operations date</w:t>
      </w:r>
    </w:p>
    <w:p>
      <w:pPr>
        <w:pStyle w:val="Sub0"/>
        <w:spacing w:before="120" w:after="0"/>
        <w:rPr/>
      </w:pPr>
      <w:r>
        <w:rPr/>
        <w:t>Significant Barriers to Entry</w:t>
      </w:r>
    </w:p>
    <w:p>
      <w:pPr>
        <w:pStyle w:val="A0b"/>
        <w:numPr>
          <w:ilvl w:val="0"/>
          <w:numId w:val="7"/>
        </w:numPr>
        <w:spacing w:before="120" w:after="0"/>
        <w:ind w:hanging="0" w:start="0"/>
        <w:rPr/>
      </w:pPr>
      <w:r>
        <w:rPr/>
        <w:t>ENA believes that LV Cogen has been able to overcome significant barriers that confront potential power plant development in the region, including</w:t>
      </w:r>
    </w:p>
    <w:p>
      <w:pPr>
        <w:pStyle w:val="A0bbox"/>
        <w:numPr>
          <w:ilvl w:val="0"/>
          <w:numId w:val="2"/>
        </w:numPr>
        <w:spacing w:before="120" w:after="0"/>
        <w:ind w:hanging="360" w:start="2700" w:end="0"/>
        <w:rPr/>
      </w:pPr>
      <w:r>
        <w:rPr/>
        <w:t>access to water rights</w:t>
      </w:r>
    </w:p>
    <w:p>
      <w:pPr>
        <w:pStyle w:val="A0bbox"/>
        <w:numPr>
          <w:ilvl w:val="0"/>
          <w:numId w:val="2"/>
        </w:numPr>
        <w:spacing w:before="120" w:after="0"/>
        <w:ind w:hanging="360" w:start="2700" w:end="0"/>
        <w:rPr/>
      </w:pPr>
      <w:r>
        <w:rPr/>
        <w:t>air quality standards</w:t>
      </w:r>
    </w:p>
    <w:p>
      <w:pPr>
        <w:pStyle w:val="A0bbox"/>
        <w:numPr>
          <w:ilvl w:val="0"/>
          <w:numId w:val="2"/>
        </w:numPr>
        <w:spacing w:before="120" w:after="0"/>
        <w:ind w:hanging="360" w:start="2700" w:end="0"/>
        <w:rPr/>
      </w:pPr>
      <w:r>
        <w:rPr/>
        <w:t>access to industrially zoned property and existing transmission interconnections and substations</w:t>
      </w:r>
    </w:p>
    <w:p>
      <w:pPr>
        <w:pStyle w:val="A0bbox"/>
        <w:numPr>
          <w:ilvl w:val="0"/>
          <w:numId w:val="2"/>
        </w:numPr>
        <w:spacing w:before="120" w:after="0"/>
        <w:ind w:hanging="360" w:start="2700" w:end="0"/>
        <w:rPr/>
      </w:pPr>
      <w:r>
        <w:rPr/>
        <w:t>availability of turbines</w:t>
      </w:r>
    </w:p>
    <w:p>
      <w:pPr>
        <w:pStyle w:val="A0bbox"/>
        <w:numPr>
          <w:ilvl w:val="0"/>
          <w:numId w:val="2"/>
        </w:numPr>
        <w:spacing w:before="120" w:after="0"/>
        <w:ind w:hanging="360" w:start="2700" w:end="0"/>
        <w:rPr/>
      </w:pPr>
      <w:r>
        <w:rPr/>
        <w:t>environmental concerns</w:t>
      </w:r>
    </w:p>
    <w:p>
      <w:pPr>
        <w:pStyle w:val="A0b"/>
        <w:numPr>
          <w:ilvl w:val="0"/>
          <w:numId w:val="0"/>
        </w:numPr>
        <w:ind w:hanging="0" w:start="0"/>
        <w:rPr/>
      </w:pPr>
      <w:r>
        <w:rPr/>
      </w:r>
    </w:p>
    <w:p>
      <w:pPr>
        <w:pStyle w:val="TableImpColHd"/>
        <w:keepNext w:val="false"/>
        <w:keepLines w:val="false"/>
        <w:spacing w:before="0" w:after="0"/>
        <w:rPr>
          <w:kern w:val="0"/>
        </w:rPr>
      </w:pPr>
      <w:r>
        <w:rPr>
          <w:kern w:val="0"/>
        </w:rPr>
      </w:r>
    </w:p>
    <w:p>
      <w:pPr>
        <w:pStyle w:val="Normal"/>
        <w:rPr>
          <w:rFonts w:ascii="Arial" w:hAnsi="Arial" w:cs="Arial"/>
          <w:b/>
          <w:kern w:val="0"/>
          <w:sz w:val="32"/>
        </w:rPr>
      </w:pPr>
      <w:r>
        <w:rPr>
          <w:rFonts w:cs="Arial" w:ascii="Arial" w:hAnsi="Arial"/>
          <w:b/>
          <w:kern w:val="0"/>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3-B-II. Location of Project LV</w:t>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Heading1"/>
        <w:ind w:hanging="0" w:start="0"/>
        <w:rPr/>
      </w:pPr>
      <w:r>
        <w:rPr/>
        <w:t>“</w:t>
      </w:r>
      <w:r>
        <w:rPr/>
        <w:t>Map will be located here”</w:t>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3-B-III. Overview - Project LV</w:t>
      </w:r>
    </w:p>
    <w:p>
      <w:pPr>
        <w:pStyle w:val="Normal"/>
        <w:rPr>
          <w:rFonts w:ascii="Arial" w:hAnsi="Arial" w:cs="Arial"/>
          <w:b/>
          <w:sz w:val="32"/>
        </w:rPr>
      </w:pPr>
      <w:r>
        <w:rPr>
          <w:rFonts w:cs="Arial" w:ascii="Arial" w:hAnsi="Arial"/>
          <w:b/>
          <w:sz w:val="32"/>
        </w:rPr>
      </w:r>
    </w:p>
    <w:p>
      <w:pPr>
        <w:pStyle w:val="Normal"/>
        <w:rPr>
          <w:rFonts w:ascii="Arial" w:hAnsi="Arial" w:cs="Arial"/>
          <w:b/>
        </w:rPr>
      </w:pPr>
      <w:r>
        <w:rPr>
          <w:rFonts w:cs="Arial" w:ascii="Arial" w:hAnsi="Arial"/>
          <w:b/>
        </w:rPr>
        <w:t>Overview</w:t>
      </w:r>
    </w:p>
    <w:p>
      <w:pPr>
        <w:pStyle w:val="Normal"/>
        <w:rPr>
          <w:rFonts w:ascii="Arial" w:hAnsi="Arial" w:cs="Arial"/>
        </w:rPr>
      </w:pPr>
      <w:r>
        <w:rPr>
          <w:rFonts w:cs="Arial" w:ascii="Arial" w:hAnsi="Arial"/>
        </w:rPr>
        <w:t>Enron North America (“ENA” or the “Company”), a wholly owned subsidiary of Enron Corp. (“Enron”), and its affiliates, intends to facilitate the sale of 100% of Southwest Power, L.L.C. (SWP), which owns, directly or indirectly, 100% of Las Vegas Cogeneration LP (LVCLP) and Las Vegas Cogeneration II, LLC (LVCII).  LVCLP is a 54 megawatt (“MW”) single-fueled, natural gas-fired combined cycle Qualifying Facility (QF) in North Las Vegas, NV.  LVCII is developing a 230 MWs of single-fueled, natural gas-fired combined cycle merchant generation facility on LVCLP’s site adjacent to its existing plant.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LV Cogen</w:t>
      </w:r>
    </w:p>
    <w:p>
      <w:pPr>
        <w:pStyle w:val="Normal"/>
        <w:rPr>
          <w:rFonts w:ascii="Arial" w:hAnsi="Arial" w:cs="Arial"/>
        </w:rPr>
      </w:pPr>
      <w:r>
        <w:rPr>
          <w:rFonts w:cs="Arial" w:ascii="Arial" w:hAnsi="Arial"/>
        </w:rPr>
        <w:t xml:space="preserve">As the owner and operator of the 54 MW natural gas fired cogeneration peaking plant located near North Las Vegas, NV, LVCLP is currently licensed as a QF under the Public Utilities Regulatory Policy Act of 1978 (“PURPA”). As a result of PURPA regulations limiting the ownership of any QF facility that can be controlled by a Utility or Utility Holding Company and certain accounting considerations, ENA established a multi-tiered ownership structure for its investment in SWP and its subsidiaries. Prior to the sale of SWP, the structure will be collapsed so that the transfer of the asset will be free and clear.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current Power Purchase Agreement with Nevada Power Corporation (NPC) obligates LVCLP to sell 45 MW during on peak hours. LVCLP completed negotiations with NPC to sell additional capacity, including off-peak sales during light-load hours and excess on-peak sales above the 45 MW obligation. The merchant sales, which began in April 2000, is administered under a Commodities Services Agreement between LVCLP and Enron Power Marketing, Inc. (“EPMI”).  The thermal host to LVCLP is a 12-acre tomato greenhouse, which is owned and operated by Sunco, L.L.C. (Sunco).  Sunco is 100% owned by SWP and a separate sales process for the greenhouse assets has been initiated.</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LV Cogen II</w:t>
      </w:r>
    </w:p>
    <w:p>
      <w:pPr>
        <w:pStyle w:val="Normal"/>
        <w:rPr/>
      </w:pPr>
      <w:r>
        <w:rPr>
          <w:rFonts w:cs="Arial" w:ascii="Arial" w:hAnsi="Arial"/>
        </w:rPr>
        <w:t xml:space="preserve">Development of an expanded facility has been initiated by a newly formed entity named Las Vegas Cogeneration II, L.L.C. (“LVCII”), which is 100% owned by SWP. The project is to be configured as a 230 MW natural gas-fired power plant consisting of two, two-on-one combined cycle units. The project would use four GE LM 6000 PC gas turbines, four Heat Recovery Steam Generators (“HRSGs”), and two steam turbines in a site-optimized configuration. The 230 MW merchant facility will sell into the California (“PX”), Meade and Nevada merchant markets. The anticipated start-up date for this plant is March 2002. </w:t>
      </w:r>
      <w:r>
        <w:rPr>
          <w:rFonts w:cs="Arial" w:ascii="Arial" w:hAnsi="Arial"/>
          <w:highlight w:val="yellow"/>
        </w:rPr>
        <w:t>The estimated total construction cost including IDC, is $156.8 million</w:t>
      </w:r>
      <w:r>
        <w:rPr>
          <w:rFonts w:cs="Arial" w:ascii="Arial" w:hAnsi="Arial"/>
        </w:rPr>
        <w:t xml:space="preserve">. The O&amp;M services will be provided under a contractual agreement between LVCLP and LVCII. The savings in costs because of the sharing of O&amp;M services and sharing of other resources with the existing facility will make LVCII very competitive in the merchant market. </w:t>
      </w:r>
    </w:p>
    <w:p>
      <w:pPr>
        <w:pStyle w:val="Normal"/>
        <w:rPr>
          <w:rFonts w:ascii="Arial" w:hAnsi="Arial" w:cs="Arial"/>
        </w:rPr>
      </w:pPr>
      <w:r>
        <w:rPr>
          <w:rFonts w:cs="Arial" w:ascii="Arial" w:hAnsi="Arial"/>
        </w:rPr>
        <w:t>Key Success Factors</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sz w:val="32"/>
        </w:rPr>
      </w:pPr>
      <w:r>
        <w:rPr>
          <w:rFonts w:cs="Arial" w:ascii="Arial" w:hAnsi="Arial"/>
          <w:b/>
          <w:sz w:val="32"/>
        </w:rPr>
        <w:t>3-B-IV. Description - LV Cogen</w:t>
      </w:r>
    </w:p>
    <w:p>
      <w:pPr>
        <w:pStyle w:val="Normal"/>
        <w:rPr>
          <w:rFonts w:ascii="Arial" w:hAnsi="Arial" w:cs="Arial"/>
          <w:b/>
          <w:sz w:val="32"/>
        </w:rPr>
      </w:pPr>
      <w:r>
        <w:rPr>
          <w:rFonts w:cs="Arial" w:ascii="Arial" w:hAnsi="Arial"/>
          <w:b/>
          <w:sz w:val="32"/>
        </w:rPr>
      </w:r>
    </w:p>
    <w:p>
      <w:pPr>
        <w:pStyle w:val="DLJCoverPage2"/>
        <w:rPr>
          <w:rFonts w:ascii="Arial" w:hAnsi="Arial" w:cs="Arial"/>
        </w:rPr>
      </w:pPr>
      <w:r>
        <w:rPr>
          <w:rFonts w:cs="Arial" w:ascii="Arial" w:hAnsi="Arial"/>
        </w:rPr>
        <w:t>Project Description</w:t>
      </w:r>
    </w:p>
    <w:p>
      <w:pPr>
        <w:pStyle w:val="Normal"/>
        <w:rPr>
          <w:rFonts w:ascii="Arial" w:hAnsi="Arial" w:cs="Arial"/>
          <w:b/>
        </w:rPr>
      </w:pPr>
      <w:r>
        <w:rPr>
          <w:rFonts w:cs="Arial" w:ascii="Arial" w:hAnsi="Arial"/>
          <w:b/>
        </w:rPr>
      </w:r>
    </w:p>
    <w:p>
      <w:pPr>
        <w:pStyle w:val="Normal"/>
        <w:rPr/>
      </w:pPr>
      <w:r>
        <w:rPr>
          <w:rFonts w:cs="Arial" w:ascii="Arial" w:hAnsi="Arial"/>
          <w:b/>
        </w:rPr>
        <w:t>Location and Project Site</w:t>
      </w:r>
      <w:r>
        <w:rPr>
          <w:rFonts w:cs="Arial" w:ascii="Arial" w:hAnsi="Arial"/>
        </w:rPr>
        <w:t>.  LVCLP occupies approximately 15 acres, and is located in an industrial park in the city of North Las Vegas, NV, which is approximately 5 miles north of the center of Las Vegas, NV. Interconnections with the local gas transportation company (Southwest Gas Corporation), the power purchaser (Nevada Power Company) and the water supplier (the City of Las Vegas) are all located at the boundaries of the Project site.  The steam host, Sunco, is adjacent to the cogeneration plant.  Sunco owns and operates a 12-acre glass greenhouse that is used exclusively for growing high-quality, hydroponic tomatoes. The Greenhouse facility, including the land, is owned by LVCLP and is leased by Sunco.  Sunco is 100% owned by SWP.  SWP has initiated a separate sale process for its interest in Sunco.</w:t>
      </w:r>
    </w:p>
    <w:p>
      <w:pPr>
        <w:pStyle w:val="Normal"/>
        <w:rPr>
          <w:rFonts w:ascii="Arial" w:hAnsi="Arial" w:cs="Arial"/>
          <w:b/>
        </w:rPr>
      </w:pPr>
      <w:r>
        <w:rPr>
          <w:rFonts w:cs="Arial" w:ascii="Arial" w:hAnsi="Arial"/>
          <w:b/>
        </w:rPr>
      </w:r>
    </w:p>
    <w:p>
      <w:pPr>
        <w:pStyle w:val="Normal"/>
        <w:rPr/>
      </w:pPr>
      <w:r>
        <w:rPr>
          <w:rFonts w:cs="Arial" w:ascii="Arial" w:hAnsi="Arial"/>
          <w:b/>
        </w:rPr>
        <w:t>General.</w:t>
      </w:r>
      <w:r>
        <w:rPr>
          <w:rFonts w:cs="Arial" w:ascii="Arial" w:hAnsi="Arial"/>
        </w:rPr>
        <w:t xml:space="preserve">  LVCLP is currently licensed as a QF under PURPA. It is capable of generating an average of 54 MW, and up to 56 MW under the most favorable ambient conditions. Since the maximum capacity and energy that NPC is contracted to take is only 45 MW, the plant has historically operated well within design parameters. Usually the steam turbine (ST) generates at or near full load (9.5 MW) and the gas turbine (GT) generates about 36 MW (90% of nameplate) for a total gross output of 45.5 MW. The plant consumes a parasitic load of about 0.5 MW, providing a net 45 MW to NPC. Extraction steam from the ST is also used in a heat exchanger to supply hot water to Sunco.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plant is only required to deliver power for 90% of the on-peak periods in order to receive 100% of the capacity payments under the PPA. During the period 1996 through 1998, availability during on-peak periods has averaged 99.2%. Historically, the Project has been operated as a peaking plant, largely because of the nature of the PPA contract which requires operation only during peak hours - 12 continuous hours a day in summer and 13 (5 + 8) hours a day in winter. Merchant operations began in April 2000 with the plant operating during periods outside the hours required to serve NPC under the PPA.  Additional merchant sales were also made during the hours contracted to NPC by using the plant’s capability above the 45MW NPC obligation. Such merchant sales are made on a day-ahead basis into South Pass 15 of the California PX, when the market price is above the project’s variable cost of operation (fuel, variable O&amp;M and Transmission); merchant sale profits are shared with NPC under a Limited Release Agreement.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lang w:val="en-CA"/>
        </w:rPr>
      </w:pPr>
      <w:r>
        <w:rPr>
          <w:rFonts w:cs="Arial" w:ascii="Arial" w:hAnsi="Arial"/>
          <w:lang w:val="en-CA"/>
        </w:rPr>
        <w:object w:dxaOrig="13153" w:dyaOrig="956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4.4pt;margin-top:-18pt;width:446.6pt;height:216.1pt;mso-wrap-distance-left:9.05pt;mso-wrap-distance-right:9.05pt;mso-position-horizontal-relative:text;mso-position-vertical-relative:text" filled="f" o:ole="">
            <v:imagedata r:id="rId3" o:title=""/>
            <w10:wrap type="topAndBottom"/>
          </v:shape>
          <o:OLEObject Type="Embed" ProgID="" ShapeID="ole_rId2" DrawAspect="Content" ObjectID="_1183413384" r:id="rId2"/>
        </w:objec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Technical Description</w:t>
      </w:r>
    </w:p>
    <w:p>
      <w:pPr>
        <w:pStyle w:val="Normal"/>
        <w:rPr>
          <w:rFonts w:ascii="Arial" w:hAnsi="Arial" w:cs="Arial"/>
          <w:i/>
          <w:i/>
        </w:rPr>
      </w:pPr>
      <w:r>
        <w:rPr>
          <w:rFonts w:cs="Arial" w:ascii="Arial" w:hAnsi="Arial"/>
          <w:i/>
        </w:rPr>
      </w:r>
    </w:p>
    <w:p>
      <w:pPr>
        <w:pStyle w:val="Normal"/>
        <w:rPr/>
      </w:pPr>
      <w:r>
        <w:rPr>
          <w:rFonts w:cs="Arial" w:ascii="Arial" w:hAnsi="Arial"/>
          <w:b/>
        </w:rPr>
        <w:t>Equipment.</w:t>
      </w:r>
      <w:r>
        <w:rPr>
          <w:rFonts w:cs="Arial" w:ascii="Arial" w:hAnsi="Arial"/>
        </w:rPr>
        <w:t xml:space="preserve">  The Las Vegas Cogeneration facility is comprised of the following major equipment:</w:t>
      </w:r>
    </w:p>
    <w:p>
      <w:pPr>
        <w:pStyle w:val="Normal"/>
        <w:rPr>
          <w:rFonts w:ascii="Arial" w:hAnsi="Arial" w:cs="Arial"/>
        </w:rPr>
      </w:pPr>
      <w:r>
        <w:rPr>
          <w:rFonts w:cs="Arial" w:ascii="Arial" w:hAnsi="Arial"/>
        </w:rPr>
      </w:r>
    </w:p>
    <w:p>
      <w:pPr>
        <w:pStyle w:val="Normal"/>
        <w:numPr>
          <w:ilvl w:val="0"/>
          <w:numId w:val="3"/>
        </w:numPr>
        <w:rPr>
          <w:rFonts w:ascii="Arial" w:hAnsi="Arial" w:cs="Arial"/>
        </w:rPr>
      </w:pPr>
      <w:r>
        <w:rPr>
          <w:rFonts w:cs="Arial" w:ascii="Arial" w:hAnsi="Arial"/>
        </w:rPr>
        <w:t>General Electric (“GE”) LM 6000 PC aeroderivative combustion GT and generator, rated at 44 MW;</w:t>
      </w:r>
    </w:p>
    <w:p>
      <w:pPr>
        <w:pStyle w:val="Normal"/>
        <w:numPr>
          <w:ilvl w:val="0"/>
          <w:numId w:val="3"/>
        </w:numPr>
        <w:rPr>
          <w:rFonts w:ascii="Arial" w:hAnsi="Arial" w:cs="Arial"/>
        </w:rPr>
      </w:pPr>
      <w:r>
        <w:rPr>
          <w:rFonts w:cs="Arial" w:ascii="Arial" w:hAnsi="Arial"/>
        </w:rPr>
        <w:t>Foster Wheeler triple pressure Heat Recovery Steam Generator (“HRSG”); and</w:t>
      </w:r>
    </w:p>
    <w:p>
      <w:pPr>
        <w:pStyle w:val="Normal"/>
        <w:numPr>
          <w:ilvl w:val="0"/>
          <w:numId w:val="3"/>
        </w:numPr>
        <w:rPr>
          <w:rFonts w:ascii="Arial" w:hAnsi="Arial" w:cs="Arial"/>
        </w:rPr>
      </w:pPr>
      <w:r>
        <w:rPr>
          <w:rFonts w:cs="Arial" w:ascii="Arial" w:hAnsi="Arial"/>
        </w:rPr>
        <w:t>Dresser-Rand high/intermediate pressure steam turbine ST, driving a net 10 MW generator.</w:t>
      </w:r>
    </w:p>
    <w:p>
      <w:pPr>
        <w:pStyle w:val="Normal"/>
        <w:rPr>
          <w:rFonts w:ascii="Arial" w:hAnsi="Arial" w:cs="Arial"/>
        </w:rPr>
      </w:pPr>
      <w:r>
        <w:rPr>
          <w:rFonts w:cs="Arial" w:ascii="Arial" w:hAnsi="Arial"/>
        </w:rPr>
      </w:r>
    </w:p>
    <w:p>
      <w:pPr>
        <w:pStyle w:val="Normal"/>
        <w:rPr/>
      </w:pPr>
      <w:r>
        <w:rPr>
          <w:rFonts w:cs="Arial" w:ascii="Arial" w:hAnsi="Arial"/>
          <w:b/>
        </w:rPr>
        <w:t>Gas Turbine.</w:t>
      </w:r>
      <w:r>
        <w:rPr>
          <w:rFonts w:cs="Arial" w:ascii="Arial" w:hAnsi="Arial"/>
        </w:rPr>
        <w:t xml:space="preserve">  The LM 6000 is a relatively small machine, based on GE’s jet-engine design, and is therefore well suited to the particular operational demands of a plant that cycles on a frequent basis – in this case, at least daily. In November 1999, LVCLP upgraded its turbine from a LM 6000 PA to a state-of the-art LM 6000 PC. Installation of a new LM 6000 PC has lowered the net heat rate by almost 10% to 7,700 Btu/kWh, mainly by increasing nameplate capacity by 4 MW to 54 MW.</w:t>
      </w:r>
    </w:p>
    <w:p>
      <w:pPr>
        <w:pStyle w:val="Normal"/>
        <w:rPr>
          <w:rFonts w:ascii="Arial" w:hAnsi="Arial" w:cs="Arial"/>
          <w:b/>
        </w:rPr>
      </w:pPr>
      <w:r>
        <w:rPr>
          <w:rFonts w:cs="Arial" w:ascii="Arial" w:hAnsi="Arial"/>
          <w:b/>
        </w:rPr>
      </w:r>
    </w:p>
    <w:p>
      <w:pPr>
        <w:pStyle w:val="Normal"/>
        <w:rPr/>
      </w:pPr>
      <w:r>
        <w:rPr>
          <w:rFonts w:cs="Arial" w:ascii="Arial" w:hAnsi="Arial"/>
          <w:b/>
        </w:rPr>
        <w:t>HRSG and Steam Turbine.</w:t>
      </w:r>
      <w:r>
        <w:rPr>
          <w:rFonts w:cs="Arial" w:ascii="Arial" w:hAnsi="Arial"/>
        </w:rPr>
        <w:t xml:space="preserve"> The HRSG and ST are standard, proven equipment, with relatively low technological risk.</w:t>
      </w:r>
    </w:p>
    <w:p>
      <w:pPr>
        <w:pStyle w:val="Normal"/>
        <w:rPr>
          <w:rFonts w:ascii="Arial" w:hAnsi="Arial" w:cs="Arial"/>
          <w:b/>
        </w:rPr>
      </w:pPr>
      <w:r>
        <w:rPr>
          <w:rFonts w:cs="Arial" w:ascii="Arial" w:hAnsi="Arial"/>
          <w:b/>
        </w:rPr>
      </w:r>
    </w:p>
    <w:p>
      <w:pPr>
        <w:pStyle w:val="Normal"/>
        <w:rPr/>
      </w:pPr>
      <w:r>
        <w:rPr>
          <w:rFonts w:cs="Arial" w:ascii="Arial" w:hAnsi="Arial"/>
          <w:b/>
        </w:rPr>
        <w:t>Balance of Plant.</w:t>
      </w:r>
      <w:r>
        <w:rPr>
          <w:rFonts w:cs="Arial" w:ascii="Arial" w:hAnsi="Arial"/>
        </w:rPr>
        <w:t xml:space="preserve"> The balance of plant equipment includes a Selective Catalytic Reduction (“SCR”) NOx treatment, a pump station, a (leased) de-mineralized water unit, a cooling tower, a step-up transformer (to increase the voltage to 138kV to match that of the adjacent switchyard owned by NPC), an administrative building, a maintenance shop, and a spare parts warehouse, storing inventory. </w:t>
      </w:r>
    </w:p>
    <w:p>
      <w:pPr>
        <w:pStyle w:val="Normal"/>
        <w:rPr>
          <w:rFonts w:ascii="Arial" w:hAnsi="Arial" w:cs="Arial"/>
          <w:i/>
          <w:i/>
        </w:rPr>
      </w:pPr>
      <w:r>
        <w:rPr>
          <w:rFonts w:cs="Arial" w:ascii="Arial" w:hAnsi="Arial"/>
          <w:i/>
        </w:rPr>
      </w:r>
    </w:p>
    <w:p>
      <w:pPr>
        <w:pStyle w:val="Normal"/>
        <w:rPr/>
      </w:pPr>
      <w:r>
        <w:rPr>
          <w:rFonts w:cs="Arial" w:ascii="Arial" w:hAnsi="Arial"/>
          <w:b/>
        </w:rPr>
        <w:t>Operating Performance.</w:t>
      </w:r>
      <w:r>
        <w:rPr>
          <w:rFonts w:cs="Arial" w:ascii="Arial" w:hAnsi="Arial"/>
        </w:rPr>
        <w:t xml:space="preserve">  With the exception of several minor technical problems which have been satisfactorily resolved, the plant is in very good condition and operating according to its design specifications, which is exemplified by the plant’s operating statistics listed in the table below. The steam turbine, gas turbine, support equipment, boiler equipment, and balance of plant equipment are all in very good condition. The SWP management and plant operating staffs are experienced with a though knowledge of plant operations and systems.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tbl>
      <w:tblPr>
        <w:tblW w:w="7915" w:type="dxa"/>
        <w:jc w:val="start"/>
        <w:tblInd w:w="0" w:type="dxa"/>
        <w:tblLayout w:type="fixed"/>
        <w:tblCellMar>
          <w:top w:w="0" w:type="dxa"/>
          <w:start w:w="30" w:type="dxa"/>
          <w:bottom w:w="0" w:type="dxa"/>
          <w:end w:w="30" w:type="dxa"/>
        </w:tblCellMar>
      </w:tblPr>
      <w:tblGrid>
        <w:gridCol w:w="3785"/>
        <w:gridCol w:w="1639"/>
        <w:gridCol w:w="1246"/>
        <w:gridCol w:w="1245"/>
      </w:tblGrid>
      <w:tr>
        <w:trPr>
          <w:trHeight w:val="262" w:hRule="atLeast"/>
        </w:trPr>
        <w:tc>
          <w:tcPr>
            <w:tcW w:w="3785" w:type="dxa"/>
            <w:tcBorders/>
          </w:tcPr>
          <w:p>
            <w:pPr>
              <w:pStyle w:val="Normal"/>
              <w:spacing w:before="120" w:after="120"/>
              <w:jc w:val="center"/>
              <w:rPr>
                <w:rFonts w:ascii="Arial" w:hAnsi="Arial" w:cs="Arial"/>
                <w:b/>
                <w:lang w:eastAsia="en-US"/>
              </w:rPr>
            </w:pPr>
            <w:r>
              <w:rPr>
                <w:rFonts w:cs="Arial" w:ascii="Arial" w:hAnsi="Arial"/>
                <w:b/>
                <w:lang w:eastAsia="en-US"/>
              </w:rPr>
              <w:t>Performance Summary</w:t>
            </w:r>
          </w:p>
        </w:tc>
        <w:tc>
          <w:tcPr>
            <w:tcW w:w="1639" w:type="dxa"/>
            <w:tcBorders/>
          </w:tcPr>
          <w:p>
            <w:pPr>
              <w:pStyle w:val="Normal"/>
              <w:spacing w:before="120" w:after="120"/>
              <w:jc w:val="center"/>
              <w:rPr>
                <w:rFonts w:ascii="Arial" w:hAnsi="Arial" w:cs="Arial"/>
                <w:b/>
                <w:lang w:eastAsia="en-US"/>
              </w:rPr>
            </w:pPr>
            <w:r>
              <w:rPr>
                <w:rFonts w:cs="Arial" w:ascii="Arial" w:hAnsi="Arial"/>
                <w:b/>
                <w:lang w:eastAsia="en-US"/>
              </w:rPr>
              <w:t>2000 (Jan-Jul)</w:t>
            </w:r>
          </w:p>
        </w:tc>
        <w:tc>
          <w:tcPr>
            <w:tcW w:w="1246" w:type="dxa"/>
            <w:tcBorders/>
          </w:tcPr>
          <w:p>
            <w:pPr>
              <w:pStyle w:val="Normal"/>
              <w:spacing w:before="120" w:after="120"/>
              <w:jc w:val="center"/>
              <w:rPr>
                <w:rFonts w:ascii="Arial" w:hAnsi="Arial" w:cs="Arial"/>
                <w:b/>
                <w:lang w:eastAsia="en-US"/>
              </w:rPr>
            </w:pPr>
            <w:r>
              <w:rPr>
                <w:rFonts w:cs="Arial" w:ascii="Arial" w:hAnsi="Arial"/>
                <w:b/>
                <w:lang w:eastAsia="en-US"/>
              </w:rPr>
              <w:t>1999</w:t>
            </w:r>
          </w:p>
        </w:tc>
        <w:tc>
          <w:tcPr>
            <w:tcW w:w="1245" w:type="dxa"/>
            <w:tcBorders/>
          </w:tcPr>
          <w:p>
            <w:pPr>
              <w:pStyle w:val="Normal"/>
              <w:spacing w:before="120" w:after="120"/>
              <w:jc w:val="center"/>
              <w:rPr>
                <w:rFonts w:ascii="Arial" w:hAnsi="Arial" w:cs="Arial"/>
                <w:b/>
                <w:lang w:eastAsia="en-US"/>
              </w:rPr>
            </w:pPr>
            <w:r>
              <w:rPr>
                <w:rFonts w:cs="Arial" w:ascii="Arial" w:hAnsi="Arial"/>
                <w:b/>
                <w:lang w:eastAsia="en-US"/>
              </w:rPr>
              <w:t>1998</w:t>
            </w:r>
          </w:p>
        </w:tc>
      </w:tr>
      <w:tr>
        <w:trPr>
          <w:trHeight w:val="262" w:hRule="atLeast"/>
        </w:trPr>
        <w:tc>
          <w:tcPr>
            <w:tcW w:w="3785" w:type="dxa"/>
            <w:tcBorders/>
          </w:tcPr>
          <w:p>
            <w:pPr>
              <w:pStyle w:val="CIMContactAddress"/>
              <w:spacing w:lineRule="auto" w:line="240" w:before="120" w:after="120"/>
              <w:rPr>
                <w:rFonts w:ascii="Arial" w:hAnsi="Arial" w:cs="Arial"/>
                <w:lang w:eastAsia="en-US"/>
              </w:rPr>
            </w:pPr>
            <w:r>
              <w:rPr>
                <w:rFonts w:cs="Arial" w:ascii="Arial" w:hAnsi="Arial"/>
                <w:lang w:eastAsia="en-US"/>
              </w:rPr>
              <w:t>Total Net MWhs</w:t>
            </w:r>
          </w:p>
        </w:tc>
        <w:tc>
          <w:tcPr>
            <w:tcW w:w="1639" w:type="dxa"/>
            <w:tcBorders/>
          </w:tcPr>
          <w:p>
            <w:pPr>
              <w:pStyle w:val="CIMContactAddress"/>
              <w:spacing w:lineRule="auto" w:line="240"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150,956 </w:t>
            </w:r>
          </w:p>
        </w:tc>
        <w:tc>
          <w:tcPr>
            <w:tcW w:w="1246"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185,617 </w:t>
            </w:r>
          </w:p>
        </w:tc>
        <w:tc>
          <w:tcPr>
            <w:tcW w:w="1245"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216,027 </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Net Heat Rate (Btu/KWh)</w:t>
            </w:r>
          </w:p>
        </w:tc>
        <w:tc>
          <w:tcPr>
            <w:tcW w:w="1639"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8,344 </w:t>
            </w:r>
          </w:p>
        </w:tc>
        <w:tc>
          <w:tcPr>
            <w:tcW w:w="1246"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8,412 </w:t>
            </w:r>
          </w:p>
        </w:tc>
        <w:tc>
          <w:tcPr>
            <w:tcW w:w="1245" w:type="dxa"/>
            <w:tcBorders/>
          </w:tcPr>
          <w:p>
            <w:pPr>
              <w:pStyle w:val="Normal"/>
              <w:spacing w:before="120" w:after="120"/>
              <w:jc w:val="end"/>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8,464 </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Contract Capacity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97.2%</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87.2%</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97.8%</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Peak Availability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98.4%</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87.3%</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98.5%</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Forced Outage Rate</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2.5%</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2.3%</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0.8%</w:t>
            </w:r>
          </w:p>
        </w:tc>
      </w:tr>
      <w:tr>
        <w:trPr>
          <w:trHeight w:val="262" w:hRule="atLeast"/>
        </w:trPr>
        <w:tc>
          <w:tcPr>
            <w:tcW w:w="3785" w:type="dxa"/>
            <w:tcBorders/>
          </w:tcPr>
          <w:p>
            <w:pPr>
              <w:pStyle w:val="Normal"/>
              <w:spacing w:before="120" w:after="120"/>
              <w:rPr>
                <w:rFonts w:ascii="Arial" w:hAnsi="Arial" w:cs="Arial"/>
                <w:lang w:eastAsia="en-US"/>
              </w:rPr>
            </w:pPr>
            <w:r>
              <w:rPr>
                <w:rFonts w:cs="Arial" w:ascii="Arial" w:hAnsi="Arial"/>
                <w:lang w:eastAsia="en-US"/>
              </w:rPr>
              <w:t>Net Capacity Factor</w:t>
            </w:r>
          </w:p>
        </w:tc>
        <w:tc>
          <w:tcPr>
            <w:tcW w:w="1639" w:type="dxa"/>
            <w:tcBorders/>
          </w:tcPr>
          <w:p>
            <w:pPr>
              <w:pStyle w:val="Normal"/>
              <w:spacing w:before="120" w:after="120"/>
              <w:jc w:val="end"/>
              <w:rPr>
                <w:rFonts w:ascii="Arial" w:hAnsi="Arial" w:cs="Arial"/>
                <w:lang w:eastAsia="en-US"/>
              </w:rPr>
            </w:pPr>
            <w:r>
              <w:rPr>
                <w:rFonts w:cs="Arial" w:ascii="Arial" w:hAnsi="Arial"/>
                <w:lang w:eastAsia="en-US"/>
              </w:rPr>
              <w:t>49.2%</w:t>
            </w:r>
          </w:p>
        </w:tc>
        <w:tc>
          <w:tcPr>
            <w:tcW w:w="1246" w:type="dxa"/>
            <w:tcBorders/>
          </w:tcPr>
          <w:p>
            <w:pPr>
              <w:pStyle w:val="Normal"/>
              <w:spacing w:before="120" w:after="120"/>
              <w:jc w:val="end"/>
              <w:rPr>
                <w:rFonts w:ascii="Arial" w:hAnsi="Arial" w:cs="Arial"/>
                <w:lang w:eastAsia="en-US"/>
              </w:rPr>
            </w:pPr>
            <w:r>
              <w:rPr>
                <w:rFonts w:cs="Arial" w:ascii="Arial" w:hAnsi="Arial"/>
                <w:lang w:eastAsia="en-US"/>
              </w:rPr>
              <w:t>47.1%</w:t>
            </w:r>
          </w:p>
        </w:tc>
        <w:tc>
          <w:tcPr>
            <w:tcW w:w="1245" w:type="dxa"/>
            <w:tcBorders/>
          </w:tcPr>
          <w:p>
            <w:pPr>
              <w:pStyle w:val="Normal"/>
              <w:spacing w:before="120" w:after="120"/>
              <w:jc w:val="end"/>
              <w:rPr>
                <w:rFonts w:ascii="Arial" w:hAnsi="Arial" w:cs="Arial"/>
                <w:lang w:eastAsia="en-US"/>
              </w:rPr>
            </w:pPr>
            <w:r>
              <w:rPr>
                <w:rFonts w:cs="Arial" w:ascii="Arial" w:hAnsi="Arial"/>
                <w:lang w:eastAsia="en-US"/>
              </w:rPr>
              <w:t>54.8%</w:t>
            </w:r>
          </w:p>
        </w:tc>
      </w:tr>
    </w:tbl>
    <w:p>
      <w:pPr>
        <w:pStyle w:val="Normal"/>
        <w:rPr>
          <w:rFonts w:ascii="Arial" w:hAnsi="Arial" w:cs="Arial"/>
          <w:b/>
          <w:sz w:val="28"/>
        </w:rPr>
      </w:pPr>
      <w:r>
        <w:br w:type="page"/>
      </w:r>
      <w:r>
        <w:rPr>
          <w:rFonts w:cs="Arial" w:ascii="Arial" w:hAnsi="Arial"/>
          <w:b/>
          <w:sz w:val="28"/>
        </w:rPr>
        <w:t>Contractual Structure</w:t>
      </w:r>
    </w:p>
    <w:p>
      <w:pPr>
        <w:pStyle w:val="Normal"/>
        <w:rPr>
          <w:rFonts w:ascii="Arial" w:hAnsi="Arial" w:cs="Arial"/>
          <w:b/>
          <w:sz w:val="28"/>
        </w:rPr>
      </w:pPr>
      <w:r>
        <w:rPr>
          <w:rFonts w:cs="Arial" w:ascii="Arial" w:hAnsi="Arial"/>
          <w:b/>
          <w:sz w:val="28"/>
        </w:rPr>
      </w:r>
    </w:p>
    <w:p>
      <w:pPr>
        <w:pStyle w:val="Normal"/>
        <w:rPr/>
      </w:pPr>
      <w:r>
        <w:rPr>
          <w:rFonts w:cs="Arial" w:ascii="Arial" w:hAnsi="Arial"/>
          <w:b/>
        </w:rPr>
        <w:t>Principal Contract Summaries.</w:t>
      </w:r>
      <w:r>
        <w:rPr>
          <w:rFonts w:cs="Arial" w:ascii="Arial" w:hAnsi="Arial"/>
        </w:rPr>
        <w:t xml:space="preserve">  The operating contractual structure is summarized below:</w:t>
      </w:r>
    </w:p>
    <w:p>
      <w:pPr>
        <w:pStyle w:val="Normal"/>
        <w:rPr>
          <w:rFonts w:ascii="Arial" w:hAnsi="Arial" w:cs="Arial"/>
          <w:b/>
          <w:i/>
          <w:i/>
          <w:lang w:val="en-CA"/>
        </w:rPr>
      </w:pPr>
      <w:r>
        <w:rPr>
          <w:rFonts w:cs="Arial" w:ascii="Arial" w:hAnsi="Arial"/>
          <w:b/>
          <w:i/>
          <w:lang w:val="en-CA"/>
        </w:rPr>
        <mc:AlternateContent>
          <mc:Choice Requires="wpg">
            <w:drawing>
              <wp:anchor behindDoc="0" distT="0" distB="0" distL="114935" distR="114935" simplePos="0" locked="0" layoutInCell="0" allowOverlap="1" relativeHeight="4">
                <wp:simplePos x="0" y="0"/>
                <wp:positionH relativeFrom="column">
                  <wp:posOffset>-548640</wp:posOffset>
                </wp:positionH>
                <wp:positionV relativeFrom="paragraph">
                  <wp:posOffset>495300</wp:posOffset>
                </wp:positionV>
                <wp:extent cx="6583045" cy="5119370"/>
                <wp:effectExtent l="5080" t="5080" r="5080" b="5080"/>
                <wp:wrapTopAndBottom/>
                <wp:docPr id="1" name=""/>
                <a:graphic xmlns:a="http://schemas.openxmlformats.org/drawingml/2006/main">
                  <a:graphicData uri="http://schemas.microsoft.com/office/word/2010/wordprocessingGroup">
                    <wpg:wgp>
                      <wpg:cNvGrpSpPr/>
                      <wpg:grpSpPr>
                        <a:xfrm>
                          <a:off x="0" y="0"/>
                          <a:ext cx="6582960" cy="5119200"/>
                          <a:chOff x="0" y="0"/>
                          <a:chExt cx="6582960" cy="5119200"/>
                        </a:xfrm>
                      </wpg:grpSpPr>
                      <wpg:grpSp>
                        <wpg:cNvGrpSpPr/>
                        <wpg:grpSpPr>
                          <a:xfrm>
                            <a:off x="2131200" y="2300040"/>
                            <a:ext cx="2778120" cy="1331640"/>
                          </a:xfrm>
                        </wpg:grpSpPr>
                        <wps:wsp>
                          <wps:cNvPr id="2" name=""/>
                          <wps:cNvSpPr/>
                          <wps:spPr>
                            <a:xfrm>
                              <a:off x="0" y="0"/>
                              <a:ext cx="809640" cy="496080"/>
                            </a:xfrm>
                            <a:prstGeom prst="rect">
                              <a:avLst/>
                            </a:prstGeom>
                            <a:noFill/>
                            <a:ln w="0">
                              <a:noFill/>
                            </a:ln>
                          </wps:spPr>
                          <wps:style>
                            <a:lnRef idx="0"/>
                            <a:fillRef idx="0"/>
                            <a:effectRef idx="0"/>
                            <a:fontRef idx="minor"/>
                          </wps:style>
                          <wps:bodyPr/>
                        </wps:wsp>
                        <wps:wsp>
                          <wps:cNvPr id="3" name=""/>
                          <wps:cNvSpPr/>
                          <wps:spPr>
                            <a:xfrm>
                              <a:off x="47520" y="849600"/>
                              <a:ext cx="743040" cy="482040"/>
                            </a:xfrm>
                            <a:prstGeom prst="rect">
                              <a:avLst/>
                            </a:prstGeom>
                            <a:noFill/>
                            <a:ln w="0">
                              <a:noFill/>
                            </a:ln>
                          </wps:spPr>
                          <wps:style>
                            <a:lnRef idx="0"/>
                            <a:fillRef idx="0"/>
                            <a:effectRef idx="0"/>
                            <a:fontRef idx="minor"/>
                          </wps:style>
                          <wps:bodyPr/>
                        </wps:wsp>
                        <wps:wsp>
                          <wps:cNvPr id="4" name=""/>
                          <wps:cNvSpPr/>
                          <wps:spPr>
                            <a:xfrm>
                              <a:off x="1445040" y="57240"/>
                              <a:ext cx="1332720" cy="205200"/>
                            </a:xfrm>
                            <a:prstGeom prst="rect">
                              <a:avLst/>
                            </a:prstGeom>
                            <a:noFill/>
                            <a:ln w="0">
                              <a:noFill/>
                            </a:ln>
                          </wps:spPr>
                          <wps:style>
                            <a:lnRef idx="0"/>
                            <a:fillRef idx="0"/>
                            <a:effectRef idx="0"/>
                            <a:fontRef idx="minor"/>
                          </wps:style>
                          <wps:bodyPr/>
                        </wps:wsp>
                      </wpg:grpSp>
                      <wps:wsp>
                        <wps:cNvSpPr txBox="1"/>
                        <wps:spPr>
                          <a:xfrm>
                            <a:off x="858600" y="1198080"/>
                            <a:ext cx="1398960" cy="4356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wps:txbx>
                        <wps:bodyPr wrap="square" anchor="t">
                          <a:noAutofit/>
                        </wps:bodyPr>
                      </wps:wsp>
                      <wps:wsp>
                        <wps:cNvSpPr txBox="1"/>
                        <wps:spPr>
                          <a:xfrm>
                            <a:off x="3530520" y="2723400"/>
                            <a:ext cx="996840" cy="45864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wps:txbx>
                        <wps:bodyPr wrap="square" anchor="t">
                          <a:noAutofit/>
                        </wps:bodyPr>
                      </wps:wsp>
                      <wps:wsp>
                        <wps:cNvSpPr txBox="1"/>
                        <wps:spPr>
                          <a:xfrm>
                            <a:off x="2269440" y="3485520"/>
                            <a:ext cx="974880" cy="544320"/>
                          </a:xfrm>
                          <a:prstGeom prst="rect">
                            <a:avLst/>
                          </a:prstGeom>
                          <a:solidFill>
                            <a:srgbClr val="ffffff"/>
                          </a:solidFill>
                          <a:ln w="0">
                            <a:noFill/>
                          </a:ln>
                        </wps:spPr>
                        <wps:txbx>
                          <w:txbxContent>
                            <w:p>
                              <w:pPr>
                                <w:overflowPunct w:val="false"/>
                                <w:bidi w:val="0"/>
                                <w:jc w:val="center"/>
                                <w:rPr/>
                              </w:pPr>
                              <w:r>
                                <w:rPr>
                                  <w:kern w:val="2"/>
                                  <w:sz w:val="16"/>
                                  <w:szCs w:val="20"/>
                                  <w:rFonts w:ascii="Times New Roman" w:hAnsi="Times New Roman" w:eastAsia="Times New Roman" w:cs="Times New Roman"/>
                                  <w:color w:val="auto"/>
                                  <w:lang w:val="en-US"/>
                                </w:rPr>
                                <w:t>Local Gas Transportation Agreement</w:t>
                              </w:r>
                            </w:p>
                          </w:txbxContent>
                        </wps:txbx>
                        <wps:bodyPr wrap="square" anchor="t">
                          <a:noAutofit/>
                        </wps:bodyPr>
                      </wps:wsp>
                      <wps:wsp>
                        <wps:cNvSpPr txBox="1"/>
                        <wps:spPr>
                          <a:xfrm>
                            <a:off x="2247120" y="231120"/>
                            <a:ext cx="1058040" cy="5310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wps:txbx>
                        <wps:bodyPr wrap="square" anchor="t">
                          <a:noAutofit/>
                        </wps:bodyPr>
                      </wps:wsp>
                      <wps:wsp>
                        <wps:cNvSpPr txBox="1"/>
                        <wps:spPr>
                          <a:xfrm>
                            <a:off x="10080" y="4320"/>
                            <a:ext cx="2260080" cy="119376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A+/A1</w:t>
                              </w:r>
                            </w:p>
                          </w:txbxContent>
                        </wps:txbx>
                        <wps:bodyPr wrap="square" anchor="t">
                          <a:noAutofit/>
                        </wps:bodyPr>
                      </wps:wsp>
                      <wps:wsp>
                        <wps:cNvSpPr txBox="1"/>
                        <wps:spPr>
                          <a:xfrm>
                            <a:off x="0" y="1633680"/>
                            <a:ext cx="2260080" cy="13068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A-/A2</w:t>
                              </w:r>
                            </w:p>
                          </w:txbxContent>
                        </wps:txbx>
                        <wps:bodyPr wrap="square" anchor="t">
                          <a:noAutofit/>
                        </wps:bodyPr>
                      </wps:wsp>
                      <wps:wsp>
                        <wps:cNvSpPr txBox="1"/>
                        <wps:spPr>
                          <a:xfrm>
                            <a:off x="0" y="2992680"/>
                            <a:ext cx="2260080" cy="92772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BBB-/Baa3</w:t>
                              </w:r>
                            </w:p>
                          </w:txbxContent>
                        </wps:txbx>
                        <wps:bodyPr wrap="square" anchor="t">
                          <a:noAutofit/>
                        </wps:bodyPr>
                      </wps:wsp>
                      <wps:wsp>
                        <wps:cNvSpPr txBox="1"/>
                        <wps:spPr>
                          <a:xfrm>
                            <a:off x="10080" y="4030200"/>
                            <a:ext cx="2249640" cy="10890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Other Services</w:t>
                              </w:r>
                            </w:p>
                          </w:txbxContent>
                        </wps:txbx>
                        <wps:bodyPr wrap="square" anchor="t">
                          <a:noAutofit/>
                        </wps:bodyPr>
                      </wps:wsp>
                      <wps:wsp>
                        <wps:cNvSpPr txBox="1"/>
                        <wps:spPr>
                          <a:xfrm>
                            <a:off x="2410920" y="1198080"/>
                            <a:ext cx="1760760" cy="326520"/>
                          </a:xfrm>
                          <a:prstGeom prst="rect">
                            <a:avLst/>
                          </a:prstGeom>
                          <a:solidFill>
                            <a:srgbClr val="ffffff"/>
                          </a:solidFill>
                          <a:ln w="19080">
                            <a:solidFill>
                              <a:srgbClr val="000000"/>
                            </a:solidFill>
                            <a:miter/>
                          </a:ln>
                        </wps:spPr>
                        <wps:txbx>
                          <w:txbxContent>
                            <w:p>
                              <w:pPr>
                                <w:overflowPunct w:val="false"/>
                                <w:bidi w:val="0"/>
                                <w:jc w:val="center"/>
                                <w:rPr/>
                              </w:pPr>
                              <w:r>
                                <w:rPr>
                                  <w:kern w:val="2"/>
                                  <w:sz w:val="20"/>
                                  <w:b/>
                                  <w:szCs w:val="20"/>
                                  <w:rFonts w:ascii="Times New Roman" w:hAnsi="Times New Roman" w:eastAsia="Times New Roman" w:cs="Times New Roman"/>
                                  <w:color w:val="auto"/>
                                  <w:lang w:val="en-US"/>
                                </w:rPr>
                                <w:t>LVCLP</w:t>
                              </w:r>
                            </w:p>
                          </w:txbxContent>
                        </wps:txbx>
                        <wps:bodyPr wrap="square" anchor="t">
                          <a:noAutofit/>
                        </wps:bodyPr>
                      </wps:wsp>
                      <wps:wsp>
                        <wps:cNvSpPr/>
                        <wps:spPr>
                          <a:xfrm flipV="1">
                            <a:off x="859320" y="119808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762120"/>
                            <a:ext cx="943560" cy="0"/>
                          </a:xfrm>
                          <a:prstGeom prst="line">
                            <a:avLst/>
                          </a:prstGeom>
                          <a:ln w="9360">
                            <a:solidFill>
                              <a:srgbClr val="000000"/>
                            </a:solidFill>
                            <a:miter/>
                          </a:ln>
                        </wps:spPr>
                        <wps:style>
                          <a:lnRef idx="0"/>
                          <a:fillRef idx="0"/>
                          <a:effectRef idx="0"/>
                          <a:fontRef idx="minor"/>
                        </wps:style>
                        <wps:bodyPr/>
                      </wps:wsp>
                      <wps:wsp>
                        <wps:cNvSpPr/>
                        <wps:spPr>
                          <a:xfrm>
                            <a:off x="3214440" y="76212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3486240"/>
                            <a:ext cx="882000" cy="0"/>
                          </a:xfrm>
                          <a:prstGeom prst="line">
                            <a:avLst/>
                          </a:prstGeom>
                          <a:ln w="9360">
                            <a:solidFill>
                              <a:srgbClr val="000000"/>
                            </a:solidFill>
                            <a:miter/>
                          </a:ln>
                        </wps:spPr>
                        <wps:style>
                          <a:lnRef idx="0"/>
                          <a:fillRef idx="0"/>
                          <a:effectRef idx="0"/>
                          <a:fontRef idx="minor"/>
                        </wps:style>
                        <wps:bodyPr/>
                      </wps:wsp>
                      <wps:wsp>
                        <wps:cNvSpPr/>
                        <wps:spPr>
                          <a:xfrm flipV="1">
                            <a:off x="3152880" y="1524600"/>
                            <a:ext cx="0" cy="1960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60440" y="4902120"/>
                            <a:ext cx="1077480" cy="0"/>
                          </a:xfrm>
                          <a:prstGeom prst="line">
                            <a:avLst/>
                          </a:prstGeom>
                          <a:ln w="9360">
                            <a:solidFill>
                              <a:srgbClr val="000000"/>
                            </a:solidFill>
                            <a:miter/>
                          </a:ln>
                        </wps:spPr>
                        <wps:style>
                          <a:lnRef idx="0"/>
                          <a:fillRef idx="0"/>
                          <a:effectRef idx="0"/>
                          <a:fontRef idx="minor"/>
                        </wps:style>
                        <wps:bodyPr/>
                      </wps:wsp>
                      <wps:wsp>
                        <wps:cNvSpPr/>
                        <wps:spPr>
                          <a:xfrm flipV="1">
                            <a:off x="3339000" y="1524600"/>
                            <a:ext cx="0" cy="33768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0"/>
                            <a:ext cx="1576080" cy="43560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wps:txbx>
                        <wps:bodyPr wrap="square" anchor="t">
                          <a:noAutofit/>
                        </wps:bodyPr>
                      </wps:wsp>
                      <wps:wsp>
                        <wps:cNvSpPr txBox="1"/>
                        <wps:spPr>
                          <a:xfrm>
                            <a:off x="3802320" y="653400"/>
                            <a:ext cx="1205280" cy="326520"/>
                          </a:xfrm>
                          <a:prstGeom prst="rect">
                            <a:avLst/>
                          </a:prstGeom>
                          <a:solidFill>
                            <a:srgbClr val="ffffff"/>
                          </a:solidFill>
                          <a:ln w="0">
                            <a:noFill/>
                          </a:ln>
                        </wps:spPr>
                        <wps:txbx>
                          <w:txbxContent>
                            <w:p>
                              <w:pPr>
                                <w:overflowPunct w:val="false"/>
                                <w:bidi w:val="0"/>
                                <w:rPr/>
                              </w:pPr>
                              <w:r>
                                <w:rPr>
                                  <w:kern w:val="2"/>
                                  <w:sz w:val="16"/>
                                  <w:szCs w:val="20"/>
                                  <w:rFonts w:ascii="Times New Roman" w:hAnsi="Times New Roman" w:eastAsia="Times New Roman" w:cs="Times New Roman"/>
                                  <w:color w:val="auto"/>
                                  <w:lang w:val="en-US"/>
                                </w:rPr>
                                <w:t>Greenhouse Lease</w:t>
                              </w:r>
                            </w:p>
                          </w:txbxContent>
                        </wps:txbx>
                        <wps:bodyPr wrap="square" anchor="t">
                          <a:noAutofit/>
                        </wps:bodyPr>
                      </wps:wsp>
                      <wps:wsp>
                        <wps:cNvSpPr/>
                        <wps:spPr>
                          <a:xfrm>
                            <a:off x="3802320" y="871200"/>
                            <a:ext cx="0" cy="3265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802320" y="871200"/>
                            <a:ext cx="1854360" cy="0"/>
                          </a:xfrm>
                          <a:prstGeom prst="line">
                            <a:avLst/>
                          </a:prstGeom>
                          <a:ln w="9360">
                            <a:solidFill>
                              <a:srgbClr val="000000"/>
                            </a:solidFill>
                            <a:miter/>
                          </a:ln>
                        </wps:spPr>
                        <wps:style>
                          <a:lnRef idx="0"/>
                          <a:fillRef idx="0"/>
                          <a:effectRef idx="0"/>
                          <a:fontRef idx="minor"/>
                        </wps:style>
                        <wps:bodyPr/>
                      </wps:wsp>
                      <wps:wsp>
                        <wps:cNvSpPr/>
                        <wps:spPr>
                          <a:xfrm flipV="1">
                            <a:off x="5657040" y="448920"/>
                            <a:ext cx="0" cy="4215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1306800"/>
                            <a:ext cx="2132280" cy="97524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Gas and interest rate hedge</w:t>
                              </w:r>
                            </w:p>
                          </w:txbxContent>
                        </wps:txbx>
                        <wps:bodyPr wrap="square" anchor="t">
                          <a:noAutofit/>
                        </wps:bodyPr>
                      </wps:wsp>
                      <wps:wsp>
                        <wps:cNvSpPr/>
                        <wps:spPr>
                          <a:xfrm flipH="1">
                            <a:off x="3894480" y="1960920"/>
                            <a:ext cx="462960" cy="0"/>
                          </a:xfrm>
                          <a:prstGeom prst="line">
                            <a:avLst/>
                          </a:prstGeom>
                          <a:ln w="9360">
                            <a:solidFill>
                              <a:srgbClr val="000000"/>
                            </a:solidFill>
                            <a:miter/>
                          </a:ln>
                        </wps:spPr>
                        <wps:style>
                          <a:lnRef idx="0"/>
                          <a:fillRef idx="0"/>
                          <a:effectRef idx="0"/>
                          <a:fontRef idx="minor"/>
                        </wps:style>
                        <wps:bodyPr/>
                      </wps:wsp>
                      <wps:wsp>
                        <wps:cNvSpPr/>
                        <wps:spPr>
                          <a:xfrm flipV="1">
                            <a:off x="3895200" y="1524600"/>
                            <a:ext cx="0" cy="435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3102480"/>
                            <a:ext cx="2225520" cy="81900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BBB/Baa2</w:t>
                              </w:r>
                            </w:p>
                          </w:txbxContent>
                        </wps:txbx>
                        <wps:bodyPr wrap="square" anchor="t">
                          <a:noAutofit/>
                        </wps:bodyPr>
                      </wps:wsp>
                      <wps:wsp>
                        <wps:cNvSpPr/>
                        <wps:spPr>
                          <a:xfrm>
                            <a:off x="3709800" y="1524600"/>
                            <a:ext cx="0" cy="1198080"/>
                          </a:xfrm>
                          <a:prstGeom prst="line">
                            <a:avLst/>
                          </a:prstGeom>
                          <a:ln w="9360">
                            <a:solidFill>
                              <a:srgbClr val="000000"/>
                            </a:solidFill>
                            <a:miter/>
                          </a:ln>
                        </wps:spPr>
                        <wps:style>
                          <a:lnRef idx="0"/>
                          <a:fillRef idx="0"/>
                          <a:effectRef idx="0"/>
                          <a:fontRef idx="minor"/>
                        </wps:style>
                        <wps:bodyPr/>
                      </wps:wsp>
                      <wps:wsp>
                        <wps:cNvSpPr/>
                        <wps:spPr>
                          <a:xfrm>
                            <a:off x="3709800" y="2723400"/>
                            <a:ext cx="2224440" cy="0"/>
                          </a:xfrm>
                          <a:prstGeom prst="line">
                            <a:avLst/>
                          </a:prstGeom>
                          <a:ln w="9360">
                            <a:solidFill>
                              <a:srgbClr val="000000"/>
                            </a:solidFill>
                            <a:miter/>
                          </a:ln>
                        </wps:spPr>
                        <wps:style>
                          <a:lnRef idx="0"/>
                          <a:fillRef idx="0"/>
                          <a:effectRef idx="0"/>
                          <a:fontRef idx="minor"/>
                        </wps:style>
                        <wps:bodyPr/>
                      </wps:wsp>
                      <wps:wsp>
                        <wps:cNvSpPr/>
                        <wps:spPr>
                          <a:xfrm>
                            <a:off x="5934600" y="2723400"/>
                            <a:ext cx="0" cy="3783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4030920"/>
                            <a:ext cx="2225520" cy="980280"/>
                          </a:xfrm>
                          <a:prstGeom prst="rect">
                            <a:avLst/>
                          </a:prstGeom>
                          <a:solidFill>
                            <a:srgbClr val="ffffff"/>
                          </a:solidFill>
                          <a:ln w="9360">
                            <a:solidFill>
                              <a:srgbClr val="000000"/>
                            </a:solidFill>
                            <a:miter/>
                          </a:ln>
                        </wps:spPr>
                        <wps:txb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Sharing of value between NPC and LVCLP</w:t>
                              </w:r>
                            </w:p>
                          </w:txbxContent>
                        </wps:txbx>
                        <wps:bodyPr wrap="square" anchor="t">
                          <a:noAutofit/>
                        </wps:bodyPr>
                      </wps:wsp>
                      <wps:wsp>
                        <wps:cNvSpPr/>
                        <wps:spPr>
                          <a:xfrm flipH="1">
                            <a:off x="3523680" y="4575240"/>
                            <a:ext cx="833760" cy="0"/>
                          </a:xfrm>
                          <a:prstGeom prst="line">
                            <a:avLst/>
                          </a:prstGeom>
                          <a:ln w="9360">
                            <a:solidFill>
                              <a:srgbClr val="000000"/>
                            </a:solidFill>
                            <a:miter/>
                          </a:ln>
                        </wps:spPr>
                        <wps:style>
                          <a:lnRef idx="0"/>
                          <a:fillRef idx="0"/>
                          <a:effectRef idx="0"/>
                          <a:fontRef idx="minor"/>
                        </wps:style>
                        <wps:bodyPr/>
                      </wps:wsp>
                      <wps:wsp>
                        <wps:cNvSpPr/>
                        <wps:spPr>
                          <a:xfrm flipV="1">
                            <a:off x="3524400" y="1523880"/>
                            <a:ext cx="0" cy="3049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2pt;margin-top:39pt;width:518.35pt;height:403.1pt" coordorigin="-864,780" coordsize="10367,8062">
                <v:group id="shape_0" style="position:absolute;left:2492;top:4402;width:4375;height:2097">
                  <v:rect id="shape_0" stroked="f" o:allowincell="f" style="position:absolute;left:2492;top:4402;width:1274;height:780;mso-wrap-style:none;v-text-anchor:middle">
                    <v:fill o:detectmouseclick="t" on="false"/>
                    <v:stroke color="#3465a4" joinstyle="round" endcap="flat"/>
                    <w10:wrap type="topAndBottom"/>
                  </v:rect>
                  <v:rect id="shape_0" stroked="f" o:allowincell="f" style="position:absolute;left:2567;top:5740;width:1169;height:758;mso-wrap-style:none;v-text-anchor:middle">
                    <v:fill o:detectmouseclick="t" on="false"/>
                    <v:stroke color="#3465a4" joinstyle="round" endcap="flat"/>
                    <w10:wrap type="topAndBottom"/>
                  </v:rect>
                  <v:rect id="shape_0" stroked="f" o:allowincell="f" style="position:absolute;left:4768;top:4492;width:2098;height:322;mso-wrap-style:none;v-text-anchor:middle">
                    <v:fill o:detectmouseclick="t" on="false"/>
                    <v:stroke color="#3465a4" joinstyle="round" endcap="flat"/>
                    <w10:wrap type="topAndBottom"/>
                  </v:rect>
                </v:group>
                <v:shapetype id="_x0000_t202" coordsize="21600,21600" o:spt="202" path="m,l,21600l21600,21600l21600,xe">
                  <v:stroke joinstyle="miter"/>
                  <v:path gradientshapeok="t" o:connecttype="rect"/>
                </v:shapetype>
                <v:shape id="shape_0" fillcolor="white" stroked="f" o:allowincell="f" style="position:absolute;left:488;top:2667;width:2202;height:68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v:textbox>
                  <v:fill o:detectmouseclick="t" type="solid" color2="black"/>
                  <v:stroke color="#3465a4" joinstyle="round" endcap="flat"/>
                  <w10:wrap type="topAndBottom"/>
                </v:shape>
                <v:shape id="shape_0" fillcolor="white" stroked="f" o:allowincell="f" style="position:absolute;left:4696;top:5069;width:1569;height:721;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v:textbox>
                  <v:fill o:detectmouseclick="t" type="solid" color2="black"/>
                  <v:stroke color="#3465a4" joinstyle="round" endcap="flat"/>
                  <w10:wrap type="topAndBottom"/>
                </v:shape>
                <v:shape id="shape_0" fillcolor="white" stroked="f" o:allowincell="f" style="position:absolute;left:2710;top:6269;width:1534;height:856;mso-wrap-style:square;v-text-anchor:top" type="_x0000_t202">
                  <v:textbox>
                    <w:txbxContent>
                      <w:p>
                        <w:pPr>
                          <w:overflowPunct w:val="false"/>
                          <w:bidi w:val="0"/>
                          <w:jc w:val="center"/>
                          <w:rPr/>
                        </w:pPr>
                        <w:r>
                          <w:rPr>
                            <w:kern w:val="2"/>
                            <w:sz w:val="16"/>
                            <w:szCs w:val="20"/>
                            <w:rFonts w:ascii="Times New Roman" w:hAnsi="Times New Roman" w:eastAsia="Times New Roman" w:cs="Times New Roman"/>
                            <w:color w:val="auto"/>
                            <w:lang w:val="en-US"/>
                          </w:rPr>
                          <w:t>Local Gas Transportation Agreement</w:t>
                        </w:r>
                      </w:p>
                    </w:txbxContent>
                  </v:textbox>
                  <v:fill o:detectmouseclick="t" type="solid" color2="black"/>
                  <v:stroke color="#3465a4" joinstyle="round" endcap="flat"/>
                  <w10:wrap type="topAndBottom"/>
                </v:shape>
                <v:shape id="shape_0" fillcolor="white" stroked="f" o:allowincell="f" style="position:absolute;left:2675;top:1144;width:1665;height:83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v:textbox>
                  <v:fill o:detectmouseclick="t" type="solid" color2="black"/>
                  <v:stroke color="#3465a4" joinstyle="round" endcap="flat"/>
                  <w10:wrap type="topAndBottom"/>
                </v:shape>
                <v:shape id="shape_0" fillcolor="white" stroked="t" o:allowincell="f" style="position:absolute;left:-848;top:787;width:3558;height:1879;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A+/A1</w:t>
                        </w:r>
                      </w:p>
                    </w:txbxContent>
                  </v:textbox>
                  <v:fill o:detectmouseclick="t" type="solid" color2="black"/>
                  <v:stroke color="black" weight="9360" joinstyle="miter" endcap="flat"/>
                  <w10:wrap type="topAndBottom"/>
                </v:shape>
                <v:shape id="shape_0" fillcolor="white" stroked="t" o:allowincell="f" style="position:absolute;left:-864;top:3353;width:3558;height:2057;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A-/A2</w:t>
                        </w:r>
                      </w:p>
                    </w:txbxContent>
                  </v:textbox>
                  <v:fill o:detectmouseclick="t" type="solid" color2="black"/>
                  <v:stroke color="black" weight="9360" joinstyle="miter" endcap="flat"/>
                  <w10:wrap type="topAndBottom"/>
                </v:shape>
                <v:shape id="shape_0" fillcolor="white" stroked="t" o:allowincell="f" style="position:absolute;left:-864;top:5493;width:3558;height:1460;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BBB-/Baa3</w:t>
                        </w:r>
                      </w:p>
                    </w:txbxContent>
                  </v:textbox>
                  <v:fill o:detectmouseclick="t" type="solid" color2="black"/>
                  <v:stroke color="black" weight="9360" joinstyle="miter" endcap="flat"/>
                  <w10:wrap type="topAndBottom"/>
                </v:shape>
                <v:shape id="shape_0" fillcolor="white" stroked="t" o:allowincell="f" style="position:absolute;left:-848;top:7127;width:3542;height:1714;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Other Services</w:t>
                        </w:r>
                      </w:p>
                    </w:txbxContent>
                  </v:textbox>
                  <v:fill o:detectmouseclick="t" type="solid" color2="black"/>
                  <v:stroke color="black" weight="9360" joinstyle="miter" endcap="flat"/>
                  <w10:wrap type="topAndBottom"/>
                </v:shape>
                <v:shape id="shape_0" fillcolor="white" stroked="t" o:allowincell="f" style="position:absolute;left:2933;top:2667;width:2772;height:513;mso-wrap-style:square;v-text-anchor:top" type="_x0000_t202">
                  <v:textbox>
                    <w:txbxContent>
                      <w:p>
                        <w:pPr>
                          <w:overflowPunct w:val="false"/>
                          <w:bidi w:val="0"/>
                          <w:jc w:val="center"/>
                          <w:rPr/>
                        </w:pPr>
                        <w:r>
                          <w:rPr>
                            <w:kern w:val="2"/>
                            <w:sz w:val="20"/>
                            <w:b/>
                            <w:szCs w:val="20"/>
                            <w:rFonts w:ascii="Times New Roman" w:hAnsi="Times New Roman" w:eastAsia="Times New Roman" w:cs="Times New Roman"/>
                            <w:color w:val="auto"/>
                            <w:lang w:val="en-US"/>
                          </w:rPr>
                          <w:t>LVCLP</w:t>
                        </w:r>
                      </w:p>
                    </w:txbxContent>
                  </v:textbox>
                  <v:fill o:detectmouseclick="t" type="solid" color2="black"/>
                  <v:stroke color="black" weight="19080" joinstyle="miter" endcap="flat"/>
                  <w10:wrap type="topAndBottom"/>
                </v:shape>
                <v:line id="shape_0" from="489,2667" to="489,3352" stroked="t" o:allowincell="f" style="position:absolute;flip:y">
                  <v:stroke color="black" weight="9360" endarrow="block" endarrowwidth="medium" endarrowlength="medium" joinstyle="miter" endcap="flat"/>
                  <v:fill o:detectmouseclick="t" on="false"/>
                  <w10:wrap type="topAndBottom"/>
                </v:line>
                <v:line id="shape_0" from="2711,1980" to="4196,1980" stroked="t" o:allowincell="f" style="position:absolute">
                  <v:stroke color="black" weight="9360" joinstyle="miter" endcap="flat"/>
                  <v:fill o:detectmouseclick="t" on="false"/>
                  <w10:wrap type="topAndBottom"/>
                </v:line>
                <v:line id="shape_0" from="4198,1980" to="4198,2665" stroked="t" o:allowincell="f" style="position:absolute">
                  <v:stroke color="black" weight="9360" endarrow="block" endarrowwidth="medium" endarrowlength="medium" joinstyle="miter" endcap="flat"/>
                  <v:fill o:detectmouseclick="t" on="false"/>
                  <w10:wrap type="topAndBottom"/>
                </v:line>
                <v:line id="shape_0" from="2711,6270" to="4099,6270" stroked="t" o:allowincell="f" style="position:absolute">
                  <v:stroke color="black" weight="9360" joinstyle="miter" endcap="flat"/>
                  <v:fill o:detectmouseclick="t" on="false"/>
                  <w10:wrap type="topAndBottom"/>
                </v:line>
                <v:line id="shape_0" from="4101,3181" to="4101,6268" stroked="t" o:allowincell="f" style="position:absolute;flip:y">
                  <v:stroke color="black" weight="9360" endarrow="block" endarrowwidth="medium" endarrowlength="medium" joinstyle="miter" endcap="flat"/>
                  <v:fill o:detectmouseclick="t" on="false"/>
                  <w10:wrap type="topAndBottom"/>
                </v:line>
                <v:line id="shape_0" from="2696,8500" to="4392,8500" stroked="t" o:allowincell="f" style="position:absolute">
                  <v:stroke color="black" weight="9360" joinstyle="miter" endcap="flat"/>
                  <v:fill o:detectmouseclick="t" on="false"/>
                  <w10:wrap type="topAndBottom"/>
                </v:line>
                <v:line id="shape_0" from="4394,3181" to="4394,8498"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780;width:2481;height:685;mso-wrap-style:square;v-text-anchor:top" type="_x0000_t202">
                  <v:textbox>
                    <w:txbxContent>
                      <w:p>
                        <w:pPr>
                          <w:overflowPunct w:val="false"/>
                          <w:bidi w:val="0"/>
                          <w:spacing w:before="0" w:after="60"/>
                          <w:ind w:start="180" w:end="0" w:hanging="180"/>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v:textbox>
                  <v:fill o:detectmouseclick="t" type="solid" color2="black"/>
                  <v:stroke color="black" weight="9360" joinstyle="miter" endcap="flat"/>
                  <w10:wrap type="topAndBottom"/>
                </v:shape>
                <v:shape id="shape_0" fillcolor="white" stroked="f" o:allowincell="f" style="position:absolute;left:5124;top:1809;width:1897;height:513;mso-wrap-style:square;v-text-anchor:top" type="_x0000_t202">
                  <v:textbox>
                    <w:txbxContent>
                      <w:p>
                        <w:pPr>
                          <w:overflowPunct w:val="false"/>
                          <w:bidi w:val="0"/>
                          <w:rPr/>
                        </w:pPr>
                        <w:r>
                          <w:rPr>
                            <w:kern w:val="2"/>
                            <w:sz w:val="16"/>
                            <w:szCs w:val="20"/>
                            <w:rFonts w:ascii="Times New Roman" w:hAnsi="Times New Roman" w:eastAsia="Times New Roman" w:cs="Times New Roman"/>
                            <w:color w:val="auto"/>
                            <w:lang w:val="en-US"/>
                          </w:rPr>
                          <w:t>Greenhouse Lease</w:t>
                        </w:r>
                      </w:p>
                    </w:txbxContent>
                  </v:textbox>
                  <v:fill o:detectmouseclick="t" type="solid" color2="black"/>
                  <v:stroke color="#3465a4" joinstyle="round" endcap="flat"/>
                  <w10:wrap type="topAndBottom"/>
                </v:shape>
                <v:line id="shape_0" from="5124,2152" to="5124,2665" stroked="t" o:allowincell="f" style="position:absolute">
                  <v:stroke color="black" weight="9360" endarrow="block" endarrowwidth="medium" endarrowlength="medium" joinstyle="miter" endcap="flat"/>
                  <v:fill o:detectmouseclick="t" on="false"/>
                  <w10:wrap type="topAndBottom"/>
                </v:line>
                <v:line id="shape_0" from="5124,2152" to="8043,2152" stroked="t" o:allowincell="f" style="position:absolute">
                  <v:stroke color="black" weight="9360" joinstyle="miter" endcap="flat"/>
                  <v:fill o:detectmouseclick="t" on="false"/>
                  <w10:wrap type="topAndBottom"/>
                </v:line>
                <v:line id="shape_0" from="8045,1487" to="8045,2150"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2838;width:3357;height:1535;mso-wrap-style:square;v-text-anchor:top" type="_x0000_t202">
                  <v:textbo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Gas and interest rate hedge</w:t>
                        </w:r>
                      </w:p>
                    </w:txbxContent>
                  </v:textbox>
                  <v:fill o:detectmouseclick="t" type="solid" color2="black"/>
                  <v:stroke color="black" weight="9360" joinstyle="miter" endcap="flat"/>
                  <w10:wrap type="topAndBottom"/>
                </v:shape>
                <v:line id="shape_0" from="5269,3868" to="5997,3868" stroked="t" o:allowincell="f" style="position:absolute;flip:x">
                  <v:stroke color="black" weight="9360" joinstyle="miter" endcap="flat"/>
                  <v:fill o:detectmouseclick="t" on="false"/>
                  <w10:wrap type="topAndBottom"/>
                </v:line>
                <v:line id="shape_0" from="5270,3181" to="5270,3866"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8;top:5666;width:3504;height:1289;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Long-term debt rating of BBB/Baa2</w:t>
                        </w:r>
                      </w:p>
                    </w:txbxContent>
                  </v:textbox>
                  <v:fill o:detectmouseclick="t" type="solid" color2="black"/>
                  <v:stroke color="black" weight="9360" joinstyle="miter" endcap="flat"/>
                  <w10:wrap type="topAndBottom"/>
                </v:shape>
                <v:line id="shape_0" from="4978,3181" to="4978,5067" stroked="t" o:allowincell="f" style="position:absolute">
                  <v:stroke color="black" weight="9360" joinstyle="miter" endcap="flat"/>
                  <v:fill o:detectmouseclick="t" on="false"/>
                  <w10:wrap type="topAndBottom"/>
                </v:line>
                <v:line id="shape_0" from="4978,5069" to="8480,5069" stroked="t" o:allowincell="f" style="position:absolute">
                  <v:stroke color="black" weight="9360" joinstyle="miter" endcap="flat"/>
                  <v:fill o:detectmouseclick="t" on="false"/>
                  <w10:wrap type="topAndBottom"/>
                </v:line>
                <v:line id="shape_0" from="8482,5069" to="8482,5664" stroked="t" o:allowincell="f" style="position:absolute">
                  <v:stroke color="black" weight="9360" endarrow="block" endarrowwidth="medium" endarrowlength="medium" joinstyle="miter" endcap="flat"/>
                  <v:fill o:detectmouseclick="t" on="false"/>
                  <w10:wrap type="topAndBottom"/>
                </v:line>
                <v:shape id="shape_0" fillcolor="white" stroked="t" o:allowincell="f" style="position:absolute;left:5998;top:7128;width:3504;height:1543;mso-wrap-style:square;v-text-anchor:top" type="_x0000_t202">
                  <v:textbox>
                    <w:txbxContent>
                      <w:p>
                        <w:pPr>
                          <w:overflowPunct w:val="false"/>
                          <w:bidi w:val="0"/>
                          <w:spacing w:before="0" w:after="60"/>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rPr/>
                        </w:pPr>
                        <w:r>
                          <w:rPr>
                            <w:kern w:val="2"/>
                            <w:sz w:val="16"/>
                            <w:szCs w:val="20"/>
                            <w:rFonts w:ascii="Times New Roman" w:hAnsi="Times New Roman" w:eastAsia="Times New Roman" w:cs="Times New Roman"/>
                            <w:color w:val="auto"/>
                            <w:lang w:val="en-US"/>
                          </w:rPr>
                          <w:t>Sharing of value between NPC and LVCLP</w:t>
                        </w:r>
                      </w:p>
                    </w:txbxContent>
                  </v:textbox>
                  <v:fill o:detectmouseclick="t" type="solid" color2="black"/>
                  <v:stroke color="black" weight="9360" joinstyle="miter" endcap="flat"/>
                  <w10:wrap type="topAndBottom"/>
                </v:shape>
                <v:line id="shape_0" from="4685,7985" to="5997,7985" stroked="t" o:allowincell="f" style="position:absolute;flip:x">
                  <v:stroke color="black" weight="9360" joinstyle="miter" endcap="flat"/>
                  <v:fill o:detectmouseclick="t" on="false"/>
                  <w10:wrap type="topAndBottom"/>
                </v:line>
                <v:line id="shape_0" from="4686,3180" to="4686,7982" stroked="t" o:allowincell="f" style="position:absolute;flip:y">
                  <v:stroke color="black" weight="9360" endarrow="block" endarrowwidth="medium" endarrowlength="medium" joinstyle="miter" endcap="flat"/>
                  <v:fill o:detectmouseclick="t" on="false"/>
                  <w10:wrap type="topAndBottom"/>
                </v:line>
              </v:group>
            </w:pict>
          </mc:Fallback>
        </mc:AlternateContent>
      </w:r>
    </w:p>
    <w:p>
      <w:pPr>
        <w:pStyle w:val="Normal"/>
        <w:rPr>
          <w:rFonts w:ascii="Arial" w:hAnsi="Arial" w:cs="Arial"/>
          <w:b/>
          <w:i/>
          <w:i/>
          <w:lang w:val="en-CA"/>
        </w:rPr>
      </w:pPr>
      <w:r>
        <w:rPr>
          <w:rFonts w:cs="Arial" w:ascii="Arial" w:hAnsi="Arial"/>
          <w:b/>
          <w:i/>
          <w:lang w:val="en-CA"/>
        </w:rPr>
      </w:r>
    </w:p>
    <w:p>
      <w:pPr>
        <w:pStyle w:val="Normal"/>
        <w:rPr>
          <w:rFonts w:ascii="Arial" w:hAnsi="Arial" w:cs="Arial"/>
          <w:lang w:val="en-CA"/>
        </w:rPr>
      </w:pPr>
      <w:r>
        <w:rPr>
          <w:rFonts w:cs="Arial" w:ascii="Arial" w:hAnsi="Arial"/>
          <w:lang w:val="en-CA"/>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r>
    </w:p>
    <w:p>
      <w:pPr>
        <w:pStyle w:val="TableImpColHd"/>
        <w:keepLines w:val="false"/>
        <w:spacing w:before="0" w:after="0"/>
        <w:rPr>
          <w:kern w:val="0"/>
        </w:rPr>
      </w:pPr>
      <w:r>
        <w:rPr>
          <w:kern w:val="0"/>
        </w:rPr>
        <w:t>Power Purchase Agreement</w:t>
      </w:r>
    </w:p>
    <w:p>
      <w:pPr>
        <w:pStyle w:val="Normal"/>
        <w:rPr>
          <w:rFonts w:ascii="Arial" w:hAnsi="Arial" w:cs="Arial"/>
          <w:kern w:val="0"/>
        </w:rPr>
      </w:pPr>
      <w:r>
        <w:rPr>
          <w:rFonts w:cs="Arial" w:ascii="Arial" w:hAnsi="Arial"/>
          <w:kern w:val="0"/>
        </w:rPr>
      </w:r>
    </w:p>
    <w:p>
      <w:pPr>
        <w:pStyle w:val="Normal"/>
        <w:rPr/>
      </w:pPr>
      <w:r>
        <w:rPr>
          <w:rFonts w:cs="Arial" w:ascii="Arial" w:hAnsi="Arial"/>
        </w:rPr>
        <w:t>The PPA between LVCLP and NPC was executed in May 1992 and runs through May 2024.  It is a fixed-price contract, with payments for demonstrated capacity (payable regardless of whether the plant runs) and energy (paid for power actually delivered).  Both components of the power price are escalated annually at 80% of the annual change in CPI; the escalation date is May 1</w:t>
      </w:r>
      <w:r>
        <w:rPr>
          <w:rFonts w:cs="Arial" w:ascii="Arial" w:hAnsi="Arial"/>
          <w:vertAlign w:val="superscript"/>
        </w:rPr>
        <w:t>st</w:t>
      </w:r>
      <w:r>
        <w:rPr>
          <w:rFonts w:cs="Arial" w:ascii="Arial" w:hAnsi="Arial"/>
        </w:rPr>
        <w:t xml:space="preserve"> each year. </w:t>
      </w:r>
    </w:p>
    <w:p>
      <w:pPr>
        <w:pStyle w:val="Normal"/>
        <w:rPr>
          <w:rFonts w:ascii="Arial" w:hAnsi="Arial" w:cs="Arial"/>
        </w:rPr>
      </w:pPr>
      <w:r>
        <w:rPr>
          <w:rFonts w:cs="Arial" w:ascii="Arial" w:hAnsi="Arial"/>
        </w:rPr>
        <w:t>NPC must take all power produced up to 45 MW during on-peak hours. On peak hours represent 52% of the total hours in a year and include the following periods:</w:t>
      </w:r>
    </w:p>
    <w:p>
      <w:pPr>
        <w:pStyle w:val="Normal"/>
        <w:numPr>
          <w:ilvl w:val="0"/>
          <w:numId w:val="8"/>
        </w:numPr>
        <w:rPr>
          <w:rFonts w:ascii="Arial" w:hAnsi="Arial" w:cs="Arial"/>
        </w:rPr>
      </w:pPr>
      <w:r>
        <w:rPr>
          <w:rFonts w:cs="Arial" w:ascii="Arial" w:hAnsi="Arial"/>
        </w:rPr>
        <w:t>Summer season: 10:00 am to 10:00 pm (12 hours) from May through September (5 months).</w:t>
      </w:r>
    </w:p>
    <w:p>
      <w:pPr>
        <w:pStyle w:val="Normal"/>
        <w:numPr>
          <w:ilvl w:val="0"/>
          <w:numId w:val="8"/>
        </w:numPr>
        <w:rPr>
          <w:rFonts w:ascii="Arial" w:hAnsi="Arial" w:cs="Arial"/>
        </w:rPr>
      </w:pPr>
      <w:r>
        <w:rPr>
          <w:rFonts w:cs="Arial" w:ascii="Arial" w:hAnsi="Arial"/>
        </w:rPr>
        <w:t>Winter season: 5:00 am to 10:00 am (5 hours) and 4:00 pm to 12:00 pm (8 hours) from October through April (7 months).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If LVCLP fails to demonstrate at least 90% availability during either the summer or winter on-peak period, it is placed on “probation” for a period of 12 months (but only for that season).  It should be noted that the 90% availability must be demonstrated during all 5 of the summer season months, but only during December through February in the winter season (3 out of 7 winter months).  This arrangement provides LVCLP with a window twice a year to perform maintenance.  If LVCLP meets the 90% threshold during a probationary 12-month period, it will be taken off probation.  If it fails to achieve 90%, NPC may elect either to extend the probation period for a further 12 months, or to reduce the contract capacity to a capacity not less than the average level actually demonstrated during the probationary period.</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Energy rates are payable on the energy actually delivered, all year round, at rates that escalate year-to-year at 80% of CPI.</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PPA allows NPC to curtail its takes under the agreement during “off-peak or light-load hours when due to operational circumstances other than economic dispatch, purchases…” will result in costs greater than those that NPC may otherwise incur if NPC generates or purchases an equivalent amount of energy. The provision expressly precludes NPC from “economic dispatch” of the Project, i.e. from curtailing power deliveries, simply because it can generate power from its own system more cheaply. This issue was the subject of a dispute between LVCLP and NPC, which was finalized in 1997 after an arbitrator ruled in favor of LVCLP. </w:t>
      </w:r>
    </w:p>
    <w:p>
      <w:pPr>
        <w:pStyle w:val="Normal"/>
        <w:rPr>
          <w:rFonts w:ascii="Arial" w:hAnsi="Arial" w:cs="Arial"/>
          <w:b/>
        </w:rPr>
      </w:pPr>
      <w:r>
        <w:rPr>
          <w:rFonts w:cs="Arial" w:ascii="Arial" w:hAnsi="Arial"/>
          <w:b/>
        </w:rPr>
      </w:r>
    </w:p>
    <w:p>
      <w:pPr>
        <w:pStyle w:val="Normal"/>
        <w:rPr/>
      </w:pPr>
      <w:r>
        <w:rPr>
          <w:rFonts w:cs="Arial" w:ascii="Arial" w:hAnsi="Arial"/>
          <w:b/>
        </w:rPr>
        <w:t xml:space="preserve">Potential to Renegotiate the PPA.  </w:t>
      </w:r>
      <w:r>
        <w:rPr>
          <w:rFonts w:cs="Arial" w:ascii="Arial" w:hAnsi="Arial"/>
        </w:rPr>
        <w:t xml:space="preserve">ENA has had several discussions with Nevada Power in regards to renegotiating the PPA.  Nevada Power has expressed an interest in restructuring the PPA such that LVCLP would have delivery point flexibility, allowing it to meet its contractual obligations under the PPA from nearby markets or through self-generation.   Such a restructuring would also remove QF status and release LVCLP from the necessity of maintaining a steam host. </w:t>
      </w:r>
    </w:p>
    <w:p>
      <w:pPr>
        <w:pStyle w:val="Normal"/>
        <w:rPr>
          <w:rFonts w:ascii="Arial" w:hAnsi="Arial" w:cs="Arial"/>
          <w:b/>
          <w:i/>
          <w:i/>
        </w:rPr>
      </w:pPr>
      <w:r>
        <w:rPr>
          <w:rFonts w:cs="Arial" w:ascii="Arial" w:hAnsi="Arial"/>
          <w:b/>
          <w:i/>
        </w:rPr>
      </w:r>
    </w:p>
    <w:p>
      <w:pPr>
        <w:pStyle w:val="Normal"/>
        <w:rPr/>
      </w:pPr>
      <w:r>
        <w:rPr>
          <w:rFonts w:cs="Arial" w:ascii="Arial" w:hAnsi="Arial"/>
          <w:b/>
          <w:i/>
        </w:rPr>
        <w:t>Merchant Sharing Agreement</w:t>
      </w:r>
      <w:r>
        <w:rPr>
          <w:rFonts w:cs="Arial" w:ascii="Arial" w:hAnsi="Arial"/>
          <w:i/>
        </w:rPr>
        <w:t xml:space="preserve">. </w:t>
      </w:r>
      <w:r>
        <w:rPr>
          <w:rFonts w:cs="Arial" w:ascii="Arial" w:hAnsi="Arial"/>
        </w:rPr>
        <w:t xml:space="preserve">The existing PPA contains a “dedication clause” granting to Nevada Power Company (“NPC”) certain rights with respect to the plant’s output.  First, NPC has a right to purchase the entire output of the plant (net of station usage) during “on peak” hours (as specified in the PPA).  Second, NPC has a right of first refusal to purchase the entire net output of the plant during all other (off-peak) hours.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b/>
        <w:t>The PPA is silent as to whether LVCLP has the right to sell energy and capacity in excess of the 45 MW contract capacity under the PPA to third parties during “on peak” hours.  Furthermore, there is no guidance in the PPA as to the terms under which NPC’s right of first refusal can be exercised.  LVCLP is unaware of any binding judicial or regulatory ruling addressing or clarifying these issues.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b/>
        <w:t xml:space="preserve">In 1999 LVCLP expanded the generation capacity of the plant.  In order to facilitate timely entry into the wholesale market LVCLP negotiated and entered into a Limited Release Agreement of Applicable Energy (the “Sharing Agreement”) with NPC.  The Sharing Agreement prescribes a mechanism for LVCLP and NPC to share the net value of third party sales from excess on-peak and any off-peak energy generated by the plant.  The Sharing Agreement has a one-year term, and may be terminated upon 30 days’ notice by either party.  </w:t>
      </w:r>
    </w:p>
    <w:p>
      <w:pPr>
        <w:pStyle w:val="Normal"/>
        <w:rPr>
          <w:rFonts w:ascii="Arial" w:hAnsi="Arial" w:cs="Arial"/>
        </w:rPr>
      </w:pPr>
      <w:r>
        <w:rPr>
          <w:rFonts w:cs="Arial" w:ascii="Arial" w:hAnsi="Arial"/>
        </w:rPr>
      </w:r>
    </w:p>
    <w:p>
      <w:pPr>
        <w:pStyle w:val="Normal"/>
        <w:rPr>
          <w:rFonts w:ascii="Arial" w:hAnsi="Arial" w:cs="Arial"/>
          <w:b/>
          <w:i/>
          <w:i/>
        </w:rPr>
      </w:pPr>
      <w:r>
        <w:rPr>
          <w:rFonts w:cs="Arial" w:ascii="Arial" w:hAnsi="Arial"/>
        </w:rPr>
        <w:tab/>
        <w:t xml:space="preserve">It is LVCLP’s position that following termination of the Sharing Agreement it has the right to market energy in excess of 45MW, during on-peak periods to third parties without obligation to NPC (other than obligations with respect to transmission charges).  LVCLP further interprets the PPA to allow LVCLP to sell the entire off-peak production of the plant to third parties if the energy is first offered to NPC at the price and on the terms of the proposed sale.  LVCLP has had discussions with NPC wherein NPC has suggested that it does not agree with LVCLP’s interpretation of the contract.  There can be no assurance that in the event of arbitration or regulatory or judicial proceedings the arbitrator, regulators or court would support LVCLP’s interpretation of the PPA.  </w:t>
      </w:r>
    </w:p>
    <w:p>
      <w:pPr>
        <w:pStyle w:val="Normal"/>
        <w:rPr>
          <w:rFonts w:ascii="Arial" w:hAnsi="Arial" w:cs="Arial"/>
          <w:b/>
          <w:i/>
          <w:i/>
        </w:rPr>
      </w:pPr>
      <w:r>
        <w:rPr>
          <w:rFonts w:cs="Arial" w:ascii="Arial" w:hAnsi="Arial"/>
          <w:b/>
          <w:i/>
        </w:rPr>
      </w:r>
    </w:p>
    <w:p>
      <w:pPr>
        <w:pStyle w:val="Normal"/>
        <w:rPr/>
      </w:pPr>
      <w:r>
        <w:rPr>
          <w:rFonts w:cs="Arial" w:ascii="Arial" w:hAnsi="Arial"/>
          <w:b/>
        </w:rPr>
        <w:t>EPMI Commodities Services Agreement.</w:t>
      </w:r>
      <w:r>
        <w:rPr>
          <w:rFonts w:cs="Arial" w:ascii="Arial" w:hAnsi="Arial"/>
        </w:rPr>
        <w:t xml:space="preserve">  To facilitate the merchant sales under the Limited Release Agreement, LVCLP has entered into a Commodities Services Agreement with EPMI as its market services provider. Services will include facilitating the merchant energy sales transactions into electricity markets, fuel management services, and consulting services.   This agreement will remain in effect until terminated by either party upon 30 days’ prior written notice.    EPMI does not intend to terminate this agreement upon ENA’s divestiture of LVCLP.  [This agreement has not yet been signed.  It is awaiting NatWest approval]</w:t>
      </w:r>
    </w:p>
    <w:p>
      <w:pPr>
        <w:pStyle w:val="Normal"/>
        <w:rPr>
          <w:rFonts w:ascii="Arial" w:hAnsi="Arial" w:cs="Arial"/>
        </w:rPr>
      </w:pPr>
      <w:r>
        <w:rPr>
          <w:rFonts w:cs="Arial" w:ascii="Arial" w:hAnsi="Arial"/>
        </w:rPr>
      </w:r>
    </w:p>
    <w:p>
      <w:pPr>
        <w:pStyle w:val="CIMContactAddress"/>
        <w:spacing w:lineRule="auto" w:line="240" w:before="0" w:after="0"/>
        <w:rPr>
          <w:rFonts w:ascii="Arial" w:hAnsi="Arial" w:cs="Arial"/>
          <w:b/>
          <w:i/>
          <w:i/>
        </w:rPr>
      </w:pPr>
      <w:r>
        <w:rPr>
          <w:rFonts w:cs="Arial" w:ascii="Arial" w:hAnsi="Arial"/>
          <w:b/>
          <w:i/>
        </w:rPr>
        <w:t>Duke Gas Supply and Transportation Agreement</w:t>
      </w:r>
    </w:p>
    <w:p>
      <w:pPr>
        <w:pStyle w:val="Normal"/>
        <w:rPr>
          <w:rFonts w:ascii="Arial" w:hAnsi="Arial" w:cs="Arial"/>
        </w:rPr>
      </w:pPr>
      <w:r>
        <w:rPr>
          <w:rFonts w:cs="Arial" w:ascii="Arial" w:hAnsi="Arial"/>
        </w:rPr>
        <w:t>LVCLP has entered into a Gas Supply and Transportation Agreement with Duke Fuels that expires in April of 2011.  The Maximum Daily Quantity (“MDQ”) to be supplied under this Agreement is 5,000 MMBtu/day, which exceeds LVCLP’s fuel requirements to meet the PPA’s on-peak dispatch load.</w:t>
      </w:r>
    </w:p>
    <w:p>
      <w:pPr>
        <w:pStyle w:val="Normal"/>
        <w:rPr>
          <w:rFonts w:ascii="Arial" w:hAnsi="Arial" w:cs="Arial"/>
        </w:rPr>
      </w:pPr>
      <w:r>
        <w:rPr>
          <w:rFonts w:cs="Arial" w:ascii="Arial" w:hAnsi="Arial"/>
        </w:rPr>
        <w:t xml:space="preserve">The price for gas in the Duke Fuels Gas Supply Agreement is fixed from May 1, 1994 through April 30, 2000; the price floats thereafter, but it has been hedged by ENA for 10 years.  In addition to the index price of gas, LVCLP will reimburse Duke for its transport expenses incurred in moving the gas on the Kern River Pipeline.  Also pursuant to the Duke Fuels Gas Supply Agreement, LVCLP is required to provide Duke Fuels with a letter of credit, guaranteeing its future performance under the contract. </w:t>
      </w:r>
    </w:p>
    <w:p>
      <w:pPr>
        <w:pStyle w:val="Normal"/>
        <w:rPr>
          <w:rFonts w:ascii="Arial" w:hAnsi="Arial" w:cs="Arial"/>
        </w:rPr>
      </w:pPr>
      <w:r>
        <w:rPr>
          <w:rFonts w:cs="Arial" w:ascii="Arial" w:hAnsi="Arial"/>
        </w:rPr>
      </w:r>
    </w:p>
    <w:p>
      <w:pPr>
        <w:pStyle w:val="EventArrow"/>
        <w:spacing w:before="0" w:after="0"/>
        <w:rPr>
          <w:rFonts w:ascii="Arial" w:hAnsi="Arial" w:cs="Arial"/>
          <w:i/>
          <w:i/>
          <w:kern w:val="0"/>
        </w:rPr>
      </w:pPr>
      <w:r>
        <w:rPr>
          <w:rFonts w:cs="Arial" w:ascii="Arial" w:hAnsi="Arial"/>
          <w:i/>
          <w:kern w:val="0"/>
        </w:rPr>
        <w:t>Gas Hedging</w:t>
      </w:r>
    </w:p>
    <w:p>
      <w:pPr>
        <w:pStyle w:val="Normal"/>
        <w:rPr>
          <w:rFonts w:ascii="Arial" w:hAnsi="Arial" w:cs="Arial"/>
        </w:rPr>
      </w:pPr>
      <w:r>
        <w:rPr>
          <w:rFonts w:cs="Arial" w:ascii="Arial" w:hAnsi="Arial"/>
        </w:rPr>
        <w:t>From May 1, 2000, the contract price under the Duke Fuels Gas Supply Agreement is set by reference to a defined market price index.  In order to cover this market price exposure, ENA has entered into a series of forward commodity swaps with LVCLP.  The Project will therefore receive fixed-priced (non-escalating) gas for a period of 10 years from May 1, 2000 to April 30, 2010.  The strike price is $2.405/MMBtu.</w:t>
      </w:r>
    </w:p>
    <w:p>
      <w:pPr>
        <w:pStyle w:val="Normal"/>
        <w:rPr>
          <w:rFonts w:ascii="Arial" w:hAnsi="Arial" w:cs="Arial"/>
        </w:rPr>
      </w:pPr>
      <w:r>
        <w:rPr>
          <w:rFonts w:cs="Arial" w:ascii="Arial" w:hAnsi="Arial"/>
        </w:rPr>
      </w:r>
    </w:p>
    <w:p>
      <w:pPr>
        <w:pStyle w:val="EventArrow"/>
        <w:spacing w:before="0" w:after="0"/>
        <w:rPr>
          <w:rFonts w:ascii="Arial" w:hAnsi="Arial" w:cs="Arial"/>
          <w:i/>
          <w:i/>
          <w:kern w:val="0"/>
        </w:rPr>
      </w:pPr>
      <w:r>
        <w:rPr>
          <w:rFonts w:cs="Arial" w:ascii="Arial" w:hAnsi="Arial"/>
          <w:i/>
          <w:kern w:val="0"/>
        </w:rPr>
        <w:t>Transportation – Kern River Gas Transmission Company</w:t>
      </w:r>
    </w:p>
    <w:p>
      <w:pPr>
        <w:pStyle w:val="Normal"/>
        <w:rPr>
          <w:rFonts w:ascii="Arial" w:hAnsi="Arial" w:cs="Arial"/>
        </w:rPr>
      </w:pPr>
      <w:r>
        <w:rPr>
          <w:rFonts w:cs="Arial" w:ascii="Arial" w:hAnsi="Arial"/>
        </w:rPr>
        <w:t>Duke Fuels’ transportation obligations, under the Duke Fuels Gas Supply Agreement, are performed by Kern River Gas Transmission Company, under an agreement with Duke Fuels (the “KRGTC Agreement”).  This agreement expires in February 2009, but is extendable for successive 1-year periods thereafter, at Duke Fuels’ option.</w:t>
      </w:r>
    </w:p>
    <w:p>
      <w:pPr>
        <w:pStyle w:val="Normal"/>
        <w:rPr>
          <w:rFonts w:ascii="Arial" w:hAnsi="Arial" w:cs="Arial"/>
        </w:rPr>
      </w:pPr>
      <w:r>
        <w:rPr>
          <w:rFonts w:cs="Arial" w:ascii="Arial" w:hAnsi="Arial"/>
        </w:rPr>
        <w:t>Rates are renegotiated prior to any extension of the agreement, but are capped at FERC’s maximum authorized rate for firm transportation service at the time.</w:t>
      </w:r>
    </w:p>
    <w:p>
      <w:pPr>
        <w:pStyle w:val="Normal"/>
        <w:rPr>
          <w:rFonts w:ascii="Arial" w:hAnsi="Arial" w:cs="Arial"/>
        </w:rPr>
      </w:pPr>
      <w:r>
        <w:rPr>
          <w:rFonts w:cs="Arial" w:ascii="Arial" w:hAnsi="Arial"/>
        </w:rPr>
        <w:t xml:space="preserve">The primary receipt points for gas is at Opal, Wyoming, the northern most point of the Kern River Pipeline, and delivery is at the interconnection with Southwest Gas Corporation (“Southwest Gas”) 4.5 miles from the Project site. </w:t>
      </w:r>
    </w:p>
    <w:p>
      <w:pPr>
        <w:pStyle w:val="Normal"/>
        <w:rPr>
          <w:rFonts w:ascii="Arial" w:hAnsi="Arial" w:cs="Arial"/>
        </w:rPr>
      </w:pPr>
      <w:r>
        <w:rPr>
          <w:rFonts w:cs="Arial" w:ascii="Arial" w:hAnsi="Arial"/>
        </w:rPr>
      </w:r>
    </w:p>
    <w:p>
      <w:pPr>
        <w:pStyle w:val="Heading4"/>
        <w:keepLines w:val="false"/>
        <w:spacing w:before="0" w:after="0"/>
        <w:ind w:hanging="0" w:start="0"/>
        <w:rPr/>
      </w:pPr>
      <w:r>
        <w:rPr/>
        <w:t>Transportation – Southwest Gas Corporation</w:t>
      </w:r>
    </w:p>
    <w:p>
      <w:pPr>
        <w:pStyle w:val="Normal"/>
        <w:rPr>
          <w:rFonts w:ascii="Arial" w:hAnsi="Arial" w:cs="Arial"/>
        </w:rPr>
      </w:pPr>
      <w:r>
        <w:rPr>
          <w:rFonts w:cs="Arial" w:ascii="Arial" w:hAnsi="Arial"/>
        </w:rPr>
        <w:t>After transmission of the Project’s gas through Kern River, it is transferred to Southwest Gas’ system, for the final 4.5 miles to the Project site.  LVCLP’s agreement with Southwest is for 17 years (expiring in August 2011), subject to year-to-year extensions thereafter at renegotiated rates.</w:t>
      </w:r>
    </w:p>
    <w:p>
      <w:pPr>
        <w:pStyle w:val="Normal"/>
        <w:rPr>
          <w:rFonts w:ascii="Arial" w:hAnsi="Arial" w:cs="Arial"/>
        </w:rPr>
      </w:pPr>
      <w:r>
        <w:rPr>
          <w:rFonts w:cs="Arial" w:ascii="Arial" w:hAnsi="Arial"/>
        </w:rPr>
        <w:t xml:space="preserve">The MDQ in the Southwest Gas Agreement is 5,200 MMBtu/day (4% above the Duke Fuels MDQ).  The rates for firm transportation escalate at 80% of the change in CPI, matching the revenue escalations built into the PPA. Pursuant to the agreement, Southwest Gas constructed a 4.5-mile spur connecting Kern River to the Project site specifically to service the LVCLP.  Although the cost of construction was fully covered by Southwest Gas, the company also sought assurances that it would not lose the value of its capital investment due to LVCLP’s non-performance of its obligations under the Gas Agreement.  To satisfy Southwest Gas’s requirement, the LVCLP has supplied  a $0.89 million letter of credit.  The amount of the letter of credit amortizes during the term of the senior debt according to the depreciation schedule of the spur and can be drawn in the event of LVCLP’s non-performance under the contract.  </w:t>
      </w:r>
    </w:p>
    <w:p>
      <w:pPr>
        <w:pStyle w:val="Normal"/>
        <w:rPr>
          <w:rFonts w:ascii="Arial" w:hAnsi="Arial" w:cs="Arial"/>
        </w:rPr>
      </w:pPr>
      <w:r>
        <w:rPr>
          <w:rFonts w:cs="Arial" w:ascii="Arial" w:hAnsi="Arial"/>
        </w:rPr>
      </w:r>
    </w:p>
    <w:p>
      <w:pPr>
        <w:pStyle w:val="Heading4"/>
        <w:keepLines w:val="false"/>
        <w:spacing w:before="0" w:after="0"/>
        <w:ind w:hanging="0" w:start="0"/>
        <w:rPr/>
      </w:pPr>
      <w:r>
        <w:rPr/>
        <w:t>Secondary Gas Supply and Transportation Arrangements</w:t>
      </w:r>
    </w:p>
    <w:p>
      <w:pPr>
        <w:pStyle w:val="Normal"/>
        <w:rPr/>
      </w:pPr>
      <w:r>
        <w:rPr>
          <w:rFonts w:cs="Arial" w:ascii="Arial" w:hAnsi="Arial"/>
        </w:rPr>
        <w:t xml:space="preserve">As a condition to the approval of the PPA by the Nevada Public Utilities Commission (“NPUC”), LVCLP has to demonstrate pursuant to the NPUC order, </w:t>
      </w:r>
      <w:r>
        <w:rPr>
          <w:rFonts w:cs="Arial" w:ascii="Arial" w:hAnsi="Arial"/>
          <w:i/>
        </w:rPr>
        <w:t>inter alia</w:t>
      </w:r>
      <w:r>
        <w:rPr>
          <w:rFonts w:cs="Arial" w:ascii="Arial" w:hAnsi="Arial"/>
        </w:rPr>
        <w:t>, that it has entered into primary and secondary gas supply arrangements of at least a 15 year duration.  To satisfy this requirement, LVCLP has entered into a secondary gas supply and transportation agreement with ENA.  The secondary gas supply agreement is for 5,000 MMBtu/day and runs from September 1, 1999 through May 31, 2024.  Daily pricing is equal to the SoCal Border price plus $0.10/MMBtu and the primary delivery point is the interconnection between the El Paso Pipeline and the Southwest Gas Company.   Upon ENA’s divestiture of SWP, LVCLP will need to replace the Secondary Gas Supply and Transportation Agreement.</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Greenhouse Lease Agreement</w:t>
      </w:r>
    </w:p>
    <w:p>
      <w:pPr>
        <w:pStyle w:val="Normal"/>
        <w:rPr>
          <w:rFonts w:ascii="Arial" w:hAnsi="Arial" w:cs="Arial"/>
        </w:rPr>
      </w:pPr>
      <w:r>
        <w:rPr>
          <w:rFonts w:cs="Arial" w:ascii="Arial" w:hAnsi="Arial"/>
        </w:rPr>
        <w:t>Pursuant to a Greenhouse Lease Agreement LVCLP:</w:t>
      </w:r>
    </w:p>
    <w:p>
      <w:pPr>
        <w:pStyle w:val="Normal"/>
        <w:numPr>
          <w:ilvl w:val="0"/>
          <w:numId w:val="5"/>
        </w:numPr>
        <w:rPr>
          <w:rFonts w:ascii="Arial" w:hAnsi="Arial" w:cs="Arial"/>
        </w:rPr>
      </w:pPr>
      <w:r>
        <w:rPr>
          <w:rFonts w:cs="Arial" w:ascii="Arial" w:hAnsi="Arial"/>
        </w:rPr>
        <w:t xml:space="preserve">leases land to Sunco, and </w:t>
      </w:r>
    </w:p>
    <w:p>
      <w:pPr>
        <w:pStyle w:val="Normal"/>
        <w:numPr>
          <w:ilvl w:val="0"/>
          <w:numId w:val="5"/>
        </w:numPr>
        <w:rPr>
          <w:rFonts w:ascii="Arial" w:hAnsi="Arial" w:cs="Arial"/>
        </w:rPr>
      </w:pPr>
      <w:r>
        <w:rPr>
          <w:rFonts w:cs="Arial" w:ascii="Arial" w:hAnsi="Arial"/>
        </w:rPr>
        <w:t>supplies Sunco’s requirements for thermal energy for the production of agricultural crops in the greenhouse.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In consideration for the above, Sunco pays rent to LVCLP in an amount equal to 100% of its net revenue to LVCLP, net revenue being defined as all revenues received by Sunco less all the direct and indirect expenses incurred in operating the greenhouse.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Sunco is required to remit 100% of the revenues to LVCLP within two days of receiving them. Sunco is also required to prepare, no later than 90 days before the end of each year, an annual operating budget for the succeeding year for all expenses.  Within two days of funds being available to LVCLP for that purpose. LVCLP is in turn required to advance, on a month-by-month basis, the funds budgeted for each month to Sunco. Any surplus funds remaining after application to budgeted items will at LVCLP’s option either be returned to LVCLP or set off against the subsequent month’s advances.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Also pursuant to the Greenhouse Lease Agreement, LVCLP is required to obtain and maintain insurance for the greenhouse operations to the extent required by the Lenders.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lease agreement expires in 2009. Before that date, both parties to the contract have the right to terminate it at will as long as they give the other party at least a 24-month notice. The risk of the lease terminating against the interests of the Project is substantially mitigated by the fact that SWP has acquired both parties to the contract, thus ultimately retaining control of the lease at both ends.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SWP is currently in the process of soliciting bids for the sale of the greenhouse, since the potential removal of the QF status as a result of negotiations with Nevada Power will eliminate the need for a thermal host.  If LVCLP retains QF status, the buyer of LVCLP could retain ownership of Sunco or negotiate a new commercial agreement. [Is the lease term extended, if Sunco is sold?  ]</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Operation &amp; Maintenance Arrangements</w:t>
      </w:r>
    </w:p>
    <w:p>
      <w:pPr>
        <w:pStyle w:val="Normal"/>
        <w:rPr>
          <w:rFonts w:ascii="Arial" w:hAnsi="Arial" w:cs="Arial"/>
        </w:rPr>
      </w:pPr>
      <w:r>
        <w:rPr>
          <w:rFonts w:cs="Arial" w:ascii="Arial" w:hAnsi="Arial"/>
        </w:rPr>
        <w:t xml:space="preserve">The power plant is currently operated by LVCLP with a staff of 10. The management team is comprised of a plant manager, a plant engineer, and plant administrator. Under ENA’s member management responsibilities on behalf of Southwest Power, LLC, O&amp;M is provided by the LVCLP.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Biographies</w:t>
      </w:r>
    </w:p>
    <w:p>
      <w:pPr>
        <w:pStyle w:val="Normal"/>
        <w:rPr/>
      </w:pPr>
      <w:r>
        <w:rPr>
          <w:rFonts w:cs="Arial" w:ascii="Arial" w:hAnsi="Arial"/>
          <w:b/>
        </w:rPr>
        <w:t xml:space="preserve">R.D. Hawkins – President and Plant Manager.  </w:t>
      </w:r>
      <w:r>
        <w:rPr>
          <w:rFonts w:cs="Arial" w:ascii="Arial" w:hAnsi="Arial"/>
        </w:rPr>
        <w:t xml:space="preserve">RD Hawkins has more than 36 years of experience in power plant engineering, construction, procurement, operation, and maintenance.  Mr. Hawkins joined LVCLP as the operations and maintenance manager in 1997.  Prior to joining LVCLP, Mr. Hawkins held several positions with Raytheon Engineers and Constructors, Western Electrochemical Company, and Kaiser Engineers.  Mr. Hawkins holds a BS in Civil Engineering from Brigham Young University. </w:t>
      </w:r>
    </w:p>
    <w:p>
      <w:pPr>
        <w:pStyle w:val="Normal"/>
        <w:rPr>
          <w:rFonts w:ascii="Arial" w:hAnsi="Arial" w:cs="Arial"/>
          <w:b/>
        </w:rPr>
      </w:pPr>
      <w:r>
        <w:rPr>
          <w:rFonts w:cs="Arial" w:ascii="Arial" w:hAnsi="Arial"/>
          <w:b/>
        </w:rPr>
        <w:t xml:space="preserve">Scott M. Jacobucci – Operations and Maintenance Manager.  </w:t>
      </w:r>
      <w:r>
        <w:rPr>
          <w:rFonts w:cs="Arial" w:ascii="Arial" w:hAnsi="Arial"/>
        </w:rPr>
        <w:t>Scott Jacobucci joined LVCLP in 1996 as a plant engineer.  Prior to joining LVCLP, Mr. Jacobucci worked at Bechtel Nevada Corporation as a mechanical engineer.  Mr. Jacobucci holds a BS in Mechanical Engineering from California State University at Long Beach and an MS in Mechanical Engineering from the University of Nevada Las Vegas.</w:t>
      </w:r>
    </w:p>
    <w:p>
      <w:pPr>
        <w:pStyle w:val="Normal"/>
        <w:rPr/>
      </w:pPr>
      <w:r>
        <w:rPr>
          <w:rFonts w:cs="Arial" w:ascii="Arial" w:hAnsi="Arial"/>
          <w:b/>
        </w:rPr>
        <w:t xml:space="preserve">Deborah A. </w:t>
      </w:r>
      <w:r>
        <w:rPr>
          <w:rFonts w:cs="Arial" w:ascii="Arial" w:hAnsi="Arial"/>
        </w:rPr>
        <w:t>Crider – Plant Administrator.  Ms. Crider has worked for LVCLP since May 1996 in various capacities.  Her primary responsibilities include human resources, accounts payable, payroll, and maintaining all plant paperwork.</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Insurance</w:t>
      </w:r>
    </w:p>
    <w:p>
      <w:pPr>
        <w:pStyle w:val="Normal"/>
        <w:rPr>
          <w:rFonts w:ascii="Arial" w:hAnsi="Arial" w:cs="Arial"/>
        </w:rPr>
      </w:pPr>
      <w:r>
        <w:rPr>
          <w:rFonts w:cs="Arial" w:ascii="Arial" w:hAnsi="Arial"/>
        </w:rPr>
        <w:t>LVCLP has been insured under Enron/ENA’s umbrella insurance arrangements and provides coverage for customary risks including physical damage, boiler and machinery and business interruption.  Following the sale of LVCLP by ENA, LVCLP or the potential buyer will have to arrange for the appropriate coverage.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Ownership and Contractual Counterparts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Las Vegas Cogeneration Limited Partnership</w:t>
      </w:r>
    </w:p>
    <w:p>
      <w:pPr>
        <w:pStyle w:val="Normal"/>
        <w:rPr>
          <w:rFonts w:ascii="Arial" w:hAnsi="Arial" w:cs="Arial"/>
        </w:rPr>
      </w:pPr>
      <w:r>
        <w:rPr>
          <w:rFonts w:cs="Arial" w:ascii="Arial" w:hAnsi="Arial"/>
        </w:rPr>
        <w:t>The ownership structure that will be created following the collapse of the multi-tiered ownership structure is depicted below.</w:t>
      </w:r>
    </w:p>
    <w:p>
      <w:pPr>
        <w:pStyle w:val="Normal"/>
        <w:rPr>
          <w:rFonts w:ascii="Arial" w:hAnsi="Arial" w:cs="Arial"/>
        </w:rPr>
      </w:pPr>
      <w:bookmarkStart w:id="0" w:name="_1028730697"/>
      <w:bookmarkStart w:id="1" w:name="_1028730452"/>
      <w:bookmarkStart w:id="2" w:name="_1028730358"/>
      <w:bookmarkStart w:id="3" w:name="_1028561027"/>
      <w:bookmarkStart w:id="4" w:name="_1028540470"/>
      <w:bookmarkStart w:id="5" w:name="_1028452662"/>
      <w:bookmarkStart w:id="6" w:name="_1028452545"/>
      <w:bookmarkStart w:id="7" w:name="_1028452428"/>
      <w:bookmarkStart w:id="8" w:name="_1001260974"/>
      <w:bookmarkEnd w:id="0"/>
      <w:bookmarkEnd w:id="1"/>
      <w:bookmarkEnd w:id="2"/>
      <w:bookmarkEnd w:id="3"/>
      <w:bookmarkEnd w:id="4"/>
      <w:bookmarkEnd w:id="5"/>
      <w:bookmarkEnd w:id="6"/>
      <w:bookmarkEnd w:id="7"/>
      <w:bookmarkEnd w:id="8"/>
      <w:r>
        <w:rPr>
          <w:rFonts w:cs="Arial" w:ascii="Arial" w:hAnsi="Arial"/>
        </w:rPr>
        <w:object w:dxaOrig="14400" w:dyaOrig="108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95.9pt;height:207.45pt" filled="f" o:ole="">
            <v:imagedata r:id="rId5" o:title=""/>
          </v:shape>
          <o:OLEObject Type="Embed" ProgID="PowerPoint.Show.12" ShapeID="ole_rId4" DrawAspect="Content" ObjectID="_673957530" r:id="rId4"/>
        </w:object>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t>Financing Structure</w:t>
      </w:r>
    </w:p>
    <w:p>
      <w:pPr>
        <w:pStyle w:val="Normal"/>
        <w:rPr>
          <w:rFonts w:ascii="Arial" w:hAnsi="Arial" w:cs="Arial"/>
        </w:rPr>
      </w:pPr>
      <w:r>
        <w:rPr>
          <w:rFonts w:cs="Arial" w:ascii="Arial" w:hAnsi="Arial"/>
        </w:rPr>
      </w:r>
    </w:p>
    <w:p>
      <w:pPr>
        <w:pStyle w:val="EventArrow"/>
        <w:spacing w:before="0" w:after="0"/>
        <w:rPr/>
      </w:pPr>
      <w:r>
        <w:rPr/>
        <w:sym w:font="NewspaperPi BT;Symbol" w:char="4b"/>
        <w:sym w:font="NewspaperPi BT;Symbol" w:char="65"/>
        <w:sym w:font="NewspaperPi BT;Symbol" w:char="79"/>
        <w:sym w:font="NewspaperPi BT;Symbol" w:char="20"/>
        <w:sym w:font="NewspaperPi BT;Symbol" w:char="54"/>
        <w:sym w:font="NewspaperPi BT;Symbol" w:char="65"/>
        <w:sym w:font="NewspaperPi BT;Symbol" w:char="72"/>
        <w:sym w:font="NewspaperPi BT;Symbol" w:char="6d"/>
        <w:sym w:font="NewspaperPi BT;Symbol" w:char="73"/>
        <w:sym w:font="NewspaperPi BT;Symbol" w:char="20"/>
        <w:sym w:font="NewspaperPi BT;Symbol" w:char="61"/>
        <w:sym w:font="NewspaperPi BT;Symbol" w:char="6e"/>
        <w:sym w:font="NewspaperPi BT;Symbol" w:char="64"/>
        <w:sym w:font="NewspaperPi BT;Symbol" w:char="20"/>
        <w:sym w:font="NewspaperPi BT;Symbol" w:char="43"/>
        <w:sym w:font="NewspaperPi BT;Symbol" w:char="6f"/>
        <w:sym w:font="NewspaperPi BT;Symbol" w:char="6e"/>
        <w:sym w:font="NewspaperPi BT;Symbol" w:char="64"/>
        <w:sym w:font="NewspaperPi BT;Symbol" w:char="69"/>
        <w:sym w:font="NewspaperPi BT;Symbol" w:char="74"/>
        <w:sym w:font="NewspaperPi BT;Symbol" w:char="69"/>
        <w:sym w:font="NewspaperPi BT;Symbol" w:char="6f"/>
        <w:sym w:font="NewspaperPi BT;Symbol" w:char="6e"/>
        <w:sym w:font="NewspaperPi BT;Symbol" w:char="73"/>
        <w:sym w:font="NewspaperPi BT;Symbol" w:char="20"/>
        <w:sym w:font="NewspaperPi BT;Symbol" w:char="6f"/>
        <w:sym w:font="NewspaperPi BT;Symbol" w:char="66"/>
        <w:sym w:font="NewspaperPi BT;Symbol" w:char="20"/>
        <w:sym w:font="NewspaperPi BT;Symbol" w:char="53"/>
        <w:sym w:font="NewspaperPi BT;Symbol" w:char="65"/>
        <w:sym w:font="NewspaperPi BT;Symbol" w:char="6e"/>
        <w:sym w:font="NewspaperPi BT;Symbol" w:char="69"/>
        <w:sym w:font="NewspaperPi BT;Symbol" w:char="6f"/>
        <w:sym w:font="NewspaperPi BT;Symbol" w:char="72"/>
        <w:sym w:font="NewspaperPi BT;Symbol" w:char="20"/>
        <w:sym w:font="NewspaperPi BT;Symbol" w:char="44"/>
        <w:sym w:font="NewspaperPi BT;Symbol" w:char="65"/>
        <w:sym w:font="NewspaperPi BT;Symbol" w:char="62"/>
        <w:sym w:font="NewspaperPi BT;Symbol" w:char="74"/>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Normal"/>
              <w:spacing w:before="120" w:after="60"/>
              <w:rPr>
                <w:rFonts w:ascii="Arial" w:hAnsi="Arial" w:cs="Arial"/>
                <w:b/>
              </w:rPr>
            </w:pPr>
            <w:r>
              <w:rPr>
                <w:rFonts w:cs="Arial" w:ascii="Arial" w:hAnsi="Arial"/>
                <w:b/>
              </w:rPr>
              <w:t>Borrower:</w:t>
            </w:r>
          </w:p>
        </w:tc>
        <w:tc>
          <w:tcPr>
            <w:tcW w:w="450" w:type="dxa"/>
            <w:tcBorders/>
          </w:tcPr>
          <w:p>
            <w:pPr>
              <w:pStyle w:val="Normal"/>
              <w:snapToGrid w:val="false"/>
              <w:spacing w:before="120" w:after="60"/>
              <w:rPr>
                <w:rFonts w:ascii="Arial" w:hAnsi="Arial" w:cs="Arial"/>
                <w:b/>
              </w:rPr>
            </w:pPr>
            <w:r>
              <w:rPr>
                <w:rFonts w:cs="Arial" w:ascii="Arial" w:hAnsi="Arial"/>
                <w:b/>
              </w:rPr>
            </w:r>
          </w:p>
        </w:tc>
        <w:tc>
          <w:tcPr>
            <w:tcW w:w="6120" w:type="dxa"/>
            <w:tcBorders/>
          </w:tcPr>
          <w:p>
            <w:pPr>
              <w:pStyle w:val="Normal"/>
              <w:spacing w:before="120" w:after="60"/>
              <w:rPr>
                <w:rFonts w:ascii="Arial" w:hAnsi="Arial" w:cs="Arial"/>
              </w:rPr>
            </w:pPr>
            <w:r>
              <w:rPr>
                <w:rFonts w:cs="Arial" w:ascii="Arial" w:hAnsi="Arial"/>
              </w:rPr>
              <w:t>Las Vegas Cogeneration Limited Partnership, a Nevada limited partnership, the owner and operator of a 54 MW cogeneration facility located in North Las Vegas, NV (together with all related agreements and facilities, the “Project”).  The General and Limited Partners of the Borrower will be wholly owned subsidiaries of Southwest Power L.L.C., a Delaware limited liability company in which Enron North America Corp. (“ENA”) and its affiliates hold a substantial interest.  Ownership is structured to maintain QF status</w:t>
            </w:r>
            <w:r>
              <w:rPr>
                <w:rFonts w:cs="Arial" w:ascii="Arial" w:hAnsi="Arial"/>
                <w:b/>
              </w:rPr>
              <w:t xml:space="preserve">.  </w:t>
            </w:r>
          </w:p>
        </w:tc>
      </w:tr>
    </w:tbl>
    <w:p>
      <w:pPr>
        <w:pStyle w:val="Heading-Level4"/>
        <w:keepNext w:val="false"/>
        <w:keepLines w:val="false"/>
        <w:spacing w:before="0" w:after="0"/>
        <w:outlineLvl w:val="9"/>
        <w:rPr/>
      </w:pPr>
      <w:r>
        <w:rPr/>
      </w:r>
    </w:p>
    <w:p>
      <w:pPr>
        <w:pStyle w:val="Normal"/>
        <w:rPr>
          <w:rFonts w:ascii="Arial" w:hAnsi="Arial" w:cs="Arial"/>
          <w:b/>
          <w:i/>
          <w:i/>
        </w:rPr>
      </w:pPr>
      <w:r>
        <w:rPr>
          <w:rFonts w:cs="Arial" w:ascii="Arial" w:hAnsi="Arial"/>
          <w:b/>
          <w:i/>
        </w:rPr>
      </w:r>
    </w:p>
    <w:p>
      <w:pPr>
        <w:pStyle w:val="EventArrow"/>
        <w:spacing w:before="0" w:after="0"/>
        <w:rPr/>
      </w:pPr>
      <w:r>
        <w:rPr/>
        <w:sym w:font="NewspaperPi BT;Symbol" w:char="54"/>
        <w:sym w:font="NewspaperPi BT;Symbol" w:char="65"/>
        <w:sym w:font="NewspaperPi BT;Symbol" w:char="72"/>
        <w:sym w:font="NewspaperPi BT;Symbol" w:char="6d"/>
        <w:sym w:font="NewspaperPi BT;Symbol" w:char="20"/>
        <w:sym w:font="NewspaperPi BT;Symbol" w:char="4c"/>
        <w:sym w:font="NewspaperPi BT;Symbol" w:char="6f"/>
        <w:sym w:font="NewspaperPi BT;Symbol" w:char="61"/>
        <w:sym w:font="NewspaperPi BT;Symbol" w:char="6e"/>
      </w:r>
    </w:p>
    <w:tbl>
      <w:tblPr>
        <w:tblW w:w="8748" w:type="dxa"/>
        <w:jc w:val="start"/>
        <w:tblInd w:w="0" w:type="dxa"/>
        <w:tblLayout w:type="fixed"/>
        <w:tblCellMar>
          <w:top w:w="0" w:type="dxa"/>
          <w:start w:w="108" w:type="dxa"/>
          <w:bottom w:w="0" w:type="dxa"/>
          <w:end w:w="108" w:type="dxa"/>
        </w:tblCellMar>
      </w:tblPr>
      <w:tblGrid>
        <w:gridCol w:w="2358"/>
        <w:gridCol w:w="270"/>
        <w:gridCol w:w="3690"/>
        <w:gridCol w:w="2430"/>
      </w:tblGrid>
      <w:tr>
        <w:trPr/>
        <w:tc>
          <w:tcPr>
            <w:tcW w:w="2358" w:type="dxa"/>
            <w:tcBorders/>
          </w:tcPr>
          <w:p>
            <w:pPr>
              <w:pStyle w:val="Normal"/>
              <w:spacing w:before="120" w:after="60"/>
              <w:rPr>
                <w:rFonts w:ascii="Arial" w:hAnsi="Arial" w:cs="Arial"/>
                <w:b/>
              </w:rPr>
            </w:pPr>
            <w:r>
              <w:rPr>
                <w:rFonts w:cs="Arial" w:ascii="Arial" w:hAnsi="Arial"/>
                <w:b/>
              </w:rPr>
              <w:t>Borrower:</w:t>
            </w:r>
          </w:p>
        </w:tc>
        <w:tc>
          <w:tcPr>
            <w:tcW w:w="270" w:type="dxa"/>
            <w:tcBorders/>
          </w:tcPr>
          <w:p>
            <w:pPr>
              <w:pStyle w:val="Normal"/>
              <w:snapToGrid w:val="false"/>
              <w:spacing w:before="120" w:after="60"/>
              <w:rPr>
                <w:rFonts w:ascii="Arial" w:hAnsi="Arial" w:cs="Arial"/>
                <w:b/>
              </w:rPr>
            </w:pPr>
            <w:r>
              <w:rPr>
                <w:rFonts w:cs="Arial" w:ascii="Arial" w:hAnsi="Arial"/>
                <w:b/>
              </w:rPr>
            </w:r>
          </w:p>
        </w:tc>
        <w:tc>
          <w:tcPr>
            <w:tcW w:w="6120" w:type="dxa"/>
            <w:gridSpan w:val="2"/>
            <w:tcBorders/>
          </w:tcPr>
          <w:p>
            <w:pPr>
              <w:pStyle w:val="Normal"/>
              <w:spacing w:before="120" w:after="60"/>
              <w:rPr>
                <w:rFonts w:ascii="Arial" w:hAnsi="Arial" w:cs="Arial"/>
              </w:rPr>
            </w:pPr>
            <w:r>
              <w:rPr>
                <w:rFonts w:cs="Arial" w:ascii="Arial" w:hAnsi="Arial"/>
              </w:rPr>
              <w:t>LVCLP</w:t>
            </w:r>
          </w:p>
        </w:tc>
      </w:tr>
      <w:tr>
        <w:trPr/>
        <w:tc>
          <w:tcPr>
            <w:tcW w:w="2358" w:type="dxa"/>
            <w:tcBorders/>
          </w:tcPr>
          <w:p>
            <w:pPr>
              <w:pStyle w:val="Normal"/>
              <w:spacing w:before="60" w:after="60"/>
              <w:rPr>
                <w:rFonts w:ascii="Arial" w:hAnsi="Arial" w:cs="Arial"/>
                <w:b/>
              </w:rPr>
            </w:pPr>
            <w:r>
              <w:rPr>
                <w:rFonts w:cs="Arial" w:ascii="Arial" w:hAnsi="Arial"/>
                <w:b/>
              </w:rPr>
              <w:t>Underwriter:</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National Westminster Bank Plc (“NWB”), acting through Greenwich NatWest Structured Finance, Inc. (“GNW”) as Arranger.</w:t>
            </w:r>
          </w:p>
        </w:tc>
      </w:tr>
      <w:tr>
        <w:trPr/>
        <w:tc>
          <w:tcPr>
            <w:tcW w:w="2358" w:type="dxa"/>
            <w:tcBorders/>
          </w:tcPr>
          <w:p>
            <w:pPr>
              <w:pStyle w:val="EventArrow"/>
              <w:spacing w:before="60" w:after="60"/>
              <w:rPr>
                <w:rFonts w:ascii="Arial" w:hAnsi="Arial" w:cs="Arial"/>
                <w:kern w:val="0"/>
              </w:rPr>
            </w:pPr>
            <w:r>
              <w:rPr>
                <w:rFonts w:cs="Arial" w:ascii="Arial" w:hAnsi="Arial"/>
                <w:kern w:val="0"/>
              </w:rPr>
              <w:t>Agent and LOC Issuing Bank:</w:t>
            </w:r>
          </w:p>
        </w:tc>
        <w:tc>
          <w:tcPr>
            <w:tcW w:w="270" w:type="dxa"/>
            <w:tcBorders/>
          </w:tcPr>
          <w:p>
            <w:pPr>
              <w:pStyle w:val="Normal"/>
              <w:snapToGrid w:val="false"/>
              <w:spacing w:before="60" w:after="60"/>
              <w:rPr>
                <w:rFonts w:ascii="Arial" w:hAnsi="Arial" w:cs="Arial"/>
                <w:kern w:val="0"/>
              </w:rPr>
            </w:pPr>
            <w:r>
              <w:rPr>
                <w:rFonts w:cs="Arial" w:ascii="Arial" w:hAnsi="Arial"/>
                <w:kern w:val="0"/>
              </w:rPr>
            </w:r>
          </w:p>
        </w:tc>
        <w:tc>
          <w:tcPr>
            <w:tcW w:w="6120" w:type="dxa"/>
            <w:gridSpan w:val="2"/>
            <w:tcBorders/>
          </w:tcPr>
          <w:p>
            <w:pPr>
              <w:pStyle w:val="Normal"/>
              <w:spacing w:before="60" w:after="60"/>
              <w:rPr>
                <w:rFonts w:ascii="Arial" w:hAnsi="Arial" w:cs="Arial"/>
              </w:rPr>
            </w:pPr>
            <w:r>
              <w:rPr>
                <w:rFonts w:cs="Arial" w:ascii="Arial" w:hAnsi="Arial"/>
              </w:rPr>
              <w:t>NWB.</w:t>
            </w:r>
          </w:p>
        </w:tc>
      </w:tr>
      <w:tr>
        <w:trPr/>
        <w:tc>
          <w:tcPr>
            <w:tcW w:w="2358" w:type="dxa"/>
            <w:tcBorders/>
          </w:tcPr>
          <w:p>
            <w:pPr>
              <w:pStyle w:val="Normal"/>
              <w:spacing w:before="60" w:after="60"/>
              <w:rPr>
                <w:rFonts w:ascii="Arial" w:hAnsi="Arial" w:cs="Arial"/>
                <w:b/>
              </w:rPr>
            </w:pPr>
            <w:r>
              <w:rPr>
                <w:rFonts w:cs="Arial" w:ascii="Arial" w:hAnsi="Arial"/>
                <w:b/>
              </w:rPr>
              <w:t>Amount:</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$56,500,000</w:t>
            </w:r>
          </w:p>
        </w:tc>
      </w:tr>
      <w:tr>
        <w:trPr/>
        <w:tc>
          <w:tcPr>
            <w:tcW w:w="2358" w:type="dxa"/>
            <w:tcBorders/>
          </w:tcPr>
          <w:p>
            <w:pPr>
              <w:pStyle w:val="Normal"/>
              <w:spacing w:before="60" w:after="60"/>
              <w:rPr>
                <w:rFonts w:ascii="Arial" w:hAnsi="Arial" w:cs="Arial"/>
                <w:b/>
              </w:rPr>
            </w:pPr>
            <w:r>
              <w:rPr>
                <w:rFonts w:cs="Arial" w:ascii="Arial" w:hAnsi="Arial"/>
                <w:b/>
              </w:rPr>
              <w:t>Use of Proceeds:</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Refinance existing indebtedness of the Borrower, finance certain capital improvements agreed prior to the Closing Date (including the purchase of a replacement GE LM 6000 PC gas turbine, as well as certain repairs and modifications to the HRSG), provide initial working capital, and pay transaction costs.</w:t>
            </w:r>
          </w:p>
        </w:tc>
      </w:tr>
      <w:tr>
        <w:trPr/>
        <w:tc>
          <w:tcPr>
            <w:tcW w:w="2358" w:type="dxa"/>
            <w:tcBorders/>
          </w:tcPr>
          <w:p>
            <w:pPr>
              <w:pStyle w:val="Normal"/>
              <w:spacing w:before="60" w:after="60"/>
              <w:rPr>
                <w:rFonts w:ascii="Arial" w:hAnsi="Arial" w:cs="Arial"/>
                <w:b/>
              </w:rPr>
            </w:pPr>
            <w:r>
              <w:rPr>
                <w:rFonts w:cs="Arial" w:ascii="Arial" w:hAnsi="Arial"/>
                <w:b/>
              </w:rPr>
              <w:t>Closing Date:</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August 31, 1999</w:t>
            </w:r>
            <w:r>
              <w:rPr>
                <w:rFonts w:cs="Arial" w:ascii="Arial" w:hAnsi="Arial"/>
                <w:b/>
              </w:rPr>
              <w:t xml:space="preserve">.   </w:t>
            </w:r>
          </w:p>
        </w:tc>
      </w:tr>
      <w:tr>
        <w:trPr/>
        <w:tc>
          <w:tcPr>
            <w:tcW w:w="2358" w:type="dxa"/>
            <w:tcBorders/>
          </w:tcPr>
          <w:p>
            <w:pPr>
              <w:pStyle w:val="Normal"/>
              <w:spacing w:before="60" w:after="60"/>
              <w:rPr>
                <w:rFonts w:ascii="Arial" w:hAnsi="Arial" w:cs="Arial"/>
                <w:b/>
              </w:rPr>
            </w:pPr>
            <w:r>
              <w:rPr>
                <w:rFonts w:cs="Arial" w:ascii="Arial" w:hAnsi="Arial"/>
                <w:b/>
              </w:rPr>
              <w:t>Final Maturity Date:</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September 30, 2009 (10 years and 1 month).</w:t>
            </w:r>
          </w:p>
        </w:tc>
      </w:tr>
      <w:tr>
        <w:trPr/>
        <w:tc>
          <w:tcPr>
            <w:tcW w:w="2358" w:type="dxa"/>
            <w:tcBorders/>
          </w:tcPr>
          <w:p>
            <w:pPr>
              <w:pStyle w:val="Normal"/>
              <w:spacing w:before="60" w:after="60"/>
              <w:rPr>
                <w:rFonts w:ascii="Arial" w:hAnsi="Arial" w:cs="Arial"/>
                <w:b/>
              </w:rPr>
            </w:pPr>
            <w:r>
              <w:rPr>
                <w:rFonts w:cs="Arial" w:ascii="Arial" w:hAnsi="Arial"/>
                <w:b/>
              </w:rPr>
              <w:t>Interest:</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(a)  LIBOR plus:</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pacing w:before="60" w:after="60"/>
              <w:rPr>
                <w:rFonts w:ascii="Arial" w:hAnsi="Arial" w:eastAsia="Arial" w:cs="Arial"/>
              </w:rPr>
            </w:pPr>
            <w:r>
              <w:rPr>
                <w:rFonts w:eastAsia="Arial" w:cs="Arial" w:ascii="Arial" w:hAnsi="Arial"/>
              </w:rPr>
              <w:t xml:space="preserve"> </w:t>
            </w:r>
          </w:p>
        </w:tc>
        <w:tc>
          <w:tcPr>
            <w:tcW w:w="3690" w:type="dxa"/>
            <w:tcBorders/>
          </w:tcPr>
          <w:p>
            <w:pPr>
              <w:pStyle w:val="Normal"/>
              <w:spacing w:before="60" w:after="60"/>
              <w:rPr>
                <w:rFonts w:ascii="Arial" w:hAnsi="Arial" w:cs="Arial"/>
              </w:rPr>
            </w:pPr>
            <w:r>
              <w:rPr>
                <w:rFonts w:cs="Arial" w:ascii="Arial" w:hAnsi="Arial"/>
              </w:rPr>
              <w:t xml:space="preserve">From Closing Date to 30-Sep-02:   </w:t>
            </w:r>
          </w:p>
          <w:p>
            <w:pPr>
              <w:pStyle w:val="Normal"/>
              <w:spacing w:before="60" w:after="60"/>
              <w:rPr>
                <w:rFonts w:ascii="Arial" w:hAnsi="Arial" w:cs="Arial"/>
              </w:rPr>
            </w:pPr>
            <w:r>
              <w:rPr>
                <w:rFonts w:cs="Arial" w:ascii="Arial" w:hAnsi="Arial"/>
              </w:rPr>
              <w:t>From 01-Oct-02 to 30-Sep-05:</w:t>
            </w:r>
          </w:p>
          <w:p>
            <w:pPr>
              <w:pStyle w:val="Normal"/>
              <w:spacing w:before="60" w:after="60"/>
              <w:rPr>
                <w:rFonts w:ascii="Arial" w:hAnsi="Arial" w:cs="Arial"/>
              </w:rPr>
            </w:pPr>
            <w:r>
              <w:rPr>
                <w:rFonts w:cs="Arial" w:ascii="Arial" w:hAnsi="Arial"/>
              </w:rPr>
              <w:t xml:space="preserve">From 01-Oct-05 to 30-Sep-09:   </w:t>
            </w:r>
          </w:p>
        </w:tc>
        <w:tc>
          <w:tcPr>
            <w:tcW w:w="2430" w:type="dxa"/>
            <w:tcBorders/>
          </w:tcPr>
          <w:p>
            <w:pPr>
              <w:pStyle w:val="Normal"/>
              <w:spacing w:before="60" w:after="60"/>
              <w:rPr>
                <w:rFonts w:ascii="Arial" w:hAnsi="Arial" w:cs="Arial"/>
              </w:rPr>
            </w:pPr>
            <w:r>
              <w:rPr>
                <w:rFonts w:cs="Arial" w:ascii="Arial" w:hAnsi="Arial"/>
              </w:rPr>
              <w:t>1.125%</w:t>
            </w:r>
          </w:p>
          <w:p>
            <w:pPr>
              <w:pStyle w:val="Normal"/>
              <w:spacing w:before="60" w:after="60"/>
              <w:rPr>
                <w:rFonts w:ascii="Arial" w:hAnsi="Arial" w:cs="Arial"/>
              </w:rPr>
            </w:pPr>
            <w:r>
              <w:rPr>
                <w:rFonts w:cs="Arial" w:ascii="Arial" w:hAnsi="Arial"/>
              </w:rPr>
              <w:t>1.375%</w:t>
            </w:r>
          </w:p>
          <w:p>
            <w:pPr>
              <w:pStyle w:val="Normal"/>
              <w:spacing w:before="60" w:after="60"/>
              <w:rPr>
                <w:rFonts w:ascii="Arial" w:hAnsi="Arial" w:cs="Arial"/>
                <w:b/>
                <w:i/>
                <w:i/>
              </w:rPr>
            </w:pPr>
            <w:r>
              <w:rPr>
                <w:rFonts w:cs="Arial" w:ascii="Arial" w:hAnsi="Arial"/>
              </w:rPr>
              <w:t>1.625%</w:t>
            </w:r>
          </w:p>
        </w:tc>
      </w:tr>
      <w:tr>
        <w:trPr>
          <w:trHeight w:val="108" w:hRule="atLeast"/>
        </w:trPr>
        <w:tc>
          <w:tcPr>
            <w:tcW w:w="2358" w:type="dxa"/>
            <w:tcBorders/>
          </w:tcPr>
          <w:p>
            <w:pPr>
              <w:pStyle w:val="Normal"/>
              <w:snapToGrid w:val="false"/>
              <w:spacing w:before="60" w:after="60"/>
              <w:rPr>
                <w:rFonts w:ascii="Arial" w:hAnsi="Arial" w:cs="Arial"/>
                <w:b/>
                <w:i/>
                <w:i/>
              </w:rPr>
            </w:pPr>
            <w:r>
              <w:rPr>
                <w:rFonts w:cs="Arial" w:ascii="Arial" w:hAnsi="Arial"/>
                <w:b/>
                <w:i/>
              </w:rPr>
            </w:r>
          </w:p>
        </w:tc>
        <w:tc>
          <w:tcPr>
            <w:tcW w:w="270" w:type="dxa"/>
            <w:tcBorders/>
          </w:tcPr>
          <w:p>
            <w:pPr>
              <w:pStyle w:val="Normal"/>
              <w:snapToGrid w:val="false"/>
              <w:spacing w:before="60" w:after="60"/>
              <w:rPr>
                <w:rFonts w:ascii="Arial" w:hAnsi="Arial" w:cs="Arial"/>
              </w:rPr>
            </w:pPr>
            <w:r>
              <w:rPr>
                <w:rFonts w:cs="Arial" w:ascii="Arial" w:hAnsi="Arial"/>
              </w:rPr>
            </w:r>
          </w:p>
        </w:tc>
        <w:tc>
          <w:tcPr>
            <w:tcW w:w="6120" w:type="dxa"/>
            <w:gridSpan w:val="2"/>
            <w:tcBorders/>
          </w:tcPr>
          <w:p>
            <w:pPr>
              <w:pStyle w:val="Normal"/>
              <w:spacing w:before="60" w:after="60"/>
              <w:rPr>
                <w:rFonts w:ascii="Arial" w:hAnsi="Arial" w:cs="Arial"/>
              </w:rPr>
            </w:pPr>
            <w:r>
              <w:rPr>
                <w:rFonts w:cs="Arial" w:ascii="Arial" w:hAnsi="Arial"/>
              </w:rPr>
              <w:t>(b)  or Base Rate plus:</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napToGrid w:val="false"/>
              <w:spacing w:before="60" w:after="60"/>
              <w:rPr>
                <w:rFonts w:ascii="Arial" w:hAnsi="Arial" w:cs="Arial"/>
                <w:b/>
              </w:rPr>
            </w:pPr>
            <w:r>
              <w:rPr>
                <w:rFonts w:cs="Arial" w:ascii="Arial" w:hAnsi="Arial"/>
                <w:b/>
              </w:rPr>
            </w:r>
          </w:p>
        </w:tc>
        <w:tc>
          <w:tcPr>
            <w:tcW w:w="3690" w:type="dxa"/>
            <w:tcBorders/>
          </w:tcPr>
          <w:p>
            <w:pPr>
              <w:pStyle w:val="Normal"/>
              <w:spacing w:before="60" w:after="60"/>
              <w:rPr>
                <w:rFonts w:ascii="Arial" w:hAnsi="Arial" w:cs="Arial"/>
              </w:rPr>
            </w:pPr>
            <w:r>
              <w:rPr>
                <w:rFonts w:cs="Arial" w:ascii="Arial" w:hAnsi="Arial"/>
              </w:rPr>
              <w:t xml:space="preserve">From Closing Date to 30-Sep-02:   </w:t>
            </w:r>
          </w:p>
          <w:p>
            <w:pPr>
              <w:pStyle w:val="Normal"/>
              <w:spacing w:before="60" w:after="60"/>
              <w:rPr>
                <w:rFonts w:ascii="Arial" w:hAnsi="Arial" w:cs="Arial"/>
              </w:rPr>
            </w:pPr>
            <w:r>
              <w:rPr>
                <w:rFonts w:cs="Arial" w:ascii="Arial" w:hAnsi="Arial"/>
              </w:rPr>
              <w:t>From 01-Oct-02 to 30-Sep-05:</w:t>
            </w:r>
          </w:p>
          <w:p>
            <w:pPr>
              <w:pStyle w:val="Normal"/>
              <w:spacing w:before="60" w:after="60"/>
              <w:rPr>
                <w:rFonts w:ascii="Arial" w:hAnsi="Arial" w:cs="Arial"/>
              </w:rPr>
            </w:pPr>
            <w:r>
              <w:rPr>
                <w:rFonts w:cs="Arial" w:ascii="Arial" w:hAnsi="Arial"/>
              </w:rPr>
              <w:t xml:space="preserve">From 01-Oct-05 to 30-Sep-09:   </w:t>
            </w:r>
          </w:p>
        </w:tc>
        <w:tc>
          <w:tcPr>
            <w:tcW w:w="2430" w:type="dxa"/>
            <w:tcBorders/>
          </w:tcPr>
          <w:p>
            <w:pPr>
              <w:pStyle w:val="Normal"/>
              <w:spacing w:before="60" w:after="60"/>
              <w:rPr>
                <w:rFonts w:ascii="Arial" w:hAnsi="Arial" w:cs="Arial"/>
              </w:rPr>
            </w:pPr>
            <w:r>
              <w:rPr>
                <w:rFonts w:cs="Arial" w:ascii="Arial" w:hAnsi="Arial"/>
              </w:rPr>
              <w:t>0.375%</w:t>
            </w:r>
          </w:p>
          <w:p>
            <w:pPr>
              <w:pStyle w:val="Normal"/>
              <w:spacing w:before="60" w:after="60"/>
              <w:rPr>
                <w:rFonts w:ascii="Arial" w:hAnsi="Arial" w:cs="Arial"/>
              </w:rPr>
            </w:pPr>
            <w:r>
              <w:rPr>
                <w:rFonts w:cs="Arial" w:ascii="Arial" w:hAnsi="Arial"/>
              </w:rPr>
              <w:t>0.625%</w:t>
            </w:r>
          </w:p>
          <w:p>
            <w:pPr>
              <w:pStyle w:val="Normal"/>
              <w:spacing w:before="60" w:after="60"/>
              <w:rPr>
                <w:rFonts w:ascii="Arial" w:hAnsi="Arial" w:cs="Arial"/>
              </w:rPr>
            </w:pPr>
            <w:r>
              <w:rPr>
                <w:rFonts w:cs="Arial" w:ascii="Arial" w:hAnsi="Arial"/>
              </w:rPr>
              <w:t>0.875%</w:t>
            </w:r>
          </w:p>
        </w:tc>
      </w:tr>
      <w:tr>
        <w:trPr/>
        <w:tc>
          <w:tcPr>
            <w:tcW w:w="2358" w:type="dxa"/>
            <w:tcBorders/>
          </w:tcPr>
          <w:p>
            <w:pPr>
              <w:pStyle w:val="Normal"/>
              <w:snapToGrid w:val="false"/>
              <w:spacing w:before="60" w:after="60"/>
              <w:rPr>
                <w:rFonts w:ascii="Arial" w:hAnsi="Arial" w:cs="Arial"/>
                <w:b/>
              </w:rPr>
            </w:pPr>
            <w:r>
              <w:rPr>
                <w:rFonts w:cs="Arial" w:ascii="Arial" w:hAnsi="Arial"/>
                <w:b/>
              </w:rPr>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rFonts w:ascii="Arial" w:hAnsi="Arial" w:cs="Arial"/>
              </w:rPr>
            </w:pPr>
            <w:r>
              <w:rPr>
                <w:rFonts w:cs="Arial" w:ascii="Arial" w:hAnsi="Arial"/>
              </w:rPr>
              <w:t xml:space="preserve">The Borrower shall purchase interest rate protection in a manner mutually acceptable to Arranger, Agent and Borrower. </w:t>
            </w:r>
          </w:p>
        </w:tc>
      </w:tr>
      <w:tr>
        <w:trPr>
          <w:trHeight w:val="1256" w:hRule="atLeast"/>
        </w:trPr>
        <w:tc>
          <w:tcPr>
            <w:tcW w:w="2358" w:type="dxa"/>
            <w:tcBorders/>
          </w:tcPr>
          <w:p>
            <w:pPr>
              <w:pStyle w:val="EventArrow"/>
              <w:spacing w:before="60" w:after="60"/>
              <w:rPr>
                <w:rFonts w:ascii="Arial" w:hAnsi="Arial" w:cs="Arial"/>
                <w:kern w:val="0"/>
              </w:rPr>
            </w:pPr>
            <w:r>
              <w:rPr>
                <w:rFonts w:cs="Arial" w:ascii="Arial" w:hAnsi="Arial"/>
                <w:kern w:val="0"/>
              </w:rPr>
              <w:t>Principal Amortization and Interest Payments:</w:t>
            </w:r>
          </w:p>
        </w:tc>
        <w:tc>
          <w:tcPr>
            <w:tcW w:w="270" w:type="dxa"/>
            <w:tcBorders/>
          </w:tcPr>
          <w:p>
            <w:pPr>
              <w:pStyle w:val="Normal"/>
              <w:snapToGrid w:val="false"/>
              <w:spacing w:before="60" w:after="60"/>
              <w:rPr>
                <w:rFonts w:ascii="Arial" w:hAnsi="Arial" w:cs="Arial"/>
                <w:kern w:val="0"/>
              </w:rPr>
            </w:pPr>
            <w:r>
              <w:rPr>
                <w:rFonts w:cs="Arial" w:ascii="Arial" w:hAnsi="Arial"/>
                <w:kern w:val="0"/>
              </w:rPr>
            </w:r>
          </w:p>
        </w:tc>
        <w:tc>
          <w:tcPr>
            <w:tcW w:w="6120" w:type="dxa"/>
            <w:gridSpan w:val="2"/>
            <w:tcBorders/>
          </w:tcPr>
          <w:p>
            <w:pPr>
              <w:pStyle w:val="Normal"/>
              <w:spacing w:before="60" w:after="60"/>
              <w:rPr>
                <w:rFonts w:ascii="Arial" w:hAnsi="Arial" w:cs="Arial"/>
              </w:rPr>
            </w:pPr>
            <w:r>
              <w:rPr>
                <w:rFonts w:cs="Arial" w:ascii="Arial" w:hAnsi="Arial"/>
              </w:rPr>
              <w:t>Scheduled quarterly amortization of principal as per Exhibit A, with a bullet payment of remaining principal due and payable on the Final Maturity Date.  Interest payable at the end of each interest period, but in any case, no less frequently than quarterly.</w:t>
            </w:r>
          </w:p>
        </w:tc>
      </w:tr>
      <w:tr>
        <w:trPr>
          <w:trHeight w:val="1256" w:hRule="atLeast"/>
        </w:trPr>
        <w:tc>
          <w:tcPr>
            <w:tcW w:w="2358" w:type="dxa"/>
            <w:tcBorders/>
          </w:tcPr>
          <w:p>
            <w:pPr>
              <w:pStyle w:val="Normal"/>
              <w:spacing w:before="60" w:after="60"/>
              <w:rPr>
                <w:rFonts w:ascii="Arial" w:hAnsi="Arial" w:cs="Arial"/>
                <w:b/>
              </w:rPr>
            </w:pPr>
            <w:r>
              <w:rPr>
                <w:rFonts w:cs="Arial" w:ascii="Arial" w:hAnsi="Arial"/>
                <w:b/>
              </w:rPr>
              <w:t>Guarantees:</w:t>
            </w:r>
          </w:p>
        </w:tc>
        <w:tc>
          <w:tcPr>
            <w:tcW w:w="270" w:type="dxa"/>
            <w:tcBorders/>
          </w:tcPr>
          <w:p>
            <w:pPr>
              <w:pStyle w:val="Normal"/>
              <w:snapToGrid w:val="false"/>
              <w:spacing w:before="60" w:after="60"/>
              <w:rPr>
                <w:rFonts w:ascii="Arial" w:hAnsi="Arial" w:cs="Arial"/>
                <w:b/>
              </w:rPr>
            </w:pPr>
            <w:r>
              <w:rPr>
                <w:rFonts w:cs="Arial" w:ascii="Arial" w:hAnsi="Arial"/>
                <w:b/>
              </w:rPr>
            </w:r>
          </w:p>
        </w:tc>
        <w:tc>
          <w:tcPr>
            <w:tcW w:w="6120" w:type="dxa"/>
            <w:gridSpan w:val="2"/>
            <w:tcBorders/>
          </w:tcPr>
          <w:p>
            <w:pPr>
              <w:pStyle w:val="Normal"/>
              <w:spacing w:before="60" w:after="60"/>
              <w:rPr/>
            </w:pPr>
            <w:r>
              <w:rPr>
                <w:rFonts w:cs="Arial" w:ascii="Arial" w:hAnsi="Arial"/>
              </w:rPr>
              <w:t xml:space="preserve">Enron has made two guarantees associated with the credit facility.  The first obligates Enron to fund a revenue account in the event of revenue short falls by Sunco.  The second requires Enron to fund a debt service reserve account in the event of short falls.  The first guarantee would likely be removed by the </w:t>
            </w:r>
            <w:r>
              <w:rPr>
                <w:rFonts w:cs="Arial" w:ascii="Arial" w:hAnsi="Arial"/>
                <w:highlight w:val="yellow"/>
              </w:rPr>
              <w:t>period</w:t>
            </w:r>
            <w:r>
              <w:rPr>
                <w:rFonts w:cs="Arial" w:ascii="Arial" w:hAnsi="Arial"/>
              </w:rPr>
              <w:t xml:space="preserve"> repayment of the term loan from the Sunco sale proceeds. The later guarantee will be assumed by the purchaser of SWP.  </w:t>
            </w:r>
          </w:p>
        </w:tc>
      </w:tr>
    </w:tbl>
    <w:p>
      <w:pPr>
        <w:pStyle w:val="BodyText"/>
        <w:rPr/>
      </w:pPr>
      <w:r>
        <w:rPr/>
      </w:r>
    </w:p>
    <w:p>
      <w:pPr>
        <w:pStyle w:val="Heading4"/>
        <w:keepLines w:val="false"/>
        <w:spacing w:before="0" w:after="0"/>
        <w:ind w:hanging="0" w:start="0"/>
        <w:rPr/>
      </w:pPr>
      <w:r>
        <w:rPr/>
        <w:t>Standby Letter Of Credit – Southwest Gas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EventArrow"/>
              <w:spacing w:before="120" w:after="0"/>
              <w:rPr>
                <w:rFonts w:ascii="Arial" w:hAnsi="Arial" w:cs="Arial"/>
                <w:kern w:val="0"/>
              </w:rPr>
            </w:pPr>
            <w:r>
              <w:rPr>
                <w:rFonts w:cs="Arial" w:ascii="Arial" w:hAnsi="Arial"/>
                <w:kern w:val="0"/>
              </w:rPr>
              <w:t>Beneficiary:</w:t>
            </w:r>
          </w:p>
        </w:tc>
        <w:tc>
          <w:tcPr>
            <w:tcW w:w="450" w:type="dxa"/>
            <w:tcBorders/>
          </w:tcPr>
          <w:p>
            <w:pPr>
              <w:pStyle w:val="Normal"/>
              <w:snapToGrid w:val="false"/>
              <w:spacing w:before="120" w:after="0"/>
              <w:rPr>
                <w:rFonts w:ascii="Arial" w:hAnsi="Arial" w:cs="Arial"/>
                <w:smallCaps/>
                <w:kern w:val="0"/>
              </w:rPr>
            </w:pPr>
            <w:r>
              <w:rPr>
                <w:rFonts w:cs="Arial" w:ascii="Arial" w:hAnsi="Arial"/>
                <w:smallCaps/>
                <w:kern w:val="0"/>
              </w:rPr>
            </w:r>
          </w:p>
        </w:tc>
        <w:tc>
          <w:tcPr>
            <w:tcW w:w="6120" w:type="dxa"/>
            <w:tcBorders/>
          </w:tcPr>
          <w:p>
            <w:pPr>
              <w:pStyle w:val="Normal"/>
              <w:spacing w:before="120" w:after="0"/>
              <w:rPr>
                <w:rFonts w:ascii="Arial" w:hAnsi="Arial" w:cs="Arial"/>
              </w:rPr>
            </w:pPr>
            <w:r>
              <w:rPr>
                <w:rFonts w:cs="Arial" w:ascii="Arial" w:hAnsi="Arial"/>
              </w:rPr>
              <w:t>Southwest Gas Corporation (“Southwest Gas”)</w:t>
            </w:r>
          </w:p>
        </w:tc>
      </w:tr>
      <w:tr>
        <w:trPr/>
        <w:tc>
          <w:tcPr>
            <w:tcW w:w="2178" w:type="dxa"/>
            <w:tcBorders/>
          </w:tcPr>
          <w:p>
            <w:pPr>
              <w:pStyle w:val="EventArrow"/>
              <w:spacing w:before="60" w:after="0"/>
              <w:rPr>
                <w:rFonts w:ascii="Arial" w:hAnsi="Arial" w:cs="Arial"/>
                <w:kern w:val="0"/>
              </w:rPr>
            </w:pPr>
            <w:r>
              <w:rPr>
                <w:rFonts w:cs="Arial" w:ascii="Arial" w:hAnsi="Arial"/>
                <w:kern w:val="0"/>
              </w:rPr>
              <w:t>Initial Face Amount:</w:t>
            </w:r>
          </w:p>
        </w:tc>
        <w:tc>
          <w:tcPr>
            <w:tcW w:w="450" w:type="dxa"/>
            <w:tcBorders/>
          </w:tcPr>
          <w:p>
            <w:pPr>
              <w:pStyle w:val="Normal"/>
              <w:snapToGrid w:val="false"/>
              <w:spacing w:before="60" w:after="0"/>
              <w:rPr>
                <w:rFonts w:ascii="Arial" w:hAnsi="Arial" w:cs="Arial"/>
                <w:kern w:val="0"/>
              </w:rPr>
            </w:pPr>
            <w:r>
              <w:rPr>
                <w:rFonts w:cs="Arial" w:ascii="Arial" w:hAnsi="Arial"/>
                <w:kern w:val="0"/>
              </w:rPr>
            </w:r>
          </w:p>
        </w:tc>
        <w:tc>
          <w:tcPr>
            <w:tcW w:w="6120" w:type="dxa"/>
            <w:tcBorders/>
          </w:tcPr>
          <w:p>
            <w:pPr>
              <w:pStyle w:val="Normal"/>
              <w:spacing w:before="60" w:after="0"/>
              <w:rPr>
                <w:rFonts w:ascii="Arial" w:hAnsi="Arial" w:cs="Arial"/>
              </w:rPr>
            </w:pPr>
            <w:r>
              <w:rPr>
                <w:rFonts w:cs="Arial" w:ascii="Arial" w:hAnsi="Arial"/>
              </w:rPr>
              <w:t>$888,896</w:t>
            </w:r>
          </w:p>
        </w:tc>
      </w:tr>
      <w:tr>
        <w:trPr/>
        <w:tc>
          <w:tcPr>
            <w:tcW w:w="2178" w:type="dxa"/>
            <w:tcBorders/>
          </w:tcPr>
          <w:p>
            <w:pPr>
              <w:pStyle w:val="Normal"/>
              <w:spacing w:before="60" w:after="0"/>
              <w:rPr>
                <w:rFonts w:ascii="Arial" w:hAnsi="Arial" w:cs="Arial"/>
                <w:b/>
              </w:rPr>
            </w:pPr>
            <w:r>
              <w:rPr>
                <w:rFonts w:cs="Arial" w:ascii="Arial" w:hAnsi="Arial"/>
                <w:b/>
              </w:rPr>
              <w:t>Purpose: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To assure Southwest Gas of the Borrower’s performance under the Southwest Gas Transportation Agreement, specifically the recovery by Southwest Gas of capital costs incurred by it in constructing a spur pipeline from the interconnection with the Kern River Gas Transmission system to the Project site.</w:t>
            </w:r>
          </w:p>
        </w:tc>
      </w:tr>
      <w:tr>
        <w:trPr/>
        <w:tc>
          <w:tcPr>
            <w:tcW w:w="2178" w:type="dxa"/>
            <w:tcBorders/>
          </w:tcPr>
          <w:p>
            <w:pPr>
              <w:pStyle w:val="Normal"/>
              <w:spacing w:before="60" w:after="0"/>
              <w:rPr>
                <w:rFonts w:ascii="Arial" w:hAnsi="Arial" w:cs="Arial"/>
                <w:b/>
              </w:rPr>
            </w:pPr>
            <w:r>
              <w:rPr>
                <w:rFonts w:cs="Arial" w:ascii="Arial" w:hAnsi="Arial"/>
                <w:b/>
              </w:rPr>
              <w:t>Term:</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3 years.</w:t>
            </w:r>
          </w:p>
        </w:tc>
      </w:tr>
      <w:tr>
        <w:trPr/>
        <w:tc>
          <w:tcPr>
            <w:tcW w:w="2178" w:type="dxa"/>
            <w:tcBorders/>
          </w:tcPr>
          <w:p>
            <w:pPr>
              <w:pStyle w:val="Normal"/>
              <w:spacing w:before="60" w:after="0"/>
              <w:rPr>
                <w:rFonts w:ascii="Arial" w:hAnsi="Arial" w:cs="Arial"/>
                <w:b/>
              </w:rPr>
            </w:pPr>
            <w:r>
              <w:rPr>
                <w:rFonts w:cs="Arial" w:ascii="Arial" w:hAnsi="Arial"/>
                <w:b/>
              </w:rPr>
              <w:t>Reduction Schedule: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See Exhibit B.</w:t>
            </w:r>
          </w:p>
        </w:tc>
      </w:tr>
      <w:tr>
        <w:trPr/>
        <w:tc>
          <w:tcPr>
            <w:tcW w:w="2178" w:type="dxa"/>
            <w:tcBorders/>
          </w:tcPr>
          <w:p>
            <w:pPr>
              <w:pStyle w:val="Normal"/>
              <w:spacing w:before="60" w:after="0"/>
              <w:rPr>
                <w:rFonts w:ascii="Arial" w:hAnsi="Arial" w:cs="Arial"/>
                <w:b/>
              </w:rPr>
            </w:pPr>
            <w:r>
              <w:rPr>
                <w:rFonts w:cs="Arial" w:ascii="Arial" w:hAnsi="Arial"/>
                <w:b/>
              </w:rPr>
              <w:t>Letter of Credit Commission:</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Same as LIBOR margin on Term Loan.</w:t>
            </w:r>
          </w:p>
        </w:tc>
      </w:tr>
      <w:tr>
        <w:trPr/>
        <w:tc>
          <w:tcPr>
            <w:tcW w:w="2178" w:type="dxa"/>
            <w:tcBorders/>
          </w:tcPr>
          <w:p>
            <w:pPr>
              <w:pStyle w:val="Normal"/>
              <w:spacing w:before="60" w:after="0"/>
              <w:rPr>
                <w:rFonts w:ascii="Arial" w:hAnsi="Arial" w:cs="Arial"/>
                <w:b/>
              </w:rPr>
            </w:pPr>
            <w:r>
              <w:rPr>
                <w:rFonts w:cs="Arial" w:ascii="Arial" w:hAnsi="Arial"/>
                <w:b/>
              </w:rPr>
              <w:t>Permitted Draws:</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Upon receipt by the Issuing Bank of a certificate from Southwest Gas stating that it is entitled to draw on the letter of credit because of non-performance by the Borrower under the Southwest Gas Transportation Agreement; or</w:t>
            </w:r>
          </w:p>
          <w:p>
            <w:pPr>
              <w:pStyle w:val="Normal"/>
              <w:spacing w:before="60" w:after="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60" w:after="0"/>
              <w:rPr>
                <w:rFonts w:ascii="Arial" w:hAnsi="Arial" w:cs="Arial"/>
                <w:b/>
              </w:rPr>
            </w:pPr>
            <w:r>
              <w:rPr>
                <w:rFonts w:cs="Arial" w:ascii="Arial" w:hAnsi="Arial"/>
                <w:b/>
              </w:rPr>
              <w:t>Post-Draw Interest Rate:</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Base Rate + 2.0%.</w:t>
            </w:r>
          </w:p>
        </w:tc>
      </w:tr>
      <w:tr>
        <w:trPr/>
        <w:tc>
          <w:tcPr>
            <w:tcW w:w="2178" w:type="dxa"/>
            <w:tcBorders/>
          </w:tcPr>
          <w:p>
            <w:pPr>
              <w:pStyle w:val="Normal"/>
              <w:spacing w:before="60" w:after="0"/>
              <w:rPr>
                <w:rFonts w:ascii="Arial" w:hAnsi="Arial" w:cs="Arial"/>
                <w:b/>
              </w:rPr>
            </w:pPr>
            <w:r>
              <w:rPr>
                <w:rFonts w:cs="Arial" w:ascii="Arial" w:hAnsi="Arial"/>
                <w:b/>
              </w:rPr>
              <w:t>Reimbursement Obligation:</w:t>
            </w:r>
          </w:p>
        </w:tc>
        <w:tc>
          <w:tcPr>
            <w:tcW w:w="450" w:type="dxa"/>
            <w:tcBorders/>
          </w:tcPr>
          <w:p>
            <w:pPr>
              <w:pStyle w:val="Normal"/>
              <w:snapToGrid w:val="false"/>
              <w:spacing w:before="60" w:after="0"/>
              <w:rPr>
                <w:rFonts w:ascii="Arial" w:hAnsi="Arial" w:cs="Arial"/>
                <w:b/>
              </w:rPr>
            </w:pPr>
            <w:r>
              <w:rPr>
                <w:rFonts w:cs="Arial" w:ascii="Arial" w:hAnsi="Arial"/>
                <w:b/>
              </w:rPr>
            </w:r>
          </w:p>
        </w:tc>
        <w:tc>
          <w:tcPr>
            <w:tcW w:w="6120" w:type="dxa"/>
            <w:tcBorders/>
          </w:tcPr>
          <w:p>
            <w:pPr>
              <w:pStyle w:val="Normal"/>
              <w:spacing w:before="60" w:after="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Normal"/>
        <w:spacing w:before="60" w:after="0"/>
        <w:rPr>
          <w:rFonts w:ascii="Arial" w:hAnsi="Arial" w:cs="Arial"/>
          <w:b/>
        </w:rPr>
      </w:pPr>
      <w:r>
        <w:rPr>
          <w:rFonts w:cs="Arial" w:ascii="Arial" w:hAnsi="Arial"/>
          <w:b/>
        </w:rPr>
      </w:r>
    </w:p>
    <w:p>
      <w:pPr>
        <w:pStyle w:val="Heading4"/>
        <w:keepLines w:val="false"/>
        <w:spacing w:before="60" w:after="0"/>
        <w:ind w:hanging="0" w:start="0"/>
        <w:rPr/>
      </w:pPr>
      <w:r>
        <w:rPr/>
        <w:t>Standby Letter Of Credit – Duke Fuels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EventArrow"/>
              <w:spacing w:before="120" w:after="0"/>
              <w:rPr>
                <w:rFonts w:ascii="Arial" w:hAnsi="Arial" w:cs="Arial"/>
                <w:kern w:val="0"/>
              </w:rPr>
            </w:pPr>
            <w:r>
              <w:rPr>
                <w:rFonts w:cs="Arial" w:ascii="Arial" w:hAnsi="Arial"/>
                <w:kern w:val="0"/>
              </w:rPr>
              <w:t>Beneficiary:</w:t>
            </w:r>
          </w:p>
        </w:tc>
        <w:tc>
          <w:tcPr>
            <w:tcW w:w="450" w:type="dxa"/>
            <w:tcBorders/>
          </w:tcPr>
          <w:p>
            <w:pPr>
              <w:pStyle w:val="Normal"/>
              <w:snapToGrid w:val="false"/>
              <w:spacing w:before="120" w:after="0"/>
              <w:rPr>
                <w:rFonts w:ascii="Arial" w:hAnsi="Arial" w:cs="Arial"/>
                <w:kern w:val="0"/>
              </w:rPr>
            </w:pPr>
            <w:r>
              <w:rPr>
                <w:rFonts w:cs="Arial" w:ascii="Arial" w:hAnsi="Arial"/>
                <w:kern w:val="0"/>
              </w:rPr>
            </w:r>
          </w:p>
        </w:tc>
        <w:tc>
          <w:tcPr>
            <w:tcW w:w="6120" w:type="dxa"/>
            <w:tcBorders/>
          </w:tcPr>
          <w:p>
            <w:pPr>
              <w:pStyle w:val="Normal"/>
              <w:spacing w:before="120" w:after="0"/>
              <w:rPr>
                <w:rFonts w:ascii="Arial" w:hAnsi="Arial" w:cs="Arial"/>
              </w:rPr>
            </w:pPr>
            <w:r>
              <w:rPr>
                <w:rFonts w:cs="Arial" w:ascii="Arial" w:hAnsi="Arial"/>
              </w:rPr>
              <w:t>Duke Energy Fuels, L.P. (“Duke Fuels”).</w:t>
            </w:r>
          </w:p>
        </w:tc>
      </w:tr>
      <w:tr>
        <w:trPr/>
        <w:tc>
          <w:tcPr>
            <w:tcW w:w="2178" w:type="dxa"/>
            <w:tcBorders/>
          </w:tcPr>
          <w:p>
            <w:pPr>
              <w:pStyle w:val="Normal"/>
              <w:spacing w:before="60" w:after="60"/>
              <w:rPr>
                <w:rFonts w:ascii="Arial" w:hAnsi="Arial" w:cs="Arial"/>
                <w:b/>
              </w:rPr>
            </w:pPr>
            <w:r>
              <w:rPr>
                <w:rFonts w:cs="Arial" w:ascii="Arial" w:hAnsi="Arial"/>
                <w:b/>
              </w:rPr>
              <w:t>Face Amount:</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$3,000,000</w:t>
            </w:r>
          </w:p>
        </w:tc>
      </w:tr>
      <w:tr>
        <w:trPr>
          <w:trHeight w:val="513" w:hRule="atLeast"/>
        </w:trPr>
        <w:tc>
          <w:tcPr>
            <w:tcW w:w="2178" w:type="dxa"/>
            <w:tcBorders/>
          </w:tcPr>
          <w:p>
            <w:pPr>
              <w:pStyle w:val="Normal"/>
              <w:spacing w:before="60" w:after="60"/>
              <w:rPr>
                <w:rFonts w:ascii="Arial" w:hAnsi="Arial" w:cs="Arial"/>
                <w:b/>
              </w:rPr>
            </w:pPr>
            <w:r>
              <w:rPr>
                <w:rFonts w:cs="Arial" w:ascii="Arial" w:hAnsi="Arial"/>
                <w:b/>
              </w:rPr>
              <w:t>Purpose:</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To assure Duke Fuels of the Borrower’s performance under the Duke Fuels Gas Supply Agreement.</w:t>
            </w:r>
          </w:p>
        </w:tc>
      </w:tr>
      <w:tr>
        <w:trPr/>
        <w:tc>
          <w:tcPr>
            <w:tcW w:w="2178" w:type="dxa"/>
            <w:tcBorders/>
          </w:tcPr>
          <w:p>
            <w:pPr>
              <w:pStyle w:val="Normal"/>
              <w:spacing w:before="60" w:after="60"/>
              <w:rPr>
                <w:rFonts w:ascii="Arial" w:hAnsi="Arial" w:cs="Arial"/>
                <w:b/>
              </w:rPr>
            </w:pPr>
            <w:r>
              <w:rPr>
                <w:rFonts w:cs="Arial" w:ascii="Arial" w:hAnsi="Arial"/>
                <w:b/>
              </w:rPr>
              <w:t>Term:</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3 years, with no interim reductions.</w:t>
            </w:r>
          </w:p>
        </w:tc>
      </w:tr>
      <w:tr>
        <w:trPr/>
        <w:tc>
          <w:tcPr>
            <w:tcW w:w="2178" w:type="dxa"/>
            <w:tcBorders/>
          </w:tcPr>
          <w:p>
            <w:pPr>
              <w:pStyle w:val="Normal"/>
              <w:spacing w:before="60" w:after="60"/>
              <w:rPr>
                <w:rFonts w:ascii="Arial" w:hAnsi="Arial" w:cs="Arial"/>
                <w:b/>
              </w:rPr>
            </w:pPr>
            <w:r>
              <w:rPr>
                <w:rFonts w:cs="Arial" w:ascii="Arial" w:hAnsi="Arial"/>
                <w:b/>
              </w:rPr>
              <w:t>Letter of Credit Commission:</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Same as LIBOR margin on Term Loan.</w:t>
            </w:r>
          </w:p>
        </w:tc>
      </w:tr>
      <w:tr>
        <w:trPr/>
        <w:tc>
          <w:tcPr>
            <w:tcW w:w="2178" w:type="dxa"/>
            <w:tcBorders/>
          </w:tcPr>
          <w:p>
            <w:pPr>
              <w:pStyle w:val="Normal"/>
              <w:spacing w:before="60" w:after="60"/>
              <w:rPr>
                <w:rFonts w:ascii="Arial" w:hAnsi="Arial" w:cs="Arial"/>
                <w:b/>
              </w:rPr>
            </w:pPr>
            <w:r>
              <w:rPr>
                <w:rFonts w:cs="Arial" w:ascii="Arial" w:hAnsi="Arial"/>
                <w:b/>
              </w:rPr>
              <w:t>Permitted Draws:</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Upon receipt by the Issuing Bank of a certificate from Duke Fuels stating that it is entitled to draw on the letter of credit because of non-performance by the Borrower under the Duke Fuels Gas Supply Agreement; or</w:t>
            </w:r>
          </w:p>
          <w:p>
            <w:pPr>
              <w:pStyle w:val="CIMContactAddress"/>
              <w:spacing w:lineRule="auto" w:line="240" w:before="60" w:after="60"/>
              <w:rPr>
                <w:rFonts w:ascii="Arial" w:hAnsi="Arial" w:cs="Arial"/>
              </w:rPr>
            </w:pPr>
            <w:r>
              <w:rPr>
                <w:rFonts w:cs="Arial" w:ascii="Arial" w:hAnsi="Arial"/>
              </w:rPr>
            </w:r>
          </w:p>
          <w:p>
            <w:pPr>
              <w:pStyle w:val="Normal"/>
              <w:spacing w:before="60" w:after="6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60" w:after="60"/>
              <w:rPr>
                <w:rFonts w:ascii="Arial" w:hAnsi="Arial" w:cs="Arial"/>
                <w:b/>
              </w:rPr>
            </w:pPr>
            <w:r>
              <w:rPr>
                <w:rFonts w:cs="Arial" w:ascii="Arial" w:hAnsi="Arial"/>
                <w:b/>
              </w:rPr>
              <w:t>Post-Draw Interest Rate:</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Base Rate + 2.0%.</w:t>
            </w:r>
          </w:p>
        </w:tc>
      </w:tr>
      <w:tr>
        <w:trPr/>
        <w:tc>
          <w:tcPr>
            <w:tcW w:w="2178" w:type="dxa"/>
            <w:tcBorders/>
          </w:tcPr>
          <w:p>
            <w:pPr>
              <w:pStyle w:val="Normal"/>
              <w:spacing w:before="60" w:after="60"/>
              <w:rPr>
                <w:rFonts w:ascii="Arial" w:hAnsi="Arial" w:cs="Arial"/>
                <w:b/>
              </w:rPr>
            </w:pPr>
            <w:r>
              <w:rPr>
                <w:rFonts w:cs="Arial" w:ascii="Arial" w:hAnsi="Arial"/>
                <w:b/>
              </w:rPr>
              <w:t>Reimbursement Obligation:</w:t>
            </w:r>
          </w:p>
        </w:tc>
        <w:tc>
          <w:tcPr>
            <w:tcW w:w="450" w:type="dxa"/>
            <w:tcBorders/>
          </w:tcPr>
          <w:p>
            <w:pPr>
              <w:pStyle w:val="Normal"/>
              <w:snapToGrid w:val="false"/>
              <w:spacing w:before="60" w:after="60"/>
              <w:rPr>
                <w:rFonts w:ascii="Arial" w:hAnsi="Arial" w:cs="Arial"/>
                <w:b/>
              </w:rPr>
            </w:pPr>
            <w:r>
              <w:rPr>
                <w:rFonts w:cs="Arial" w:ascii="Arial" w:hAnsi="Arial"/>
                <w:b/>
              </w:rPr>
            </w:r>
          </w:p>
        </w:tc>
        <w:tc>
          <w:tcPr>
            <w:tcW w:w="6120" w:type="dxa"/>
            <w:tcBorders/>
          </w:tcPr>
          <w:p>
            <w:pPr>
              <w:pStyle w:val="Normal"/>
              <w:spacing w:before="60" w:after="6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Financial Hedging</w:t>
      </w:r>
    </w:p>
    <w:p>
      <w:pPr>
        <w:pStyle w:val="Normal"/>
        <w:rPr/>
      </w:pPr>
      <w:r>
        <w:rPr>
          <w:rFonts w:cs="Arial" w:ascii="Arial" w:hAnsi="Arial"/>
        </w:rPr>
        <w:t xml:space="preserve">ENA has entered into a 10-year interest rate swap (“IRS”) with LVCLP for 100% of the Senior Credit Facility with a strike price of 6.5%.  All swap obligations are secured </w:t>
      </w:r>
      <w:r>
        <w:rPr>
          <w:rFonts w:cs="Arial" w:ascii="Arial" w:hAnsi="Arial"/>
          <w:i/>
        </w:rPr>
        <w:t>pari passu</w:t>
      </w:r>
      <w:r>
        <w:rPr>
          <w:rFonts w:cs="Arial" w:ascii="Arial" w:hAnsi="Arial"/>
        </w:rPr>
        <w:t xml:space="preserve"> with the Senior Credit Facility.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t>3-B-V. Financials - LV Cogen</w:t>
      </w:r>
    </w:p>
    <w:p>
      <w:pPr>
        <w:pStyle w:val="Normal"/>
        <w:rPr>
          <w:rFonts w:ascii="Arial" w:hAnsi="Arial" w:cs="Arial"/>
          <w:b/>
          <w:sz w:val="32"/>
        </w:rPr>
      </w:pPr>
      <w:r>
        <w:rPr>
          <w:rFonts w:cs="Arial" w:ascii="Arial" w:hAnsi="Arial"/>
          <w:b/>
          <w:sz w:val="32"/>
        </w:rPr>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EventArrow"/>
              <w:spacing w:before="40" w:after="40"/>
              <w:rPr>
                <w:rFonts w:ascii="Arial" w:hAnsi="Arial" w:cs="Arial"/>
                <w:kern w:val="0"/>
                <w:lang w:eastAsia="en-US"/>
              </w:rPr>
            </w:pPr>
            <w:r>
              <w:rPr>
                <w:rFonts w:cs="Arial" w:ascii="Arial" w:hAnsi="Arial"/>
                <w:kern w:val="0"/>
                <w:lang w:eastAsia="en-US"/>
              </w:rPr>
              <w:t>Balance Sheet</w:t>
            </w:r>
          </w:p>
        </w:tc>
        <w:tc>
          <w:tcPr>
            <w:tcW w:w="1639" w:type="dxa"/>
            <w:tcBorders/>
          </w:tcPr>
          <w:p>
            <w:pPr>
              <w:pStyle w:val="Normal"/>
              <w:spacing w:before="40" w:after="40"/>
              <w:jc w:val="center"/>
              <w:rPr>
                <w:rFonts w:ascii="Arial" w:hAnsi="Arial" w:cs="Arial"/>
                <w:b/>
                <w:lang w:eastAsia="en-US"/>
              </w:rPr>
            </w:pPr>
            <w:r>
              <w:rPr>
                <w:rFonts w:cs="Arial" w:ascii="Arial" w:hAnsi="Arial"/>
                <w:b/>
                <w:lang w:eastAsia="en-US"/>
              </w:rPr>
              <w:t>1999</w:t>
            </w:r>
          </w:p>
        </w:tc>
        <w:tc>
          <w:tcPr>
            <w:tcW w:w="1010" w:type="dxa"/>
            <w:tcBorders/>
          </w:tcPr>
          <w:p>
            <w:pPr>
              <w:pStyle w:val="Normal"/>
              <w:spacing w:before="40" w:after="40"/>
              <w:jc w:val="center"/>
              <w:rPr>
                <w:rFonts w:ascii="Arial" w:hAnsi="Arial" w:cs="Arial"/>
                <w:b/>
                <w:lang w:eastAsia="en-US"/>
              </w:rPr>
            </w:pPr>
            <w:r>
              <w:rPr>
                <w:rFonts w:cs="Arial" w:ascii="Arial" w:hAnsi="Arial"/>
                <w:b/>
                <w:lang w:eastAsia="en-US"/>
              </w:rPr>
              <w:t>1998</w:t>
            </w:r>
          </w:p>
        </w:tc>
        <w:tc>
          <w:tcPr>
            <w:tcW w:w="1152" w:type="dxa"/>
            <w:tcBorders/>
          </w:tcPr>
          <w:p>
            <w:pPr>
              <w:pStyle w:val="Normal"/>
              <w:spacing w:before="40" w:after="40"/>
              <w:jc w:val="center"/>
              <w:rPr>
                <w:rFonts w:ascii="Arial" w:hAnsi="Arial" w:cs="Arial"/>
                <w:b/>
                <w:lang w:eastAsia="en-US"/>
              </w:rPr>
            </w:pPr>
            <w:r>
              <w:rPr>
                <w:rFonts w:cs="Arial" w:ascii="Arial" w:hAnsi="Arial"/>
                <w:b/>
                <w:lang w:eastAsia="en-US"/>
              </w:rPr>
              <w:t>1997</w:t>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Assets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Cash</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3,931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1,462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960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Accounts Receivable</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1,446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1,193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1,187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Property Plant Equipment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72,756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57,743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60,110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Sinking Fund</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5,308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5,011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Assets</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1,258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597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667 </w:t>
            </w:r>
          </w:p>
        </w:tc>
      </w:tr>
      <w:tr>
        <w:trPr>
          <w:trHeight w:val="262" w:hRule="atLeast"/>
        </w:trPr>
        <w:tc>
          <w:tcPr>
            <w:tcW w:w="3785" w:type="dxa"/>
            <w:tcBorders/>
          </w:tcPr>
          <w:p>
            <w:pPr>
              <w:pStyle w:val="Normal"/>
              <w:snapToGrid w:val="false"/>
              <w:spacing w:before="40" w:after="40"/>
              <w:rPr>
                <w:rFonts w:ascii="Arial" w:hAnsi="Arial" w:cs="Arial"/>
                <w:u w:val="single"/>
                <w:lang w:eastAsia="en-US"/>
              </w:rPr>
            </w:pPr>
            <w:r>
              <w:rPr>
                <w:rFonts w:cs="Arial" w:ascii="Arial" w:hAnsi="Arial"/>
                <w:u w:val="single"/>
                <w:lang w:eastAsia="en-US"/>
              </w:rPr>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79,391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66,303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67,935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Liabilities And Partner’s Equity</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 xml:space="preserve">Accounts Payable </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834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1,620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1,436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Payable to Related Party</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1,939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6,032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4,947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Current Portion of Long-Term Debt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1,602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2,362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2,067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Current Liabilities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127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Reserve for Contingencies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800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675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Long-Term Debt</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54,507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49,679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52,041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Partners’ Equity:</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20,382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5,810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6,769 </w:t>
            </w:r>
          </w:p>
        </w:tc>
      </w:tr>
      <w:tr>
        <w:trPr>
          <w:trHeight w:val="276" w:hRule="atLeast"/>
        </w:trPr>
        <w:tc>
          <w:tcPr>
            <w:tcW w:w="3785" w:type="dxa"/>
            <w:tcBorders/>
          </w:tcPr>
          <w:p>
            <w:pPr>
              <w:pStyle w:val="Normal"/>
              <w:spacing w:before="40" w:after="40"/>
              <w:rPr>
                <w:rFonts w:ascii="Arial" w:hAnsi="Arial" w:cs="Arial"/>
                <w:b/>
                <w:lang w:eastAsia="en-US"/>
              </w:rPr>
            </w:pPr>
            <w:r>
              <w:rPr>
                <w:rFonts w:cs="Arial" w:ascii="Arial" w:hAnsi="Arial"/>
                <w:b/>
                <w:lang w:eastAsia="en-US"/>
              </w:rPr>
              <w:t>Total Liabilities &amp; Partner’s Capital</w:t>
            </w:r>
          </w:p>
        </w:tc>
        <w:tc>
          <w:tcPr>
            <w:tcW w:w="1639"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79,391 </w:t>
            </w:r>
          </w:p>
        </w:tc>
        <w:tc>
          <w:tcPr>
            <w:tcW w:w="1010"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66,303 </w:t>
            </w:r>
          </w:p>
        </w:tc>
        <w:tc>
          <w:tcPr>
            <w:tcW w:w="1152" w:type="dxa"/>
            <w:tcBorders>
              <w:bottom w:val="double" w:sz="6" w:space="0" w:color="000000"/>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67,935 </w:t>
            </w:r>
          </w:p>
        </w:tc>
      </w:tr>
    </w:tbl>
    <w:p>
      <w:pPr>
        <w:pStyle w:val="Normal"/>
        <w:spacing w:before="40" w:after="40"/>
        <w:rPr>
          <w:rFonts w:ascii="Arial" w:hAnsi="Arial" w:cs="Arial"/>
        </w:rPr>
      </w:pPr>
      <w:r>
        <w:rPr>
          <w:rFonts w:cs="Arial" w:ascii="Arial" w:hAnsi="Arial"/>
        </w:rPr>
      </w:r>
    </w:p>
    <w:p>
      <w:pPr>
        <w:pStyle w:val="Normal"/>
        <w:spacing w:before="40" w:after="40"/>
        <w:rPr>
          <w:rFonts w:ascii="Arial" w:hAnsi="Arial" w:cs="Arial"/>
        </w:rPr>
      </w:pPr>
      <w:r>
        <w:rPr>
          <w:rFonts w:cs="Arial" w:ascii="Arial" w:hAnsi="Arial"/>
        </w:rPr>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Normal"/>
              <w:spacing w:before="40" w:after="40"/>
              <w:rPr>
                <w:rFonts w:ascii="Arial" w:hAnsi="Arial" w:cs="Arial"/>
                <w:b/>
                <w:lang w:eastAsia="en-US"/>
              </w:rPr>
            </w:pPr>
            <w:r>
              <w:rPr>
                <w:rFonts w:cs="Arial" w:ascii="Arial" w:hAnsi="Arial"/>
                <w:b/>
                <w:lang w:eastAsia="en-US"/>
              </w:rPr>
              <w:t>Income Statement</w:t>
            </w:r>
          </w:p>
        </w:tc>
        <w:tc>
          <w:tcPr>
            <w:tcW w:w="1639" w:type="dxa"/>
            <w:tcBorders/>
          </w:tcPr>
          <w:p>
            <w:pPr>
              <w:pStyle w:val="Normal"/>
              <w:spacing w:before="40" w:after="40"/>
              <w:rPr>
                <w:rFonts w:ascii="Arial" w:hAnsi="Arial" w:cs="Arial"/>
                <w:b/>
                <w:lang w:eastAsia="en-US"/>
              </w:rPr>
            </w:pPr>
            <w:r>
              <w:rPr>
                <w:rFonts w:cs="Arial" w:ascii="Arial" w:hAnsi="Arial"/>
                <w:b/>
                <w:lang w:eastAsia="en-US"/>
              </w:rPr>
              <w:t>1999</w:t>
            </w:r>
          </w:p>
        </w:tc>
        <w:tc>
          <w:tcPr>
            <w:tcW w:w="1010" w:type="dxa"/>
            <w:tcBorders/>
          </w:tcPr>
          <w:p>
            <w:pPr>
              <w:pStyle w:val="Normal"/>
              <w:spacing w:before="40" w:after="40"/>
              <w:rPr>
                <w:rFonts w:ascii="Arial" w:hAnsi="Arial" w:cs="Arial"/>
                <w:b/>
                <w:lang w:eastAsia="en-US"/>
              </w:rPr>
            </w:pPr>
            <w:r>
              <w:rPr>
                <w:rFonts w:cs="Arial" w:ascii="Arial" w:hAnsi="Arial"/>
                <w:b/>
                <w:lang w:eastAsia="en-US"/>
              </w:rPr>
              <w:t>1998</w:t>
            </w:r>
          </w:p>
        </w:tc>
        <w:tc>
          <w:tcPr>
            <w:tcW w:w="1152" w:type="dxa"/>
            <w:tcBorders/>
          </w:tcPr>
          <w:p>
            <w:pPr>
              <w:pStyle w:val="Normal"/>
              <w:spacing w:before="40" w:after="40"/>
              <w:rPr>
                <w:rFonts w:ascii="Arial" w:hAnsi="Arial" w:cs="Arial"/>
                <w:b/>
                <w:lang w:eastAsia="en-US"/>
              </w:rPr>
            </w:pPr>
            <w:r>
              <w:rPr>
                <w:rFonts w:cs="Arial" w:ascii="Arial" w:hAnsi="Arial"/>
                <w:b/>
                <w:lang w:eastAsia="en-US"/>
              </w:rPr>
              <w:t>1997</w:t>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Revenues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Electricity Sales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3,228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13,334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12,600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Other Revenues</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68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779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766 </w:t>
            </w:r>
          </w:p>
        </w:tc>
      </w:tr>
      <w:tr>
        <w:trPr>
          <w:trHeight w:val="262" w:hRule="atLeast"/>
        </w:trPr>
        <w:tc>
          <w:tcPr>
            <w:tcW w:w="3785"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Total Revenues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3,296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14,113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13,366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b/>
                <w:i/>
                <w:i/>
                <w:lang w:eastAsia="en-US"/>
              </w:rPr>
            </w:pPr>
            <w:r>
              <w:rPr>
                <w:rFonts w:cs="Arial" w:ascii="Arial" w:hAnsi="Arial"/>
                <w:b/>
                <w:i/>
                <w:lang w:eastAsia="en-US"/>
              </w:rPr>
              <w:t>Expenses</w:t>
            </w:r>
          </w:p>
        </w:tc>
        <w:tc>
          <w:tcPr>
            <w:tcW w:w="1639" w:type="dxa"/>
            <w:tcBorders/>
          </w:tcPr>
          <w:p>
            <w:pPr>
              <w:pStyle w:val="Normal"/>
              <w:snapToGrid w:val="false"/>
              <w:spacing w:before="40" w:after="40"/>
              <w:rPr>
                <w:rFonts w:ascii="Arial" w:hAnsi="Arial" w:cs="Arial"/>
                <w:b/>
                <w:i/>
                <w:i/>
                <w:lang w:eastAsia="en-US"/>
              </w:rPr>
            </w:pPr>
            <w:r>
              <w:rPr>
                <w:rFonts w:cs="Arial" w:ascii="Arial" w:hAnsi="Arial"/>
                <w:b/>
                <w:i/>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Cost of Goods Sold</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1,973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7,727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7,023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G&amp;A</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172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1,041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1,610 </w:t>
            </w:r>
          </w:p>
        </w:tc>
      </w:tr>
      <w:tr>
        <w:trPr>
          <w:trHeight w:val="262" w:hRule="atLeast"/>
        </w:trPr>
        <w:tc>
          <w:tcPr>
            <w:tcW w:w="3785" w:type="dxa"/>
            <w:tcBorders/>
          </w:tcPr>
          <w:p>
            <w:pPr>
              <w:pStyle w:val="Normal"/>
              <w:spacing w:before="40" w:after="40"/>
              <w:rPr>
                <w:rFonts w:ascii="Arial" w:hAnsi="Arial" w:cs="Arial"/>
                <w:lang w:eastAsia="en-US"/>
              </w:rPr>
            </w:pPr>
            <w:r>
              <w:rPr>
                <w:rFonts w:cs="Arial" w:ascii="Arial" w:hAnsi="Arial"/>
                <w:lang w:eastAsia="en-US"/>
              </w:rPr>
              <w:t>Depreciation &amp; Amortization</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976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2,419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2,408 </w:t>
            </w:r>
          </w:p>
        </w:tc>
      </w:tr>
      <w:tr>
        <w:trPr>
          <w:trHeight w:val="307" w:hRule="atLeast"/>
        </w:trPr>
        <w:tc>
          <w:tcPr>
            <w:tcW w:w="3785" w:type="dxa"/>
            <w:tcBorders/>
          </w:tcPr>
          <w:p>
            <w:pPr>
              <w:pStyle w:val="Normal"/>
              <w:spacing w:before="40" w:after="40"/>
              <w:rPr>
                <w:rFonts w:ascii="Arial" w:hAnsi="Arial" w:cs="Arial"/>
                <w:lang w:eastAsia="en-US"/>
              </w:rPr>
            </w:pPr>
            <w:r>
              <w:rPr>
                <w:rFonts w:cs="Arial" w:ascii="Arial" w:hAnsi="Arial"/>
                <w:lang w:eastAsia="en-US"/>
              </w:rPr>
              <w:t xml:space="preserve">Interest Expense </w:t>
            </w:r>
          </w:p>
        </w:tc>
        <w:tc>
          <w:tcPr>
            <w:tcW w:w="1639"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1,424 </w:t>
            </w:r>
          </w:p>
        </w:tc>
        <w:tc>
          <w:tcPr>
            <w:tcW w:w="1010"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3,885 </w:t>
            </w:r>
          </w:p>
        </w:tc>
        <w:tc>
          <w:tcPr>
            <w:tcW w:w="1152" w:type="dxa"/>
            <w:tcBorders/>
          </w:tcPr>
          <w:p>
            <w:pPr>
              <w:pStyle w:val="Normal"/>
              <w:spacing w:before="40" w:after="40"/>
              <w:rPr>
                <w:rFonts w:ascii="Arial" w:hAnsi="Arial" w:cs="Arial"/>
                <w:u w:val="single"/>
                <w:lang w:eastAsia="en-US"/>
              </w:rPr>
            </w:pPr>
            <w:r>
              <w:rPr>
                <w:rFonts w:eastAsia="Arial" w:cs="Arial" w:ascii="Arial" w:hAnsi="Arial"/>
                <w:u w:val="single"/>
                <w:lang w:eastAsia="en-US"/>
              </w:rPr>
              <w:t xml:space="preserve">        </w:t>
            </w:r>
            <w:r>
              <w:rPr>
                <w:rFonts w:cs="Arial" w:ascii="Arial" w:hAnsi="Arial"/>
                <w:u w:val="single"/>
                <w:lang w:eastAsia="en-US"/>
              </w:rPr>
              <w:t xml:space="preserve">4,220 </w:t>
            </w:r>
          </w:p>
        </w:tc>
      </w:tr>
      <w:tr>
        <w:trPr>
          <w:trHeight w:val="262" w:hRule="atLeast"/>
        </w:trPr>
        <w:tc>
          <w:tcPr>
            <w:tcW w:w="3785"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Total Expenses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4,545 </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15,072 </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 xml:space="preserve">15,261 </w:t>
            </w:r>
          </w:p>
        </w:tc>
      </w:tr>
      <w:tr>
        <w:trPr>
          <w:trHeight w:val="262" w:hRule="atLeast"/>
        </w:trPr>
        <w:tc>
          <w:tcPr>
            <w:tcW w:w="3785"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639"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010" w:type="dxa"/>
            <w:tcBorders/>
          </w:tcPr>
          <w:p>
            <w:pPr>
              <w:pStyle w:val="Normal"/>
              <w:snapToGrid w:val="false"/>
              <w:spacing w:before="40" w:after="40"/>
              <w:rPr>
                <w:rFonts w:ascii="Arial" w:hAnsi="Arial" w:cs="Arial"/>
                <w:lang w:eastAsia="en-US"/>
              </w:rPr>
            </w:pPr>
            <w:r>
              <w:rPr>
                <w:rFonts w:cs="Arial" w:ascii="Arial" w:hAnsi="Arial"/>
                <w:lang w:eastAsia="en-US"/>
              </w:rPr>
            </w:r>
          </w:p>
        </w:tc>
        <w:tc>
          <w:tcPr>
            <w:tcW w:w="1152" w:type="dxa"/>
            <w:tcBorders/>
          </w:tcPr>
          <w:p>
            <w:pPr>
              <w:pStyle w:val="Normal"/>
              <w:snapToGrid w:val="false"/>
              <w:spacing w:before="40" w:after="40"/>
              <w:rPr>
                <w:rFonts w:ascii="Arial" w:hAnsi="Arial" w:cs="Arial"/>
                <w:lang w:eastAsia="en-US"/>
              </w:rPr>
            </w:pPr>
            <w:r>
              <w:rPr>
                <w:rFonts w:cs="Arial" w:ascii="Arial" w:hAnsi="Arial"/>
                <w:lang w:eastAsia="en-US"/>
              </w:rPr>
            </w:r>
          </w:p>
        </w:tc>
      </w:tr>
      <w:tr>
        <w:trPr>
          <w:trHeight w:val="378" w:hRule="atLeast"/>
        </w:trPr>
        <w:tc>
          <w:tcPr>
            <w:tcW w:w="3785" w:type="dxa"/>
            <w:tcBorders/>
          </w:tcPr>
          <w:p>
            <w:pPr>
              <w:pStyle w:val="Normal"/>
              <w:spacing w:before="40" w:after="40"/>
              <w:rPr>
                <w:rFonts w:ascii="Arial" w:hAnsi="Arial" w:cs="Arial"/>
                <w:lang w:eastAsia="en-US"/>
              </w:rPr>
            </w:pPr>
            <w:r>
              <w:rPr>
                <w:rFonts w:cs="Arial" w:ascii="Arial" w:hAnsi="Arial"/>
                <w:lang w:eastAsia="en-US"/>
              </w:rPr>
              <w:t>Net Income (Loss)</w:t>
            </w:r>
          </w:p>
        </w:tc>
        <w:tc>
          <w:tcPr>
            <w:tcW w:w="1639"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(1,249)</w:t>
            </w:r>
          </w:p>
        </w:tc>
        <w:tc>
          <w:tcPr>
            <w:tcW w:w="1010"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(959)</w:t>
            </w:r>
          </w:p>
        </w:tc>
        <w:tc>
          <w:tcPr>
            <w:tcW w:w="1152" w:type="dxa"/>
            <w:tcBorders/>
          </w:tcPr>
          <w:p>
            <w:pPr>
              <w:pStyle w:val="Normal"/>
              <w:spacing w:before="40" w:after="40"/>
              <w:rPr>
                <w:rFonts w:ascii="Arial" w:hAnsi="Arial" w:cs="Arial"/>
                <w:lang w:eastAsia="en-US"/>
              </w:rPr>
            </w:pPr>
            <w:r>
              <w:rPr>
                <w:rFonts w:eastAsia="Arial" w:cs="Arial" w:ascii="Arial" w:hAnsi="Arial"/>
                <w:lang w:eastAsia="en-US"/>
              </w:rPr>
              <w:t xml:space="preserve">      </w:t>
            </w:r>
            <w:r>
              <w:rPr>
                <w:rFonts w:cs="Arial" w:ascii="Arial" w:hAnsi="Arial"/>
                <w:lang w:eastAsia="en-US"/>
              </w:rPr>
              <w:t>(1,895)</w:t>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TERM LOAN AMORTIZATION SCHEDULE</w:t>
      </w:r>
    </w:p>
    <w:p>
      <w:pPr>
        <w:pStyle w:val="Normal"/>
        <w:rPr/>
      </w:pPr>
      <w:r>
        <w:rPr/>
        <w:t>(Amounts in US$1000s)</w:t>
      </w:r>
    </w:p>
    <w:tbl>
      <w:tblPr>
        <w:tblW w:w="7470" w:type="dxa"/>
        <w:jc w:val="start"/>
        <w:tblInd w:w="1110" w:type="dxa"/>
        <w:tblLayout w:type="fixed"/>
        <w:tblCellMar>
          <w:top w:w="0" w:type="dxa"/>
          <w:start w:w="30" w:type="dxa"/>
          <w:bottom w:w="0" w:type="dxa"/>
          <w:end w:w="30" w:type="dxa"/>
        </w:tblCellMar>
      </w:tblPr>
      <w:tblGrid>
        <w:gridCol w:w="1530"/>
        <w:gridCol w:w="1350"/>
        <w:gridCol w:w="2250"/>
        <w:gridCol w:w="2340"/>
      </w:tblGrid>
      <w:tr>
        <w:trPr/>
        <w:tc>
          <w:tcPr>
            <w:tcW w:w="153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Date</w:t>
            </w:r>
          </w:p>
        </w:tc>
        <w:tc>
          <w:tcPr>
            <w:tcW w:w="135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Repayment</w:t>
            </w:r>
          </w:p>
        </w:tc>
        <w:tc>
          <w:tcPr>
            <w:tcW w:w="2250" w:type="dxa"/>
            <w:tcBorders>
              <w:top w:val="single" w:sz="6" w:space="0" w:color="000000"/>
              <w:end w:val="single" w:sz="6" w:space="0" w:color="000000"/>
            </w:tcBorders>
          </w:tcPr>
          <w:p>
            <w:pPr>
              <w:pStyle w:val="Normal"/>
              <w:spacing w:before="120" w:after="0"/>
              <w:rPr>
                <w:rFonts w:ascii="Arial" w:hAnsi="Arial" w:cs="Arial"/>
                <w:b/>
              </w:rPr>
            </w:pPr>
            <w:r>
              <w:rPr>
                <w:rFonts w:cs="Arial" w:ascii="Arial" w:hAnsi="Arial"/>
                <w:b/>
              </w:rPr>
              <w:t>Balance Outstanding</w:t>
            </w:r>
          </w:p>
        </w:tc>
        <w:tc>
          <w:tcPr>
            <w:tcW w:w="2340" w:type="dxa"/>
            <w:tcBorders>
              <w:top w:val="single" w:sz="6" w:space="0" w:color="000000"/>
              <w:start w:val="single" w:sz="6" w:space="0" w:color="000000"/>
              <w:end w:val="single" w:sz="6" w:space="0" w:color="000000"/>
            </w:tcBorders>
          </w:tcPr>
          <w:p>
            <w:pPr>
              <w:pStyle w:val="Normal"/>
              <w:spacing w:before="120" w:after="0"/>
              <w:rPr>
                <w:rFonts w:ascii="Arial" w:hAnsi="Arial" w:cs="Arial"/>
                <w:b/>
              </w:rPr>
            </w:pPr>
            <w:r>
              <w:rPr>
                <w:rFonts w:cs="Arial" w:ascii="Arial" w:hAnsi="Arial"/>
                <w:b/>
              </w:rPr>
              <w:t>Percentage outstanding</w:t>
            </w:r>
          </w:p>
        </w:tc>
      </w:tr>
      <w:tr>
        <w:trPr/>
        <w:tc>
          <w:tcPr>
            <w:tcW w:w="153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135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225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c>
          <w:tcPr>
            <w:tcW w:w="2340" w:type="dxa"/>
            <w:tcBorders>
              <w:start w:val="single" w:sz="6" w:space="0" w:color="000000"/>
              <w:bottom w:val="single" w:sz="6" w:space="0" w:color="000000"/>
              <w:end w:val="single" w:sz="6" w:space="0" w:color="000000"/>
            </w:tcBorders>
          </w:tcPr>
          <w:p>
            <w:pPr>
              <w:pStyle w:val="Normal"/>
              <w:snapToGrid w:val="false"/>
              <w:rPr>
                <w:rFonts w:ascii="Arial" w:hAnsi="Arial" w:cs="Arial"/>
                <w:b/>
              </w:rPr>
            </w:pPr>
            <w:r>
              <w:rPr>
                <w:rFonts w:cs="Arial" w:ascii="Arial" w:hAnsi="Arial"/>
                <w:b/>
              </w:rPr>
            </w:r>
          </w:p>
        </w:tc>
      </w:tr>
      <w:tr>
        <w:trPr>
          <w:trHeight w:val="318" w:hRule="atLeast"/>
        </w:trPr>
        <w:tc>
          <w:tcPr>
            <w:tcW w:w="1530" w:type="dxa"/>
            <w:tcBorders>
              <w:top w:val="single" w:sz="6" w:space="0" w:color="000000"/>
              <w:start w:val="single" w:sz="6" w:space="0" w:color="000000"/>
              <w:end w:val="single" w:sz="6" w:space="0" w:color="000000"/>
            </w:tcBorders>
          </w:tcPr>
          <w:p>
            <w:pPr>
              <w:pStyle w:val="Normal"/>
              <w:spacing w:before="20" w:after="20"/>
              <w:rPr>
                <w:rFonts w:ascii="Arial" w:hAnsi="Arial" w:cs="Arial"/>
              </w:rPr>
            </w:pPr>
            <w:r>
              <w:rPr>
                <w:rFonts w:cs="Arial" w:ascii="Arial" w:hAnsi="Arial"/>
              </w:rPr>
              <w:t>Opening</w:t>
            </w:r>
          </w:p>
        </w:tc>
        <w:tc>
          <w:tcPr>
            <w:tcW w:w="1350" w:type="dxa"/>
            <w:tcBorders>
              <w:top w:val="single" w:sz="6" w:space="0" w:color="000000"/>
              <w:start w:val="single" w:sz="6" w:space="0" w:color="000000"/>
              <w:end w:val="single" w:sz="6" w:space="0" w:color="000000"/>
            </w:tcBorders>
          </w:tcPr>
          <w:p>
            <w:pPr>
              <w:pStyle w:val="Normal"/>
              <w:snapToGrid w:val="false"/>
              <w:spacing w:before="20" w:after="20"/>
              <w:rPr>
                <w:rFonts w:ascii="Arial" w:hAnsi="Arial" w:cs="Arial"/>
                <w:b/>
              </w:rPr>
            </w:pPr>
            <w:r>
              <w:rPr>
                <w:rFonts w:cs="Arial" w:ascii="Arial" w:hAnsi="Arial"/>
                <w:b/>
              </w:rPr>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56,500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100.0%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31-Dec-99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56,109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99.3%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56,003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99.1%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55,482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98.2%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54,880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97.1%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31-Dec-00</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54,507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96.5%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(361)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54,146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95.8%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53,543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94.8%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52,877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93.6%</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31-Dec-01</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(518)</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52,359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92.7%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51,825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91.7%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(760)</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51,065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90.4%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(873)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50,192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88.8%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31-Dec-02</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(334)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49,858</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88.2%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(298)</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49,560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87.7%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49,053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86.8%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(614)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48,439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85.7%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31-Dec-03</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(683)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47,756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84.5%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(632)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47,124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83.4%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(809)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46,315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82.0%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(951)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45,364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80.3%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31-Dec-04</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44,583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(740)</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43,843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77.6%</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(966)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42,877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75.9%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(1,114)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41,763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73.9%</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31-Dec-05</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(439)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41,324</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73.1%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40,949</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72.5%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(572)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40,377</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71.5%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(694)</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39,683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70.2%</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31-Dec-06</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(502)</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39,181</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69.3%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(455)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38,726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68.5%</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38,065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67.4%</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(783)</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37,282</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66.0%</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31-Dec-07</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(936)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36,346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64.3%</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(891)</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35,455</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62.8%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(1,099)</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34,356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60.8%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30-Sep-08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(1,216)</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33,140</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58.7%</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31-Dec-08</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(1,037)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32,103</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56.8%</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31-Mar-09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(977)</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31,126</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55.1%</w:t>
            </w:r>
          </w:p>
        </w:tc>
      </w:tr>
      <w:tr>
        <w:trPr/>
        <w:tc>
          <w:tcPr>
            <w:tcW w:w="153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30-Jun-09</w:t>
            </w:r>
          </w:p>
        </w:tc>
        <w:tc>
          <w:tcPr>
            <w:tcW w:w="13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(1,205)</w:t>
            </w:r>
          </w:p>
        </w:tc>
        <w:tc>
          <w:tcPr>
            <w:tcW w:w="225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29,921</w:t>
            </w:r>
          </w:p>
        </w:tc>
        <w:tc>
          <w:tcPr>
            <w:tcW w:w="2340" w:type="dxa"/>
            <w:tcBorders>
              <w:start w:val="single" w:sz="6" w:space="0" w:color="000000"/>
              <w:end w:val="single" w:sz="6" w:space="0" w:color="000000"/>
            </w:tcBorders>
          </w:tcPr>
          <w:p>
            <w:pPr>
              <w:pStyle w:val="Normal"/>
              <w:spacing w:before="20" w:after="20"/>
              <w:rPr>
                <w:rFonts w:ascii="Arial" w:hAnsi="Arial" w:cs="Arial"/>
              </w:rPr>
            </w:pPr>
            <w:r>
              <w:rPr>
                <w:rFonts w:cs="Arial" w:ascii="Arial" w:hAnsi="Arial"/>
              </w:rPr>
              <w:t>53.0%</w:t>
            </w:r>
          </w:p>
        </w:tc>
      </w:tr>
      <w:tr>
        <w:trPr/>
        <w:tc>
          <w:tcPr>
            <w:tcW w:w="153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30-Sep-09</w:t>
            </w:r>
          </w:p>
        </w:tc>
        <w:tc>
          <w:tcPr>
            <w:tcW w:w="135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(29,921)</w:t>
            </w:r>
          </w:p>
        </w:tc>
        <w:tc>
          <w:tcPr>
            <w:tcW w:w="225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0</w:t>
            </w:r>
          </w:p>
        </w:tc>
        <w:tc>
          <w:tcPr>
            <w:tcW w:w="2340" w:type="dxa"/>
            <w:tcBorders>
              <w:start w:val="single" w:sz="6" w:space="0" w:color="000000"/>
              <w:bottom w:val="single" w:sz="6" w:space="0" w:color="000000"/>
              <w:end w:val="single" w:sz="6" w:space="0" w:color="000000"/>
            </w:tcBorders>
          </w:tcPr>
          <w:p>
            <w:pPr>
              <w:pStyle w:val="Normal"/>
              <w:spacing w:before="20" w:after="20"/>
              <w:rPr>
                <w:rFonts w:ascii="Arial" w:hAnsi="Arial" w:cs="Arial"/>
              </w:rPr>
            </w:pPr>
            <w:r>
              <w:rPr>
                <w:rFonts w:cs="Arial" w:ascii="Arial" w:hAnsi="Arial"/>
              </w:rPr>
              <w:t>0.0%</w:t>
            </w:r>
          </w:p>
        </w:tc>
      </w:tr>
    </w:tbl>
    <w:p>
      <w:pPr>
        <w:pStyle w:val="EventArrow"/>
        <w:spacing w:before="0" w:after="0"/>
        <w:rPr/>
      </w:pPr>
      <w:r>
        <w:rPr/>
        <w:sym w:font="NewspaperPi BT;Symbol" w:char="53"/>
        <w:sym w:font="NewspaperPi BT;Symbol" w:char="57"/>
        <w:sym w:font="NewspaperPi BT;Symbol" w:char="47"/>
        <w:sym w:font="NewspaperPi BT;Symbol" w:char="20"/>
        <w:sym w:font="NewspaperPi BT;Symbol" w:char="4c"/>
        <w:sym w:font="NewspaperPi BT;Symbol" w:char="65"/>
        <w:sym w:font="NewspaperPi BT;Symbol" w:char="74"/>
        <w:sym w:font="NewspaperPi BT;Symbol" w:char="74"/>
        <w:sym w:font="NewspaperPi BT;Symbol" w:char="65"/>
        <w:sym w:font="NewspaperPi BT;Symbol" w:char="72"/>
        <w:sym w:font="NewspaperPi BT;Symbol" w:char="20"/>
        <w:sym w:font="NewspaperPi BT;Symbol" w:char="6f"/>
        <w:sym w:font="NewspaperPi BT;Symbol" w:char="66"/>
        <w:sym w:font="NewspaperPi BT;Symbol" w:char="20"/>
        <w:sym w:font="NewspaperPi BT;Symbol" w:char="43"/>
        <w:sym w:font="NewspaperPi BT;Symbol" w:char="72"/>
        <w:sym w:font="NewspaperPi BT;Symbol" w:char="65"/>
        <w:sym w:font="NewspaperPi BT;Symbol" w:char="64"/>
        <w:sym w:font="NewspaperPi BT;Symbol" w:char="69"/>
        <w:sym w:font="NewspaperPi BT;Symbol" w:char="74"/>
      </w:r>
    </w:p>
    <w:tbl>
      <w:tblPr>
        <w:tblW w:w="8640" w:type="dxa"/>
        <w:jc w:val="center"/>
        <w:tblInd w:w="0" w:type="dxa"/>
        <w:tblLayout w:type="fixed"/>
        <w:tblCellMar>
          <w:top w:w="0" w:type="dxa"/>
          <w:start w:w="108" w:type="dxa"/>
          <w:bottom w:w="0" w:type="dxa"/>
          <w:end w:w="108" w:type="dxa"/>
        </w:tblCellMar>
      </w:tblPr>
      <w:tblGrid>
        <w:gridCol w:w="2880"/>
        <w:gridCol w:w="2070"/>
        <w:gridCol w:w="1890"/>
        <w:gridCol w:w="1800"/>
      </w:tblGrid>
      <w:tr>
        <w:trPr>
          <w:trHeight w:val="448" w:hRule="atLeast"/>
        </w:trPr>
        <w:tc>
          <w:tcPr>
            <w:tcW w:w="2880" w:type="dxa"/>
            <w:vMerge w:val="restart"/>
            <w:tcBorders>
              <w:top w:val="single" w:sz="4" w:space="0" w:color="000000"/>
              <w:start w:val="double" w:sz="4" w:space="0" w:color="000000"/>
              <w:end w:val="single" w:sz="4" w:space="0" w:color="000000"/>
            </w:tcBorders>
          </w:tcPr>
          <w:p>
            <w:pPr>
              <w:pStyle w:val="CIMContactAddress"/>
              <w:spacing w:lineRule="auto" w:line="240" w:before="120" w:after="0"/>
              <w:rPr>
                <w:rFonts w:ascii="Arial" w:hAnsi="Arial" w:cs="Arial"/>
              </w:rPr>
            </w:pPr>
            <w:r>
              <w:rPr>
                <w:rFonts w:cs="Arial" w:ascii="Arial" w:hAnsi="Arial"/>
              </w:rPr>
              <w:t>Reduction Schedule Southwest Gas Letter of Credit:</w:t>
            </w:r>
          </w:p>
        </w:tc>
        <w:tc>
          <w:tcPr>
            <w:tcW w:w="2070"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Arial" w:hAnsi="Arial" w:cs="Arial"/>
                <w:b/>
              </w:rPr>
            </w:pPr>
            <w:r>
              <w:rPr>
                <w:rFonts w:cs="Arial" w:ascii="Arial" w:hAnsi="Arial"/>
                <w:b/>
              </w:rPr>
              <w:t>Date</w:t>
            </w:r>
          </w:p>
        </w:tc>
        <w:tc>
          <w:tcPr>
            <w:tcW w:w="1890" w:type="dxa"/>
            <w:tcBorders>
              <w:top w:val="single" w:sz="4" w:space="0" w:color="000000"/>
              <w:start w:val="single" w:sz="4" w:space="0" w:color="000000"/>
              <w:bottom w:val="single" w:sz="4" w:space="0" w:color="000000"/>
              <w:end w:val="single" w:sz="4" w:space="0" w:color="000000"/>
            </w:tcBorders>
          </w:tcPr>
          <w:p>
            <w:pPr>
              <w:pStyle w:val="Normal"/>
              <w:spacing w:before="120" w:after="0"/>
              <w:rPr>
                <w:rFonts w:ascii="Arial" w:hAnsi="Arial" w:cs="Arial"/>
                <w:b/>
              </w:rPr>
            </w:pPr>
            <w:r>
              <w:rPr>
                <w:rFonts w:cs="Arial" w:ascii="Arial" w:hAnsi="Arial"/>
                <w:b/>
              </w:rPr>
              <w:t>Reduction</w:t>
            </w:r>
          </w:p>
        </w:tc>
        <w:tc>
          <w:tcPr>
            <w:tcW w:w="1800" w:type="dxa"/>
            <w:tcBorders>
              <w:top w:val="single" w:sz="4" w:space="0" w:color="000000"/>
              <w:start w:val="single" w:sz="4" w:space="0" w:color="000000"/>
              <w:bottom w:val="single" w:sz="4" w:space="0" w:color="000000"/>
              <w:end w:val="double" w:sz="4" w:space="0" w:color="000000"/>
            </w:tcBorders>
          </w:tcPr>
          <w:p>
            <w:pPr>
              <w:pStyle w:val="Normal"/>
              <w:spacing w:before="120" w:after="0"/>
              <w:rPr>
                <w:rFonts w:ascii="Arial" w:hAnsi="Arial" w:cs="Arial"/>
                <w:b/>
              </w:rPr>
            </w:pPr>
            <w:r>
              <w:rPr>
                <w:rFonts w:cs="Arial" w:ascii="Arial" w:hAnsi="Arial"/>
                <w:b/>
              </w:rPr>
              <w:t>Balance</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b/>
              </w:rPr>
            </w:pPr>
            <w:r>
              <w:rPr>
                <w:rFonts w:cs="Arial" w:ascii="Arial" w:hAnsi="Arial"/>
                <w:b/>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Initial</w:t>
            </w:r>
          </w:p>
        </w:tc>
        <w:tc>
          <w:tcPr>
            <w:tcW w:w="18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Arial" w:hAnsi="Arial" w:cs="Arial"/>
              </w:rPr>
            </w:pPr>
            <w:r>
              <w:rPr>
                <w:rFonts w:cs="Arial" w:ascii="Arial" w:hAnsi="Arial"/>
              </w:rPr>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888,896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10-May-00</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855,712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10-May-01</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822,528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10-May-02</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789,344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10-May-03</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756,160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10-May-04</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722,976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10-May-05</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689,792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10-May-06</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656,608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10-May-07</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623,424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10-May-08</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590,240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Normal"/>
              <w:snapToGrid w:val="false"/>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10-May-09</w:t>
            </w:r>
          </w:p>
        </w:tc>
        <w:tc>
          <w:tcPr>
            <w:tcW w:w="1890" w:type="dxa"/>
            <w:tcBorders>
              <w:top w:val="single" w:sz="4" w:space="0" w:color="000000"/>
              <w:start w:val="single" w:sz="4" w:space="0" w:color="000000"/>
              <w:bottom w:val="single" w:sz="4" w:space="0" w:color="000000"/>
              <w:end w:val="single" w:sz="4" w:space="0" w:color="000000"/>
            </w:tcBorders>
          </w:tcPr>
          <w:p>
            <w:pPr>
              <w:pStyle w:val="Normal"/>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rPr>
                <w:rFonts w:ascii="Arial" w:hAnsi="Arial" w:cs="Arial"/>
              </w:rPr>
            </w:pPr>
            <w:r>
              <w:rPr>
                <w:rFonts w:cs="Arial" w:ascii="Arial" w:hAnsi="Arial"/>
              </w:rPr>
              <w:t>557,056</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r>
    </w:p>
    <w:p>
      <w:pPr>
        <w:pStyle w:val="Normal"/>
        <w:rPr>
          <w:rFonts w:ascii="Arial" w:hAnsi="Arial" w:cs="Arial"/>
          <w:b/>
          <w:sz w:val="32"/>
        </w:rPr>
      </w:pPr>
      <w:r>
        <w:rPr>
          <w:rFonts w:cs="Arial" w:ascii="Arial" w:hAnsi="Arial"/>
          <w:b/>
          <w:sz w:val="32"/>
        </w:rPr>
        <w:t>3-B-VI. Description - LV Cogen II</w:t>
      </w:r>
    </w:p>
    <w:p>
      <w:pPr>
        <w:pStyle w:val="Normal"/>
        <w:rPr>
          <w:rFonts w:ascii="Arial" w:hAnsi="Arial" w:cs="Arial"/>
          <w:b/>
          <w:sz w:val="32"/>
        </w:rPr>
      </w:pPr>
      <w:r>
        <w:rPr>
          <w:rFonts w:cs="Arial" w:ascii="Arial" w:hAnsi="Arial"/>
          <w:b/>
          <w:sz w:val="32"/>
        </w:rPr>
      </w:r>
    </w:p>
    <w:p>
      <w:pPr>
        <w:pStyle w:val="DLJCoverPage2"/>
        <w:rPr>
          <w:rFonts w:ascii="Arial" w:hAnsi="Arial" w:cs="Arial"/>
        </w:rPr>
      </w:pPr>
      <w:r>
        <w:rPr>
          <w:rFonts w:cs="Arial" w:ascii="Arial" w:hAnsi="Arial"/>
        </w:rPr>
        <w:t>Project Description</w:t>
      </w:r>
    </w:p>
    <w:p>
      <w:pPr>
        <w:pStyle w:val="Normal"/>
        <w:rPr>
          <w:rFonts w:ascii="Arial" w:hAnsi="Arial" w:cs="Arial"/>
          <w:smallCaps/>
        </w:rPr>
      </w:pPr>
      <w:r>
        <w:rPr>
          <w:rFonts w:cs="Arial" w:ascii="Arial" w:hAnsi="Arial"/>
          <w:smallCaps/>
        </w:rPr>
      </w:r>
    </w:p>
    <w:p>
      <w:pPr>
        <w:pStyle w:val="Normal"/>
        <w:rPr/>
      </w:pPr>
      <w:r>
        <w:rPr>
          <w:rFonts w:cs="Arial" w:ascii="Arial" w:hAnsi="Arial"/>
          <w:b/>
          <w:smallCaps/>
        </w:rPr>
        <w:t>General.</w:t>
      </w:r>
      <w:r>
        <w:rPr>
          <w:rFonts w:cs="Arial" w:ascii="Arial" w:hAnsi="Arial"/>
          <w:smallCaps/>
        </w:rPr>
        <w:t xml:space="preserve">  LVCII will be a nominal 230 MW natural gas fired power plant consisting of two, two-on-one combined cycle units.  LVCII will use four GE LM 6000 PC turbines to produce merchant electrical power.  Output can be sold into deregulated electricity markets through contractual arrangements, Meade or the local Nevada grid, upon the deregulation of its power markets.  Power will be delivered to the existing electrical grid into the Nevada Power transmission system at 138kV.  </w:t>
      </w:r>
    </w:p>
    <w:p>
      <w:pPr>
        <w:pStyle w:val="Normal"/>
        <w:rPr>
          <w:rFonts w:ascii="Arial" w:hAnsi="Arial" w:cs="Arial"/>
          <w:smallCaps/>
        </w:rPr>
      </w:pPr>
      <w:r>
        <w:rPr>
          <w:rFonts w:cs="Arial" w:ascii="Arial" w:hAnsi="Arial"/>
          <w:smallCaps/>
        </w:rPr>
      </w:r>
    </w:p>
    <w:p>
      <w:pPr>
        <w:pStyle w:val="Normal"/>
        <w:rPr/>
      </w:pPr>
      <w:r>
        <w:rPr>
          <w:rFonts w:cs="Arial" w:ascii="Arial" w:hAnsi="Arial"/>
          <w:b/>
        </w:rPr>
        <w:t>Location and Project Site.</w:t>
      </w:r>
      <w:r>
        <w:rPr>
          <w:rFonts w:cs="Arial" w:ascii="Arial" w:hAnsi="Arial"/>
        </w:rPr>
        <w:t xml:space="preserve">  LVCII will be equipped with four GE LM6000 PC gas turbines with Enhanced Sprint (spray cooling), each rated at approximately 43 MW, four HRSG’s and two steam turbines in a site-optimized configuration.  As an expansion of LVCLP, LVCII will be located adjacent to the existing facility on approximately four-acres of land located at 1701 East Alexander Road, North Las Vegas, NV, in Clark County.  The Southwest Gas Corporation pipeline, Nevada Power electric transmission and the City of North Las Vegas water supply are all located at the boundaries of the Project site.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CIMContactAddress"/>
        <w:spacing w:lineRule="auto" w:line="240" w:before="0" w:after="0"/>
        <w:rPr>
          <w:rFonts w:ascii="Arial" w:hAnsi="Arial" w:cs="Arial"/>
          <w:b/>
          <w:sz w:val="28"/>
        </w:rPr>
      </w:pPr>
      <w:r>
        <w:rPr>
          <w:rFonts w:cs="Arial" w:ascii="Arial" w:hAnsi="Arial"/>
          <w:b/>
          <w:sz w:val="28"/>
        </w:rPr>
        <w:t>Technical Description</w:t>
      </w:r>
    </w:p>
    <w:p>
      <w:pPr>
        <w:pStyle w:val="Normal"/>
        <w:rPr>
          <w:rFonts w:ascii="Arial" w:hAnsi="Arial" w:cs="Arial"/>
          <w:b/>
          <w:sz w:val="28"/>
        </w:rPr>
      </w:pPr>
      <w:r>
        <w:rPr>
          <w:rFonts w:cs="Arial" w:ascii="Arial" w:hAnsi="Arial"/>
          <w:b/>
          <w:sz w:val="28"/>
        </w:rPr>
      </w:r>
    </w:p>
    <w:p>
      <w:pPr>
        <w:pStyle w:val="Normal"/>
        <w:rPr/>
      </w:pPr>
      <w:r>
        <w:rPr>
          <w:rFonts w:cs="Arial" w:ascii="Arial" w:hAnsi="Arial"/>
          <w:b/>
        </w:rPr>
        <w:t>Equipment.</w:t>
      </w:r>
      <w:r>
        <w:rPr>
          <w:rFonts w:cs="Arial" w:ascii="Arial" w:hAnsi="Arial"/>
        </w:rPr>
        <w:t xml:space="preserve"> The plant configuration of four GE LM 6000 PC gas turbines with inlet cooling will be used on the gas turbines to maximize plant output during warm ambient conditions.</w:t>
      </w:r>
    </w:p>
    <w:p>
      <w:pPr>
        <w:pStyle w:val="Normal"/>
        <w:rPr>
          <w:rFonts w:ascii="Arial" w:hAnsi="Arial" w:cs="Arial"/>
        </w:rPr>
      </w:pPr>
      <w:r>
        <w:rPr>
          <w:rFonts w:cs="Arial" w:ascii="Arial" w:hAnsi="Arial"/>
        </w:rPr>
      </w:r>
    </w:p>
    <w:p>
      <w:pPr>
        <w:pStyle w:val="Normal"/>
        <w:rPr/>
      </w:pPr>
      <w:r>
        <w:rPr>
          <w:rFonts w:cs="Arial" w:ascii="Arial" w:hAnsi="Arial"/>
          <w:b/>
        </w:rPr>
        <w:t>Capacity.</w:t>
      </w:r>
      <w:r>
        <w:rPr>
          <w:rFonts w:cs="Arial" w:ascii="Arial" w:hAnsi="Arial"/>
        </w:rPr>
        <w:t xml:space="preserve">  Given the varying ambient temperature in the Las Vegas area, the net output is expected to vary from 225-235 MW, for a yearly average output of 230 MW.  With the use of inlet cooling on the gas turbines, the average net output can be improved by 20 MW. The heat rate can also vary from 7,400-7,600 Btu/kWh throughout the year and will average 7,500 on a yearly basis. The use of inlet cooling on the gas turbines will increase the heat rate approximately 40 Btu/kWh.</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Permits and Environmental</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Waste Water</w:t>
      </w:r>
    </w:p>
    <w:p>
      <w:pPr>
        <w:pStyle w:val="Normal"/>
        <w:rPr>
          <w:rFonts w:ascii="Arial" w:hAnsi="Arial" w:cs="Arial"/>
        </w:rPr>
      </w:pPr>
      <w:r>
        <w:rPr>
          <w:rFonts w:cs="Arial" w:ascii="Arial" w:hAnsi="Arial"/>
        </w:rPr>
        <w:t>Wastewater will be discharged into the City of North Las Vegas’ system.  The City has committed to take the plant’s effluent.  The limit on the total dissolved solids of the wastewater is 3,000 ppm.</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Air Permit</w:t>
      </w:r>
    </w:p>
    <w:p>
      <w:pPr>
        <w:pStyle w:val="Normal"/>
        <w:rPr>
          <w:rFonts w:ascii="Arial" w:hAnsi="Arial" w:cs="Arial"/>
        </w:rPr>
      </w:pPr>
      <w:r>
        <w:rPr>
          <w:rFonts w:cs="Arial" w:ascii="Arial" w:hAnsi="Arial"/>
        </w:rPr>
        <w:t>LVCII’s Air Permit application was submitted on March 27, 2000. On June 9, Clark County APCD deemed the application to construct LVCII complete.  Clark County expects to release the permit for public comment in September 2000, which will allow finalization of the air permit in October 2000.  LVCII will utilize advanced SCR technology to reduce NOx emissions to a level of 2 ppm.  A carbon monoxide catalyst will be used to lower CO emissions to 2 ppm.</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Noise Permit</w:t>
      </w:r>
    </w:p>
    <w:p>
      <w:pPr>
        <w:pStyle w:val="Normal"/>
        <w:rPr>
          <w:rFonts w:ascii="Arial" w:hAnsi="Arial" w:cs="Arial"/>
        </w:rPr>
      </w:pPr>
      <w:r>
        <w:rPr>
          <w:rFonts w:cs="Arial" w:ascii="Arial" w:hAnsi="Arial"/>
        </w:rPr>
        <w:t>The site is zoned industrial, which allows for the construction of the new power generating facility.  The design is currently being evaluated to assure compliance with the City’s noise standard. A noise study was completed to verify the project’s ability to meet the City’s 65 dba requirement.  The primary area of concern was the auxiliary fans on the gas turbine enclosures.  GE is looking at additional shrouding to reduce the sound level.</w: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Laterals</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 xml:space="preserve">Interconnection </w:t>
      </w:r>
    </w:p>
    <w:p>
      <w:pPr>
        <w:pStyle w:val="Normal"/>
        <w:rPr>
          <w:rFonts w:ascii="Arial" w:hAnsi="Arial" w:cs="Arial"/>
        </w:rPr>
      </w:pPr>
      <w:r>
        <w:rPr>
          <w:rFonts w:cs="Arial" w:ascii="Arial" w:hAnsi="Arial"/>
        </w:rPr>
        <w:t xml:space="preserve">LVCII will interconnect with the Nevada Power Company’s system at the existing 138 kV substation on site.   An agreement has been signed with Nevada Power Company to design and estimate the costs associated with interconnecting LVCII.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Gas and Gas Transportation</w:t>
      </w:r>
    </w:p>
    <w:p>
      <w:pPr>
        <w:pStyle w:val="Normal"/>
        <w:rPr>
          <w:rFonts w:ascii="Arial" w:hAnsi="Arial" w:cs="Arial"/>
        </w:rPr>
      </w:pPr>
      <w:r>
        <w:rPr>
          <w:rFonts w:cs="Arial" w:ascii="Arial" w:hAnsi="Arial"/>
        </w:rPr>
        <w:t xml:space="preserve">Southwest Gas has provided a proposed rate structure for construction and operation of the gas lateral from the Kern River pipeline to LVCII.  The proposal calls for an annual demand charge of $1,020,000/yr, with $0.015/dth for any volumes exceeding the take or pay usage.  The take or pay usage was set at 40,000dth/day for a term of 20 years. </w:t>
      </w:r>
    </w:p>
    <w:p>
      <w:pPr>
        <w:pStyle w:val="Normal"/>
        <w:rPr>
          <w:rFonts w:ascii="Arial" w:hAnsi="Arial" w:cs="Arial"/>
        </w:rPr>
      </w:pPr>
      <w:r>
        <w:rPr>
          <w:rFonts w:cs="Arial" w:ascii="Arial" w:hAnsi="Arial"/>
        </w:rPr>
        <w:t xml:space="preserve">Easements are being pursued for a direct connect with Kern River Pipeline (KRP).  </w:t>
      </w:r>
    </w:p>
    <w:p>
      <w:pPr>
        <w:pStyle w:val="Normal"/>
        <w:rPr>
          <w:rFonts w:ascii="Arial" w:hAnsi="Arial" w:cs="Arial"/>
        </w:rPr>
      </w:pPr>
      <w:r>
        <w:rPr>
          <w:rFonts w:cs="Arial" w:ascii="Arial" w:hAnsi="Arial"/>
        </w:rPr>
        <w:t xml:space="preserve">Interstate transport will likely be provided off KRP.  ENA has been in ongoing discussions with KRP concerning the possibility of an expansion of KRP in conjunction with this facility.  Kern River has indicated the adequate facilities are in place to provide for at least 350,000MMBtu/d of additional capacity above the current capacity of 720,000 MMBtu/d at tariff rates.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Water Supply</w:t>
      </w:r>
    </w:p>
    <w:p>
      <w:pPr>
        <w:pStyle w:val="Normal"/>
        <w:rPr>
          <w:rFonts w:ascii="Arial" w:hAnsi="Arial" w:cs="Arial"/>
        </w:rPr>
      </w:pPr>
      <w:r>
        <w:rPr>
          <w:rFonts w:cs="Arial" w:ascii="Arial" w:hAnsi="Arial"/>
        </w:rPr>
        <w:t>The City of North Las Vegas has communicated in writing their intention to issue a “will serve” letter once all fees have been paid and both hydraulic analysis and final drawings have been approved.</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Wastewater</w:t>
      </w:r>
    </w:p>
    <w:p>
      <w:pPr>
        <w:pStyle w:val="Normal"/>
        <w:rPr>
          <w:rFonts w:ascii="Arial" w:hAnsi="Arial" w:cs="Arial"/>
        </w:rPr>
      </w:pPr>
      <w:r>
        <w:rPr>
          <w:rFonts w:cs="Arial" w:ascii="Arial" w:hAnsi="Arial"/>
        </w:rPr>
        <w:t xml:space="preserve">The City of North Las Vegas will discharge the wastewater.   In addition, North Las Vegas has approved a variance that allows LVC, LVCII, and Sunco to discharge a combined wastewater stream with a total dissolved solids level as high as 3,000 ppm into its sewer system.  This variance will augment plant economics, since it will allow the plant to increase the cycles of concentration in the cooling tower, reducing overall water usage.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Ownership Structure</w:t>
      </w:r>
    </w:p>
    <w:p>
      <w:pPr>
        <w:pStyle w:val="DLJCoverPage2"/>
        <w:rPr>
          <w:rFonts w:ascii="Arial" w:hAnsi="Arial" w:cs="Arial"/>
        </w:rPr>
      </w:pPr>
      <w:r>
        <w:rPr>
          <w:rFonts w:cs="Arial" w:ascii="Arial" w:hAnsi="Arial"/>
        </w:rPr>
      </w:r>
    </w:p>
    <w:p>
      <w:pPr>
        <w:pStyle w:val="Normal"/>
        <w:rPr>
          <w:rFonts w:ascii="Arial" w:hAnsi="Arial" w:cs="Arial"/>
        </w:rPr>
      </w:pPr>
      <w:r>
        <w:rPr>
          <w:rFonts w:cs="Arial" w:ascii="Arial" w:hAnsi="Arial"/>
        </w:rPr>
        <w:object w:dxaOrig="14387" w:dyaOrig="10786">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53.15pt;height:191.45pt" filled="f" o:ole="">
            <v:imagedata r:id="rId7" o:title=""/>
          </v:shape>
          <o:OLEObject Type="Embed" ProgID="" ShapeID="ole_rId6" DrawAspect="Content" ObjectID="_720774127" r:id="rId6"/>
        </w:object>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Agreements</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Operations &amp; Maintenance Agreement</w:t>
      </w:r>
    </w:p>
    <w:p>
      <w:pPr>
        <w:pStyle w:val="Normal"/>
        <w:rPr>
          <w:rFonts w:ascii="Arial" w:hAnsi="Arial" w:cs="Arial"/>
        </w:rPr>
      </w:pPr>
      <w:r>
        <w:rPr>
          <w:rFonts w:cs="Arial" w:ascii="Arial" w:hAnsi="Arial"/>
        </w:rPr>
        <w:t>LVCII will contract for O&amp;M services from LVCLP under a separate O&amp;M agreement.  The O&amp;M services will include all normal operation, repair and maintenance activities required to operate the facility in a safe and reliable manner.  LVCII will pay LVCLP a market base O&amp;M fee of $150,000 per year which escalates at CPI.</w:t>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Site Option Agreement</w:t>
      </w:r>
    </w:p>
    <w:p>
      <w:pPr>
        <w:pStyle w:val="Normal"/>
        <w:rPr>
          <w:rFonts w:ascii="Arial" w:hAnsi="Arial" w:cs="Arial"/>
        </w:rPr>
      </w:pPr>
      <w:r>
        <w:rPr>
          <w:rFonts w:cs="Arial" w:ascii="Arial" w:hAnsi="Arial"/>
        </w:rPr>
        <w:t>LVCII and LVCLP will enter into a 30-year site option agreement for a 5-acre parcel of land required for building the expansion. The cost for LVCII to exercise its option is $50,000. Under the agreement, LVCII will make lease payments to LVCLP of $150,000 escalating at CPI.</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Engineering, Procurement, and Construction Turnkey Contract</w:t>
      </w:r>
    </w:p>
    <w:p>
      <w:pPr>
        <w:pStyle w:val="Normal"/>
        <w:rPr>
          <w:rFonts w:ascii="Arial" w:hAnsi="Arial" w:cs="Arial"/>
        </w:rPr>
      </w:pPr>
      <w:r>
        <w:rPr>
          <w:rFonts w:cs="Arial" w:ascii="Arial" w:hAnsi="Arial"/>
        </w:rPr>
        <w:t>The Project will be built pursuant to an Engineering, Procurement, and Construction turnkey contract (“EPC Agreement”) with a contractor to be identified.  ENA will identify contractors, but anticipates that an EPC Agreement will not be executed until after financial close.</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Turbine Purchase Agreement</w:t>
      </w:r>
    </w:p>
    <w:p>
      <w:pPr>
        <w:pStyle w:val="Normal"/>
        <w:rPr>
          <w:rFonts w:ascii="Arial" w:hAnsi="Arial" w:cs="Arial"/>
        </w:rPr>
      </w:pPr>
      <w:r>
        <w:rPr>
          <w:rFonts w:cs="Arial" w:ascii="Arial" w:hAnsi="Arial"/>
        </w:rPr>
        <w:t>The gas turbines and transformers for the project are owned by a special purpose entity. Transfer of the equipment to the Project will occur during plant construction.  [Is this still true following a sale?]</w:t>
      </w:r>
    </w:p>
    <w:p>
      <w:pPr>
        <w:pStyle w:val="Normal"/>
        <w:rPr>
          <w:rFonts w:ascii="Arial" w:hAnsi="Arial" w:cs="Arial"/>
        </w:rPr>
      </w:pPr>
      <w:r>
        <w:rPr>
          <w:rFonts w:cs="Arial" w:ascii="Arial" w:hAnsi="Arial"/>
        </w:rPr>
      </w:r>
    </w:p>
    <w:p>
      <w:pPr>
        <w:pStyle w:val="EventArrow"/>
        <w:spacing w:before="0" w:after="0"/>
        <w:rPr/>
      </w:pPr>
      <w:r>
        <w:rPr/>
        <w:sym w:font="NewspaperPi BT;Symbol" w:char="45"/>
        <w:sym w:font="NewspaperPi BT;Symbol" w:char="73"/>
        <w:sym w:font="NewspaperPi BT;Symbol" w:char="74"/>
        <w:sym w:font="NewspaperPi BT;Symbol" w:char="69"/>
        <w:sym w:font="NewspaperPi BT;Symbol" w:char="6d"/>
        <w:sym w:font="NewspaperPi BT;Symbol" w:char="61"/>
        <w:sym w:font="NewspaperPi BT;Symbol" w:char="74"/>
        <w:sym w:font="NewspaperPi BT;Symbol" w:char="65"/>
        <w:sym w:font="NewspaperPi BT;Symbol" w:char="64"/>
        <w:sym w:font="NewspaperPi BT;Symbol" w:char="20"/>
        <w:sym w:font="NewspaperPi BT;Symbol" w:char="54"/>
        <w:sym w:font="NewspaperPi BT;Symbol" w:char="69"/>
        <w:sym w:font="NewspaperPi BT;Symbol" w:char="6d"/>
        <w:sym w:font="NewspaperPi BT;Symbol" w:char="65"/>
        <w:sym w:font="NewspaperPi BT;Symbol" w:char="74"/>
        <w:sym w:font="NewspaperPi BT;Symbol" w:char="61"/>
        <w:sym w:font="NewspaperPi BT;Symbol" w:char="62"/>
        <w:sym w:font="NewspaperPi BT;Symbol" w:char="6c"/>
        <w:sym w:font="NewspaperPi BT;Symbol" w:char="65"/>
      </w:r>
    </w:p>
    <w:tbl>
      <w:tblPr>
        <w:tblW w:w="7110" w:type="dxa"/>
        <w:jc w:val="center"/>
        <w:tblInd w:w="0" w:type="dxa"/>
        <w:tblLayout w:type="fixed"/>
        <w:tblCellMar>
          <w:top w:w="0" w:type="dxa"/>
          <w:start w:w="0" w:type="dxa"/>
          <w:bottom w:w="0" w:type="dxa"/>
          <w:end w:w="0" w:type="dxa"/>
        </w:tblCellMar>
      </w:tblPr>
      <w:tblGrid>
        <w:gridCol w:w="630"/>
        <w:gridCol w:w="2925"/>
        <w:gridCol w:w="3555"/>
      </w:tblGrid>
      <w:tr>
        <w:trPr/>
        <w:tc>
          <w:tcPr>
            <w:tcW w:w="3555" w:type="dxa"/>
            <w:gridSpan w:val="2"/>
            <w:tcBorders>
              <w:bottom w:val="single" w:sz="6" w:space="0" w:color="000000"/>
            </w:tcBorders>
            <w:vAlign w:val="bottom"/>
          </w:tcPr>
          <w:p>
            <w:pPr>
              <w:pStyle w:val="Normal"/>
              <w:spacing w:before="120" w:after="0"/>
              <w:jc w:val="center"/>
              <w:rPr>
                <w:rFonts w:ascii="Arial" w:hAnsi="Arial" w:cs="Arial"/>
                <w:b/>
                <w:caps/>
              </w:rPr>
            </w:pPr>
            <w:r>
              <w:rPr>
                <w:rFonts w:cs="Arial" w:ascii="Arial" w:hAnsi="Arial"/>
                <w:b/>
                <w:caps/>
              </w:rPr>
              <w:t>Activity</w:t>
            </w:r>
          </w:p>
        </w:tc>
        <w:tc>
          <w:tcPr>
            <w:tcW w:w="3555" w:type="dxa"/>
            <w:tcBorders>
              <w:bottom w:val="single" w:sz="6" w:space="0" w:color="000000"/>
            </w:tcBorders>
            <w:vAlign w:val="bottom"/>
          </w:tcPr>
          <w:p>
            <w:pPr>
              <w:pStyle w:val="CIMContactAddress"/>
              <w:spacing w:lineRule="auto" w:line="240" w:before="120" w:after="0"/>
              <w:jc w:val="center"/>
              <w:rPr>
                <w:rFonts w:ascii="Arial" w:hAnsi="Arial" w:cs="Arial"/>
                <w:b/>
                <w:caps/>
              </w:rPr>
            </w:pPr>
            <w:r>
              <w:rPr>
                <w:rFonts w:cs="Arial" w:ascii="Arial" w:hAnsi="Arial"/>
                <w:b/>
                <w:caps/>
              </w:rPr>
              <w:t>Timetable</w:t>
            </w:r>
          </w:p>
        </w:tc>
      </w:tr>
      <w:tr>
        <w:trPr/>
        <w:tc>
          <w:tcPr>
            <w:tcW w:w="630" w:type="dxa"/>
            <w:tcBorders/>
          </w:tcPr>
          <w:p>
            <w:pPr>
              <w:pStyle w:val="Normal"/>
              <w:snapToGrid w:val="false"/>
              <w:spacing w:before="60" w:after="60"/>
              <w:rPr>
                <w:rFonts w:ascii="Arial" w:hAnsi="Arial" w:cs="Arial"/>
                <w:b/>
                <w:caps/>
              </w:rPr>
            </w:pPr>
            <w:r>
              <w:rPr>
                <w:rFonts w:cs="Arial" w:ascii="Arial" w:hAnsi="Arial"/>
                <w:b/>
                <w:caps/>
              </w:rPr>
            </w:r>
          </w:p>
        </w:tc>
        <w:tc>
          <w:tcPr>
            <w:tcW w:w="2925" w:type="dxa"/>
            <w:tcBorders/>
          </w:tcPr>
          <w:p>
            <w:pPr>
              <w:pStyle w:val="CIMContactAddress"/>
              <w:spacing w:lineRule="auto" w:line="240" w:before="60" w:after="60"/>
              <w:rPr>
                <w:rFonts w:ascii="Arial" w:hAnsi="Arial" w:cs="Arial"/>
                <w:b/>
              </w:rPr>
            </w:pPr>
            <w:r>
              <w:rPr>
                <w:rFonts w:cs="Arial" w:ascii="Arial" w:hAnsi="Arial"/>
              </w:rPr>
              <w:t>Receipt of Permits</w:t>
            </w:r>
          </w:p>
        </w:tc>
        <w:tc>
          <w:tcPr>
            <w:tcW w:w="3555" w:type="dxa"/>
            <w:tcBorders/>
          </w:tcPr>
          <w:p>
            <w:pPr>
              <w:pStyle w:val="FCSSubLogoText"/>
              <w:keepNext w:val="false"/>
              <w:keepLines w:val="false"/>
              <w:spacing w:before="60" w:after="60"/>
              <w:rPr>
                <w:rFonts w:ascii="Arial" w:hAnsi="Arial" w:cs="Arial"/>
                <w:kern w:val="0"/>
              </w:rPr>
            </w:pPr>
            <w:r>
              <w:rPr>
                <w:rFonts w:cs="Arial" w:ascii="Arial" w:hAnsi="Arial"/>
                <w:kern w:val="0"/>
              </w:rPr>
              <w:t>November 2000</w:t>
            </w:r>
          </w:p>
        </w:tc>
      </w:tr>
      <w:tr>
        <w:trPr/>
        <w:tc>
          <w:tcPr>
            <w:tcW w:w="630" w:type="dxa"/>
            <w:tcBorders/>
          </w:tcPr>
          <w:p>
            <w:pPr>
              <w:pStyle w:val="Normal"/>
              <w:snapToGrid w:val="false"/>
              <w:spacing w:before="60" w:after="60"/>
              <w:rPr>
                <w:rFonts w:ascii="Arial" w:hAnsi="Arial" w:cs="Arial"/>
                <w:kern w:val="0"/>
              </w:rPr>
            </w:pPr>
            <w:r>
              <w:rPr>
                <w:rFonts w:cs="Arial" w:ascii="Arial" w:hAnsi="Arial"/>
                <w:kern w:val="0"/>
              </w:rPr>
            </w:r>
          </w:p>
        </w:tc>
        <w:tc>
          <w:tcPr>
            <w:tcW w:w="2925" w:type="dxa"/>
            <w:tcBorders/>
          </w:tcPr>
          <w:p>
            <w:pPr>
              <w:pStyle w:val="Normal"/>
              <w:spacing w:before="60" w:after="60"/>
              <w:rPr>
                <w:rFonts w:ascii="Arial" w:hAnsi="Arial" w:cs="Arial"/>
              </w:rPr>
            </w:pPr>
            <w:r>
              <w:rPr>
                <w:rFonts w:cs="Arial" w:ascii="Arial" w:hAnsi="Arial"/>
              </w:rPr>
              <w:t>Construction Financing</w:t>
            </w:r>
          </w:p>
        </w:tc>
        <w:tc>
          <w:tcPr>
            <w:tcW w:w="3555" w:type="dxa"/>
            <w:tcBorders/>
          </w:tcPr>
          <w:p>
            <w:pPr>
              <w:pStyle w:val="Normal"/>
              <w:spacing w:before="60" w:after="60"/>
              <w:jc w:val="center"/>
              <w:rPr>
                <w:rFonts w:ascii="Arial" w:hAnsi="Arial" w:cs="Arial"/>
              </w:rPr>
            </w:pPr>
            <w:r>
              <w:rPr>
                <w:rFonts w:cs="Arial" w:ascii="Arial" w:hAnsi="Arial"/>
              </w:rPr>
              <w:t>December 2000</w:t>
            </w:r>
          </w:p>
        </w:tc>
      </w:tr>
      <w:tr>
        <w:trPr/>
        <w:tc>
          <w:tcPr>
            <w:tcW w:w="630" w:type="dxa"/>
            <w:tcBorders/>
          </w:tcPr>
          <w:p>
            <w:pPr>
              <w:pStyle w:val="Normal"/>
              <w:snapToGrid w:val="false"/>
              <w:spacing w:before="60" w:after="60"/>
              <w:rPr>
                <w:rFonts w:ascii="Arial" w:hAnsi="Arial" w:cs="Arial"/>
              </w:rPr>
            </w:pPr>
            <w:r>
              <w:rPr>
                <w:rFonts w:cs="Arial" w:ascii="Arial" w:hAnsi="Arial"/>
              </w:rPr>
            </w:r>
          </w:p>
        </w:tc>
        <w:tc>
          <w:tcPr>
            <w:tcW w:w="2925" w:type="dxa"/>
            <w:tcBorders/>
          </w:tcPr>
          <w:p>
            <w:pPr>
              <w:pStyle w:val="Normal"/>
              <w:spacing w:before="60" w:after="60"/>
              <w:rPr>
                <w:rFonts w:ascii="Arial" w:hAnsi="Arial" w:cs="Arial"/>
              </w:rPr>
            </w:pPr>
            <w:r>
              <w:rPr>
                <w:rFonts w:cs="Arial" w:ascii="Arial" w:hAnsi="Arial"/>
              </w:rPr>
              <w:t>Start of Construction</w:t>
            </w:r>
          </w:p>
        </w:tc>
        <w:tc>
          <w:tcPr>
            <w:tcW w:w="3555" w:type="dxa"/>
            <w:tcBorders/>
          </w:tcPr>
          <w:p>
            <w:pPr>
              <w:pStyle w:val="Normal"/>
              <w:spacing w:before="60" w:after="60"/>
              <w:jc w:val="center"/>
              <w:rPr>
                <w:rFonts w:ascii="Arial" w:hAnsi="Arial" w:cs="Arial"/>
                <w:b/>
              </w:rPr>
            </w:pPr>
            <w:r>
              <w:rPr>
                <w:rFonts w:cs="Arial" w:ascii="Arial" w:hAnsi="Arial"/>
              </w:rPr>
              <w:t>December 2000</w:t>
            </w:r>
          </w:p>
        </w:tc>
      </w:tr>
      <w:tr>
        <w:trPr/>
        <w:tc>
          <w:tcPr>
            <w:tcW w:w="630" w:type="dxa"/>
            <w:tcBorders/>
          </w:tcPr>
          <w:p>
            <w:pPr>
              <w:pStyle w:val="Normal"/>
              <w:snapToGrid w:val="false"/>
              <w:spacing w:before="60" w:after="60"/>
              <w:rPr>
                <w:rFonts w:ascii="Arial" w:hAnsi="Arial" w:cs="Arial"/>
                <w:b/>
              </w:rPr>
            </w:pPr>
            <w:r>
              <w:rPr>
                <w:rFonts w:cs="Arial" w:ascii="Arial" w:hAnsi="Arial"/>
                <w:b/>
              </w:rPr>
            </w:r>
          </w:p>
        </w:tc>
        <w:tc>
          <w:tcPr>
            <w:tcW w:w="2925" w:type="dxa"/>
            <w:tcBorders/>
          </w:tcPr>
          <w:p>
            <w:pPr>
              <w:pStyle w:val="Normal"/>
              <w:spacing w:before="60" w:after="60"/>
              <w:rPr>
                <w:rFonts w:ascii="Arial" w:hAnsi="Arial" w:cs="Arial"/>
                <w:b/>
              </w:rPr>
            </w:pPr>
            <w:r>
              <w:rPr>
                <w:rFonts w:cs="Arial" w:ascii="Arial" w:hAnsi="Arial"/>
              </w:rPr>
              <w:t>Testing</w:t>
            </w:r>
          </w:p>
        </w:tc>
        <w:tc>
          <w:tcPr>
            <w:tcW w:w="3555" w:type="dxa"/>
            <w:tcBorders/>
          </w:tcPr>
          <w:p>
            <w:pPr>
              <w:pStyle w:val="Normal"/>
              <w:spacing w:before="60" w:after="60"/>
              <w:jc w:val="center"/>
              <w:rPr>
                <w:rFonts w:ascii="Arial" w:hAnsi="Arial" w:cs="Arial"/>
              </w:rPr>
            </w:pPr>
            <w:r>
              <w:rPr>
                <w:rFonts w:cs="Arial" w:ascii="Arial" w:hAnsi="Arial"/>
              </w:rPr>
              <w:t>November 2001</w:t>
            </w:r>
          </w:p>
        </w:tc>
      </w:tr>
      <w:tr>
        <w:trPr/>
        <w:tc>
          <w:tcPr>
            <w:tcW w:w="630" w:type="dxa"/>
            <w:tcBorders>
              <w:bottom w:val="single" w:sz="6" w:space="0" w:color="000000"/>
            </w:tcBorders>
          </w:tcPr>
          <w:p>
            <w:pPr>
              <w:pStyle w:val="Normal"/>
              <w:snapToGrid w:val="false"/>
              <w:spacing w:before="60" w:after="60"/>
              <w:rPr>
                <w:rFonts w:ascii="Arial" w:hAnsi="Arial" w:cs="Arial"/>
              </w:rPr>
            </w:pPr>
            <w:r>
              <w:rPr>
                <w:rFonts w:cs="Arial" w:ascii="Arial" w:hAnsi="Arial"/>
              </w:rPr>
            </w:r>
          </w:p>
        </w:tc>
        <w:tc>
          <w:tcPr>
            <w:tcW w:w="2925" w:type="dxa"/>
            <w:tcBorders>
              <w:bottom w:val="single" w:sz="6" w:space="0" w:color="000000"/>
            </w:tcBorders>
          </w:tcPr>
          <w:p>
            <w:pPr>
              <w:pStyle w:val="Normal"/>
              <w:spacing w:before="60" w:after="60"/>
              <w:rPr>
                <w:rFonts w:ascii="Arial" w:hAnsi="Arial" w:cs="Arial"/>
              </w:rPr>
            </w:pPr>
            <w:r>
              <w:rPr>
                <w:rFonts w:cs="Arial" w:ascii="Arial" w:hAnsi="Arial"/>
              </w:rPr>
              <w:t>Commercial Operation</w:t>
            </w:r>
          </w:p>
        </w:tc>
        <w:tc>
          <w:tcPr>
            <w:tcW w:w="3555" w:type="dxa"/>
            <w:tcBorders>
              <w:bottom w:val="single" w:sz="6" w:space="0" w:color="000000"/>
            </w:tcBorders>
          </w:tcPr>
          <w:p>
            <w:pPr>
              <w:pStyle w:val="Normal"/>
              <w:spacing w:before="60" w:after="60"/>
              <w:jc w:val="center"/>
              <w:rPr>
                <w:rFonts w:ascii="Arial" w:hAnsi="Arial" w:cs="Arial"/>
                <w:b/>
              </w:rPr>
            </w:pPr>
            <w:r>
              <w:rPr>
                <w:rFonts w:cs="Arial" w:ascii="Arial" w:hAnsi="Arial"/>
              </w:rPr>
              <w:t>March 2002</w:t>
            </w:r>
          </w:p>
        </w:tc>
      </w:tr>
    </w:tbl>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t>Expected Development Activities Prior to Financial Close</w:t>
      </w:r>
    </w:p>
    <w:p>
      <w:pPr>
        <w:pStyle w:val="Normal"/>
        <w:rPr>
          <w:rFonts w:ascii="Arial" w:hAnsi="Arial" w:cs="Arial"/>
        </w:rPr>
      </w:pPr>
      <w:r>
        <w:rPr>
          <w:rFonts w:cs="Arial" w:ascii="Arial" w:hAnsi="Arial"/>
        </w:rPr>
        <w:t>ED Clark input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Expected Costs Incurred prior to Financial Close</w:t>
      </w:r>
    </w:p>
    <w:p>
      <w:pPr>
        <w:pStyle w:val="Normal"/>
        <w:rPr>
          <w:rFonts w:ascii="Arial" w:hAnsi="Arial" w:cs="Arial"/>
        </w:rPr>
      </w:pPr>
      <w:r>
        <w:rPr>
          <w:rFonts w:cs="Arial" w:ascii="Arial" w:hAnsi="Arial"/>
        </w:rPr>
        <w:t>ED Clark input</w:t>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sz w:val="28"/>
        </w:rPr>
      </w:pPr>
      <w:r>
        <w:rPr>
          <w:rFonts w:cs="Arial" w:ascii="Arial" w:hAnsi="Arial"/>
          <w:sz w:val="28"/>
        </w:rPr>
        <w:t>Project Assumptions</w:t>
      </w:r>
    </w:p>
    <w:p>
      <w:pPr>
        <w:pStyle w:val="Normal"/>
        <w:rPr>
          <w:rFonts w:ascii="Arial" w:hAnsi="Arial" w:cs="Arial"/>
          <w:sz w:val="28"/>
        </w:rPr>
      </w:pPr>
      <w:r>
        <w:rPr>
          <w:rFonts w:cs="Arial" w:ascii="Arial" w:hAnsi="Arial"/>
          <w:sz w:val="28"/>
        </w:rPr>
      </w:r>
    </w:p>
    <w:p>
      <w:pPr>
        <w:pStyle w:val="EventArrow"/>
        <w:spacing w:before="0" w:after="0"/>
        <w:rPr>
          <w:rFonts w:ascii="Arial" w:hAnsi="Arial" w:cs="Arial"/>
          <w:kern w:val="0"/>
        </w:rPr>
      </w:pPr>
      <w:r>
        <w:rPr>
          <w:rFonts w:cs="Arial" w:ascii="Arial" w:hAnsi="Arial"/>
          <w:kern w:val="0"/>
        </w:rPr>
        <w:t>Plant Performance Assumptions</w:t>
      </w:r>
    </w:p>
    <w:p>
      <w:pPr>
        <w:pStyle w:val="Normal"/>
        <w:rPr/>
      </w:pPr>
      <w:r>
        <w:rPr/>
        <w:t xml:space="preserve">Estimated performance assumptions for the LVCII are provided in the table below.  Assumptions are subject to change. </w:t>
      </w:r>
    </w:p>
    <w:tbl>
      <w:tblPr>
        <w:tblW w:w="8550" w:type="dxa"/>
        <w:jc w:val="start"/>
        <w:tblInd w:w="-240" w:type="dxa"/>
        <w:tblLayout w:type="fixed"/>
        <w:tblCellMar>
          <w:top w:w="0" w:type="dxa"/>
          <w:start w:w="30" w:type="dxa"/>
          <w:bottom w:w="0" w:type="dxa"/>
          <w:end w:w="30" w:type="dxa"/>
        </w:tblCellMar>
      </w:tblPr>
      <w:tblGrid>
        <w:gridCol w:w="5760"/>
        <w:gridCol w:w="2790"/>
      </w:tblGrid>
      <w:tr>
        <w:trPr>
          <w:trHeight w:val="276" w:hRule="atLeast"/>
        </w:trPr>
        <w:tc>
          <w:tcPr>
            <w:tcW w:w="5760" w:type="dxa"/>
            <w:tcBorders>
              <w:top w:val="single" w:sz="12" w:space="0" w:color="000000"/>
              <w:start w:val="single" w:sz="12" w:space="0" w:color="000000"/>
              <w:bottom w:val="single" w:sz="6" w:space="0" w:color="000000"/>
              <w:end w:val="single" w:sz="12" w:space="0" w:color="000000"/>
            </w:tcBorders>
          </w:tcPr>
          <w:p>
            <w:pPr>
              <w:pStyle w:val="Normal"/>
              <w:spacing w:before="120" w:after="120"/>
              <w:rPr>
                <w:rFonts w:ascii="Arial" w:hAnsi="Arial" w:cs="Arial"/>
                <w:b/>
              </w:rPr>
            </w:pPr>
            <w:r>
              <w:rPr>
                <w:rFonts w:cs="Arial" w:ascii="Arial" w:hAnsi="Arial"/>
                <w:b/>
              </w:rPr>
              <w:t>Category</w:t>
            </w:r>
          </w:p>
        </w:tc>
        <w:tc>
          <w:tcPr>
            <w:tcW w:w="2790" w:type="dxa"/>
            <w:tcBorders>
              <w:top w:val="single" w:sz="12" w:space="0" w:color="000000"/>
              <w:start w:val="single" w:sz="12" w:space="0" w:color="000000"/>
              <w:bottom w:val="single" w:sz="6" w:space="0" w:color="000000"/>
              <w:end w:val="single" w:sz="12" w:space="0" w:color="000000"/>
            </w:tcBorders>
          </w:tcPr>
          <w:p>
            <w:pPr>
              <w:pStyle w:val="Normal"/>
              <w:spacing w:before="120" w:after="120"/>
              <w:rPr>
                <w:rFonts w:ascii="Arial" w:hAnsi="Arial" w:cs="Arial"/>
                <w:b/>
              </w:rPr>
            </w:pPr>
            <w:r>
              <w:rPr>
                <w:rFonts w:cs="Arial" w:ascii="Arial" w:hAnsi="Arial"/>
                <w:b/>
              </w:rPr>
              <w:t>Amount</w:t>
            </w:r>
          </w:p>
        </w:tc>
      </w:tr>
      <w:tr>
        <w:trPr>
          <w:trHeight w:val="276" w:hRule="atLeast"/>
        </w:trPr>
        <w:tc>
          <w:tcPr>
            <w:tcW w:w="5760" w:type="dxa"/>
            <w:tcBorders>
              <w:top w:val="single" w:sz="12" w:space="0" w:color="000000"/>
              <w:start w:val="single" w:sz="12" w:space="0" w:color="000000"/>
              <w:bottom w:val="single" w:sz="6" w:space="0" w:color="000000"/>
              <w:end w:val="single" w:sz="12" w:space="0" w:color="000000"/>
            </w:tcBorders>
          </w:tcPr>
          <w:p>
            <w:pPr>
              <w:pStyle w:val="Normal"/>
              <w:spacing w:before="60" w:after="60"/>
              <w:rPr/>
            </w:pPr>
            <w:r>
              <w:rPr>
                <w:rFonts w:cs="Arial" w:ascii="Arial" w:hAnsi="Arial"/>
                <w:b/>
              </w:rPr>
              <w:t>Net Power Out (kW) @ 70</w:t>
            </w:r>
            <w:r>
              <w:rPr>
                <w:rFonts w:cs="Arial" w:ascii="Arial" w:hAnsi="Arial"/>
                <w:b/>
                <w:vertAlign w:val="superscript"/>
              </w:rPr>
              <w:t>o</w:t>
            </w:r>
            <w:r>
              <w:rPr>
                <w:rFonts w:cs="Arial" w:ascii="Arial" w:hAnsi="Arial"/>
                <w:b/>
              </w:rPr>
              <w:t xml:space="preserve"> F</w:t>
            </w:r>
          </w:p>
        </w:tc>
        <w:tc>
          <w:tcPr>
            <w:tcW w:w="2790" w:type="dxa"/>
            <w:tcBorders>
              <w:top w:val="single" w:sz="12"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230,000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Annual Avg. Net Station Heat Rate (Btu/kWH), HHV</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7,548</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Fuel Supply Pressure Required at CT Skid (psig)</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630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EventArrow"/>
              <w:spacing w:before="60" w:after="60"/>
              <w:rPr>
                <w:rFonts w:ascii="Arial" w:hAnsi="Arial" w:cs="Arial"/>
                <w:kern w:val="0"/>
              </w:rPr>
            </w:pPr>
            <w:r>
              <w:rPr>
                <w:rFonts w:cs="Arial" w:ascii="Arial" w:hAnsi="Arial"/>
                <w:kern w:val="0"/>
              </w:rPr>
              <w:t>Water Supply</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eastAsia="Arial" w:cs="Arial" w:ascii="Arial" w:hAnsi="Arial"/>
              </w:rPr>
              <w:t xml:space="preserve">   </w:t>
            </w:r>
            <w:r>
              <w:rPr>
                <w:rFonts w:cs="Arial" w:ascii="Arial" w:hAnsi="Arial"/>
              </w:rPr>
              <w:t>City of North Las Vegas</w:t>
            </w:r>
          </w:p>
        </w:tc>
      </w:tr>
      <w:tr>
        <w:trPr>
          <w:trHeight w:val="276"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pPr>
            <w:r>
              <w:rPr>
                <w:rFonts w:cs="Arial" w:ascii="Arial" w:hAnsi="Arial"/>
                <w:b/>
              </w:rPr>
              <w:t>Power Plant Peak Water Consumption (GPM) @ 115</w:t>
            </w:r>
            <w:r>
              <w:rPr>
                <w:rFonts w:cs="Arial" w:ascii="Arial" w:hAnsi="Arial"/>
                <w:b/>
                <w:vertAlign w:val="superscript"/>
              </w:rPr>
              <w:t>o</w:t>
            </w:r>
            <w:r>
              <w:rPr>
                <w:rFonts w:cs="Arial" w:ascii="Arial" w:hAnsi="Arial"/>
                <w:b/>
              </w:rPr>
              <w:t xml:space="preserve"> F</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 xml:space="preserve">1,812 </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NOx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CO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Air Emissions:  Ammonia Slip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10.00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Waste Water Disposal</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eastAsia="Arial" w:cs="Arial" w:ascii="Arial" w:hAnsi="Arial"/>
              </w:rPr>
              <w:t xml:space="preserve"> </w:t>
            </w:r>
            <w:r>
              <w:rPr>
                <w:rFonts w:cs="Arial" w:ascii="Arial" w:hAnsi="Arial"/>
              </w:rPr>
              <w:t>City of North Las Vegas</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Waste Water Flow (GPD)</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474,121</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60" w:after="60"/>
              <w:rPr>
                <w:rFonts w:ascii="Arial" w:hAnsi="Arial" w:cs="Arial"/>
                <w:b/>
              </w:rPr>
            </w:pPr>
            <w:r>
              <w:rPr>
                <w:rFonts w:cs="Arial" w:ascii="Arial" w:hAnsi="Arial"/>
                <w:b/>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b/>
              </w:rPr>
            </w:pPr>
            <w:r>
              <w:rPr>
                <w:rFonts w:cs="Arial" w:ascii="Arial" w:hAnsi="Arial"/>
                <w:b/>
              </w:rPr>
              <w:t>Interconnection</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60" w:after="60"/>
              <w:rPr>
                <w:rFonts w:ascii="Arial" w:hAnsi="Arial" w:cs="Arial"/>
              </w:rPr>
            </w:pPr>
            <w:r>
              <w:rPr>
                <w:rFonts w:cs="Arial" w:ascii="Arial" w:hAnsi="Arial"/>
              </w:rPr>
              <w:t>Nevada Power</w:t>
            </w:r>
          </w:p>
        </w:tc>
      </w:tr>
      <w:tr>
        <w:trPr>
          <w:trHeight w:val="262" w:hRule="atLeast"/>
        </w:trPr>
        <w:tc>
          <w:tcPr>
            <w:tcW w:w="5760" w:type="dxa"/>
            <w:tcBorders>
              <w:top w:val="single" w:sz="6" w:space="0" w:color="000000"/>
              <w:start w:val="single" w:sz="12" w:space="0" w:color="000000"/>
              <w:bottom w:val="single" w:sz="12" w:space="0" w:color="000000"/>
              <w:end w:val="single" w:sz="12" w:space="0" w:color="000000"/>
            </w:tcBorders>
          </w:tcPr>
          <w:p>
            <w:pPr>
              <w:pStyle w:val="Normal"/>
              <w:spacing w:before="60" w:after="60"/>
              <w:rPr>
                <w:rFonts w:ascii="Arial" w:hAnsi="Arial" w:cs="Arial"/>
                <w:b/>
              </w:rPr>
            </w:pPr>
            <w:r>
              <w:rPr>
                <w:rFonts w:cs="Arial" w:ascii="Arial" w:hAnsi="Arial"/>
                <w:b/>
              </w:rPr>
              <w:t>Interconnection voltage (kV)</w:t>
            </w:r>
          </w:p>
        </w:tc>
        <w:tc>
          <w:tcPr>
            <w:tcW w:w="2790" w:type="dxa"/>
            <w:tcBorders>
              <w:top w:val="single" w:sz="6" w:space="0" w:color="000000"/>
              <w:start w:val="single" w:sz="12" w:space="0" w:color="000000"/>
              <w:bottom w:val="single" w:sz="12" w:space="0" w:color="000000"/>
              <w:end w:val="single" w:sz="12" w:space="0" w:color="000000"/>
            </w:tcBorders>
          </w:tcPr>
          <w:p>
            <w:pPr>
              <w:pStyle w:val="Normal"/>
              <w:spacing w:before="60" w:after="60"/>
              <w:rPr>
                <w:rFonts w:ascii="Arial" w:hAnsi="Arial" w:cs="Arial"/>
              </w:rPr>
            </w:pPr>
            <w:r>
              <w:rPr>
                <w:rFonts w:cs="Arial" w:ascii="Arial" w:hAnsi="Arial"/>
              </w:rPr>
              <w:t>138</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Capital Cost Assumptions</w:t>
      </w:r>
    </w:p>
    <w:p>
      <w:pPr>
        <w:pStyle w:val="Normal"/>
        <w:rPr>
          <w:rFonts w:ascii="Arial" w:hAnsi="Arial" w:cs="Arial"/>
        </w:rPr>
      </w:pPr>
      <w:r>
        <w:rPr>
          <w:rFonts w:cs="Arial" w:ascii="Arial" w:hAnsi="Arial"/>
        </w:rPr>
        <w:t xml:space="preserve">Estimated capital costs for the Project are provided in the table below.  The amounts listed are subject to change prior to finalization of design, EPC agreement, interconnect agreements, etc.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Category</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Amount</w:t>
            </w:r>
          </w:p>
        </w:tc>
      </w:tr>
      <w:tr>
        <w:trPr/>
        <w:tc>
          <w:tcPr>
            <w:tcW w:w="2178" w:type="dxa"/>
            <w:tcBorders/>
          </w:tcPr>
          <w:p>
            <w:pPr>
              <w:pStyle w:val="Normal"/>
              <w:spacing w:before="60" w:after="60"/>
              <w:rPr>
                <w:rFonts w:ascii="Arial" w:hAnsi="Arial" w:cs="Arial"/>
              </w:rPr>
            </w:pPr>
            <w:r>
              <w:rPr>
                <w:rFonts w:cs="Arial" w:ascii="Arial" w:hAnsi="Arial"/>
              </w:rPr>
              <w:t>EPC Cost</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$140,600,000</w:t>
            </w:r>
          </w:p>
        </w:tc>
      </w:tr>
      <w:tr>
        <w:trPr/>
        <w:tc>
          <w:tcPr>
            <w:tcW w:w="2178" w:type="dxa"/>
            <w:tcBorders/>
          </w:tcPr>
          <w:p>
            <w:pPr>
              <w:pStyle w:val="Normal"/>
              <w:spacing w:before="60" w:after="60"/>
              <w:rPr>
                <w:rFonts w:ascii="Arial" w:hAnsi="Arial" w:cs="Arial"/>
              </w:rPr>
            </w:pPr>
            <w:r>
              <w:rPr>
                <w:rFonts w:cs="Arial" w:ascii="Arial" w:hAnsi="Arial"/>
              </w:rPr>
              <w:t>IDC</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$13,000,000</w:t>
            </w:r>
          </w:p>
        </w:tc>
      </w:tr>
      <w:tr>
        <w:trPr/>
        <w:tc>
          <w:tcPr>
            <w:tcW w:w="2178" w:type="dxa"/>
            <w:tcBorders/>
          </w:tcPr>
          <w:p>
            <w:pPr>
              <w:pStyle w:val="Normal"/>
              <w:spacing w:before="60" w:after="60"/>
              <w:rPr>
                <w:rFonts w:ascii="Arial" w:hAnsi="Arial" w:cs="Arial"/>
              </w:rPr>
            </w:pPr>
            <w:r>
              <w:rPr>
                <w:rFonts w:cs="Arial" w:ascii="Arial" w:hAnsi="Arial"/>
              </w:rPr>
              <w:t>Interconnect</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$1,200,000</w:t>
            </w:r>
          </w:p>
        </w:tc>
      </w:tr>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Spare Parts</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$2,000,000</w:t>
            </w:r>
          </w:p>
        </w:tc>
      </w:tr>
      <w:tr>
        <w:trPr/>
        <w:tc>
          <w:tcPr>
            <w:tcW w:w="2178" w:type="dxa"/>
            <w:tcBorders>
              <w:bottom w:val="single" w:sz="12" w:space="0" w:color="000000"/>
            </w:tcBorders>
          </w:tcPr>
          <w:p>
            <w:pPr>
              <w:pStyle w:val="Normal"/>
              <w:spacing w:before="60" w:after="60"/>
              <w:rPr>
                <w:rFonts w:ascii="Arial" w:hAnsi="Arial" w:cs="Arial"/>
              </w:rPr>
            </w:pPr>
            <w:r>
              <w:rPr>
                <w:rFonts w:cs="Arial" w:ascii="Arial" w:hAnsi="Arial"/>
              </w:rPr>
              <w:t>Total</w:t>
            </w:r>
          </w:p>
        </w:tc>
        <w:tc>
          <w:tcPr>
            <w:tcW w:w="630" w:type="dxa"/>
            <w:tcBorders>
              <w:bottom w:val="single" w:sz="12" w:space="0" w:color="000000"/>
            </w:tcBorders>
          </w:tcPr>
          <w:p>
            <w:pPr>
              <w:pStyle w:val="Normal"/>
              <w:snapToGrid w:val="false"/>
              <w:spacing w:before="60" w:after="60"/>
              <w:rPr>
                <w:rFonts w:ascii="Arial" w:hAnsi="Arial" w:cs="Arial"/>
              </w:rPr>
            </w:pPr>
            <w:r>
              <w:rPr>
                <w:rFonts w:cs="Arial" w:ascii="Arial" w:hAnsi="Arial"/>
              </w:rPr>
            </w:r>
          </w:p>
        </w:tc>
        <w:tc>
          <w:tcPr>
            <w:tcW w:w="5689" w:type="dxa"/>
            <w:tcBorders>
              <w:bottom w:val="single" w:sz="12" w:space="0" w:color="000000"/>
            </w:tcBorders>
          </w:tcPr>
          <w:p>
            <w:pPr>
              <w:pStyle w:val="Normal"/>
              <w:spacing w:before="60" w:after="60"/>
              <w:rPr>
                <w:rFonts w:ascii="Arial" w:hAnsi="Arial" w:cs="Arial"/>
              </w:rPr>
            </w:pPr>
            <w:r>
              <w:rPr>
                <w:rFonts w:cs="Arial" w:ascii="Arial" w:hAnsi="Arial"/>
              </w:rPr>
              <w:t>$156,800,000</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Operating Cost Assumptions</w:t>
      </w:r>
    </w:p>
    <w:p>
      <w:pPr>
        <w:pStyle w:val="Normal"/>
        <w:rPr>
          <w:rFonts w:ascii="Arial" w:hAnsi="Arial" w:cs="Arial"/>
        </w:rPr>
      </w:pPr>
      <w:r>
        <w:rPr>
          <w:rFonts w:cs="Arial" w:ascii="Arial" w:hAnsi="Arial"/>
        </w:rPr>
        <w:t xml:space="preserve">Estimated annual operating costs for the Project are provided in the table below.  Estimates are subject to change.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Normal"/>
              <w:spacing w:before="120" w:after="60"/>
              <w:rPr>
                <w:rFonts w:ascii="Arial" w:hAnsi="Arial" w:cs="Arial"/>
              </w:rPr>
            </w:pPr>
            <w:r>
              <w:rPr>
                <w:rFonts w:cs="Arial" w:ascii="Arial" w:hAnsi="Arial"/>
              </w:rPr>
              <w:t>Category</w:t>
            </w:r>
          </w:p>
        </w:tc>
        <w:tc>
          <w:tcPr>
            <w:tcW w:w="630" w:type="dxa"/>
            <w:tcBorders>
              <w:bottom w:val="single" w:sz="12" w:space="0" w:color="000000"/>
            </w:tcBorders>
          </w:tcPr>
          <w:p>
            <w:pPr>
              <w:pStyle w:val="Normal"/>
              <w:snapToGrid w:val="false"/>
              <w:spacing w:before="120" w:after="60"/>
              <w:rPr>
                <w:rFonts w:ascii="Arial" w:hAnsi="Arial" w:cs="Arial"/>
              </w:rPr>
            </w:pPr>
            <w:r>
              <w:rPr>
                <w:rFonts w:cs="Arial" w:ascii="Arial" w:hAnsi="Arial"/>
              </w:rPr>
            </w:r>
          </w:p>
        </w:tc>
        <w:tc>
          <w:tcPr>
            <w:tcW w:w="5689" w:type="dxa"/>
            <w:tcBorders>
              <w:bottom w:val="single" w:sz="12" w:space="0" w:color="000000"/>
            </w:tcBorders>
          </w:tcPr>
          <w:p>
            <w:pPr>
              <w:pStyle w:val="Normal"/>
              <w:spacing w:before="120" w:after="60"/>
              <w:rPr>
                <w:rFonts w:ascii="Arial" w:hAnsi="Arial" w:cs="Arial"/>
              </w:rPr>
            </w:pPr>
            <w:r>
              <w:rPr>
                <w:rFonts w:cs="Arial" w:ascii="Arial" w:hAnsi="Arial"/>
              </w:rPr>
              <w:t>Amount (Base Year of 2002)</w:t>
            </w:r>
          </w:p>
        </w:tc>
      </w:tr>
      <w:tr>
        <w:trPr/>
        <w:tc>
          <w:tcPr>
            <w:tcW w:w="2178" w:type="dxa"/>
            <w:tcBorders/>
          </w:tcPr>
          <w:p>
            <w:pPr>
              <w:pStyle w:val="Normal"/>
              <w:spacing w:before="60" w:after="60"/>
              <w:rPr>
                <w:rFonts w:ascii="Arial" w:hAnsi="Arial" w:cs="Arial"/>
              </w:rPr>
            </w:pPr>
            <w:r>
              <w:rPr>
                <w:rFonts w:cs="Arial" w:ascii="Arial" w:hAnsi="Arial"/>
              </w:rPr>
              <w:t>Variable O&amp;M</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$1.21/MWh</w:t>
            </w:r>
          </w:p>
        </w:tc>
      </w:tr>
      <w:tr>
        <w:trPr/>
        <w:tc>
          <w:tcPr>
            <w:tcW w:w="2178" w:type="dxa"/>
            <w:tcBorders/>
          </w:tcPr>
          <w:p>
            <w:pPr>
              <w:pStyle w:val="Normal"/>
              <w:spacing w:before="60" w:after="60"/>
              <w:rPr>
                <w:rFonts w:ascii="Arial" w:hAnsi="Arial" w:cs="Arial"/>
              </w:rPr>
            </w:pPr>
            <w:r>
              <w:rPr>
                <w:rFonts w:cs="Arial" w:ascii="Arial" w:hAnsi="Arial"/>
              </w:rPr>
              <w:t>Fixed O&amp;M</w:t>
            </w:r>
          </w:p>
        </w:tc>
        <w:tc>
          <w:tcPr>
            <w:tcW w:w="630" w:type="dxa"/>
            <w:tcBorders/>
          </w:tcPr>
          <w:p>
            <w:pPr>
              <w:pStyle w:val="Normal"/>
              <w:snapToGrid w:val="false"/>
              <w:spacing w:before="60" w:after="60"/>
              <w:rPr>
                <w:rFonts w:ascii="Arial" w:hAnsi="Arial" w:cs="Arial"/>
              </w:rPr>
            </w:pPr>
            <w:r>
              <w:rPr>
                <w:rFonts w:cs="Arial" w:ascii="Arial" w:hAnsi="Arial"/>
              </w:rPr>
            </w:r>
          </w:p>
        </w:tc>
        <w:tc>
          <w:tcPr>
            <w:tcW w:w="5689" w:type="dxa"/>
            <w:tcBorders/>
          </w:tcPr>
          <w:p>
            <w:pPr>
              <w:pStyle w:val="Normal"/>
              <w:spacing w:before="60" w:after="60"/>
              <w:rPr>
                <w:rFonts w:ascii="Arial" w:hAnsi="Arial" w:cs="Arial"/>
              </w:rPr>
            </w:pPr>
            <w:r>
              <w:rPr>
                <w:rFonts w:cs="Arial" w:ascii="Arial" w:hAnsi="Arial"/>
              </w:rPr>
              <w:t>$3,800,000</w:t>
            </w:r>
          </w:p>
        </w:tc>
      </w:tr>
    </w:tbl>
    <w:p>
      <w:pPr>
        <w:pStyle w:val="CIMContactAddress"/>
        <w:spacing w:lineRule="auto" w:line="240" w:before="0" w:after="0"/>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Fonts w:cs="Arial" w:ascii="Arial" w:hAnsi="Arial"/>
          <w:b/>
        </w:rPr>
        <w:t>Strategic Location</w:t>
      </w:r>
      <w:r>
        <w:rPr>
          <w:rFonts w:cs="Arial" w:ascii="Arial" w:hAnsi="Arial"/>
        </w:rPr>
        <w:t>. LVCLP and LVCII are located in North Las Vegas, NV, which is five miles from Las Vegas, the fastest growing city in the United States. Pursuant to federal stipulation, Nevada Power will begin to provide unbundled distribution services as the provider of last resort under a phased-in schedule beginning in November 2000 and finishing in December 2001, creating a range of opportunities to sell excess power and ancillary services. Although this is the stated plan, there can be no guarantees that its implementation will occur or the schedule will be met.  Given their proximity to the PX, Meade and Nevada power markets, the project will provide the optionality to sell merchant power into all three markets.  In addition, proposals currently exist for the development of a new regional ISO that will facilitate the economic transportation of electricity across the southwestern US.  The Desert Star proposal is aimed at creating a regional ISO for Nevada, Arizona and New Mexico.</w:t>
      </w:r>
    </w:p>
    <w:p>
      <w:pPr>
        <w:pStyle w:val="Normal"/>
        <w:rPr>
          <w:rFonts w:ascii="Arial" w:hAnsi="Arial" w:cs="Arial"/>
          <w:lang w:val="en-CA"/>
        </w:rPr>
      </w:pPr>
      <w:r>
        <w:rPr>
          <w:rFonts w:cs="Arial" w:ascii="Arial" w:hAnsi="Arial"/>
          <w:lang w:val="en-CA"/>
        </w:rPr>
      </w:r>
      <w:r>
        <mc:AlternateContent>
          <mc:Choice Requires="wps">
            <w:drawing>
              <wp:anchor behindDoc="0" distT="0" distB="0" distL="114935" distR="114935" simplePos="0" locked="0" layoutInCell="0" allowOverlap="1" relativeHeight="6">
                <wp:simplePos x="0" y="0"/>
                <wp:positionH relativeFrom="column">
                  <wp:posOffset>864235</wp:posOffset>
                </wp:positionH>
                <wp:positionV relativeFrom="paragraph">
                  <wp:posOffset>227965</wp:posOffset>
                </wp:positionV>
                <wp:extent cx="3483610" cy="3757930"/>
                <wp:effectExtent l="0" t="0" r="0" b="0"/>
                <wp:wrapSquare wrapText="bothSides"/>
                <wp:docPr id="5" name="Frame1"/>
                <a:graphic xmlns:a="http://schemas.openxmlformats.org/drawingml/2006/main">
                  <a:graphicData uri="http://schemas.microsoft.com/office/word/2010/wordprocessingShape">
                    <wps:wsp>
                      <wps:cNvSpPr txBox="1"/>
                      <wps:spPr>
                        <a:xfrm>
                          <a:off x="0" y="0"/>
                          <a:ext cx="3483610" cy="3757930"/>
                        </a:xfrm>
                        <a:prstGeom prst="rect"/>
                        <a:solidFill>
                          <a:srgbClr val="FFFFFF"/>
                        </a:solidFill>
                        <a:ln w="9525">
                          <a:solidFill>
                            <a:srgbClr val="000000"/>
                          </a:solidFill>
                        </a:ln>
                      </wps:spPr>
                      <wps:txbx>
                        <w:txbxContent>
                          <w:p>
                            <w:pPr>
                              <w:pStyle w:val="Normal"/>
                              <w:rPr/>
                            </w:pPr>
                            <w:r>
                              <w:rPr/>
                              <w:drawing>
                                <wp:inline distT="0" distB="0" distL="0" distR="0">
                                  <wp:extent cx="3282315" cy="3149600"/>
                                  <wp:effectExtent l="0" t="0" r="0" b="0"/>
                                  <wp:docPr id="6"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title=""/>
                                          <pic:cNvPicPr>
                                            <a:picLocks noChangeAspect="1" noChangeArrowheads="1"/>
                                          </pic:cNvPicPr>
                                        </pic:nvPicPr>
                                        <pic:blipFill>
                                          <a:blip r:embed="rId8"/>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74.3pt;height:295.9pt;mso-wrap-distance-left:9.05pt;mso-wrap-distance-right:9.05pt;mso-wrap-distance-top:0pt;mso-wrap-distance-bottom:0pt;margin-top:17.95pt;mso-position-vertical-relative:text;margin-left:68.05pt;mso-position-horizontal-relative:text">
                <v:textbox>
                  <w:txbxContent>
                    <w:p>
                      <w:pPr>
                        <w:pStyle w:val="Normal"/>
                        <w:rPr/>
                      </w:pPr>
                      <w:r>
                        <w:rPr/>
                        <w:drawing>
                          <wp:inline distT="0" distB="0" distL="0" distR="0">
                            <wp:extent cx="3282315" cy="3149600"/>
                            <wp:effectExtent l="0" t="0" r="0" b="0"/>
                            <wp:docPr id="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title=""/>
                                    <pic:cNvPicPr>
                                      <a:picLocks noChangeAspect="1" noChangeArrowheads="1"/>
                                    </pic:cNvPicPr>
                                  </pic:nvPicPr>
                                  <pic:blipFill>
                                    <a:blip r:embed="rId9"/>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rPr/>
                      </w:pPr>
                      <w:r>
                        <w:rPr/>
                      </w:r>
                    </w:p>
                  </w:txbxContent>
                </v:textbox>
                <w10:wrap type="square"/>
              </v:rect>
            </w:pict>
          </mc:Fallback>
        </mc:AlternateContent>
      </w:r>
    </w:p>
    <w:sectPr>
      <w:footerReference w:type="default" r:id="rId10"/>
      <w:footerReference w:type="first" r:id="rId11"/>
      <w:type w:val="nextPage"/>
      <w:pgSz w:w="12240" w:h="15840"/>
      <w:pgMar w:left="1800" w:right="1440" w:gutter="0" w:header="0" w:top="1728" w:footer="720" w:bottom="180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NewspaperPi BT">
    <w:altName w:val="Symbol"/>
    <w:charset w:val="02"/>
    <w:family w:val="roman"/>
    <w:pitch w:val="variable"/>
  </w:font>
  <w:font w:name="Wingdings 3">
    <w:altName w:val="Symbol"/>
    <w:charset w:val="02"/>
    <w:family w:val="roman"/>
    <w:pitch w:val="variable"/>
  </w:font>
  <w:font w:name="Monotype Sorts">
    <w:charset w:val="02"/>
    <w:family w:val="auto"/>
    <w:pitch w:val="variable"/>
  </w:font>
  <w:font w:name="Liberation Sans">
    <w:altName w:val="Arial"/>
    <w:charset w:val="01" w:characterSet="utf-8"/>
    <w:family w:val="swiss"/>
    <w:pitch w:val="variable"/>
  </w:font>
  <w:font w:name="Palatino">
    <w:charset w:val="00" w:characterSet="windows-1252"/>
    <w:family w:val="roman"/>
    <w:pitch w:val="variable"/>
  </w:font>
  <w:font w:name="Stymie XBd BT">
    <w:altName w:val="Bookman Old Style"/>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23</w:t>
    </w:r>
    <w:r>
      <w:rPr>
        <w:rStyle w:val="PageNumbe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w:t>
    </w:r>
    <w:r>
      <w:rPr>
        <w:rStyle w:val="PageNumber"/>
        <w:rFonts w:cs="Arial"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decimal"/>
      <w:lvlText w:val="%1"/>
      <w:lvlJc w:val="start"/>
      <w:pPr>
        <w:tabs>
          <w:tab w:val="num" w:pos="720"/>
        </w:tabs>
        <w:ind w:start="720" w:hanging="720"/>
      </w:pPr>
    </w:lvl>
  </w:abstractNum>
  <w:abstractNum w:abstractNumId="5">
    <w:lvl w:ilvl="0">
      <w:start w:val="1"/>
      <w:numFmt w:val="bullet"/>
      <w:lvlText w:val=""/>
      <w:lvlJc w:val="start"/>
      <w:pPr>
        <w:tabs>
          <w:tab w:val="num" w:pos="360"/>
        </w:tabs>
        <w:ind w:start="360" w:hanging="360"/>
      </w:pPr>
      <w:rPr>
        <w:rFonts w:ascii="Symbol" w:hAnsi="Symbol" w:cs="Symbol" w:hint="default"/>
      </w:rPr>
    </w:lvl>
  </w:abstractNum>
  <w:abstractNum w:abstractNumId="6">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7">
    <w:lvl w:ilvl="0">
      <w:start w:val="1"/>
      <w:numFmt w:val="bullet"/>
      <w:lvlText w:val=""/>
      <w:lvlJc w:val="start"/>
      <w:pPr>
        <w:tabs>
          <w:tab w:val="num" w:pos="2160"/>
        </w:tabs>
        <w:ind w:start="2160" w:hanging="360"/>
      </w:pPr>
      <w:rPr>
        <w:rFonts w:ascii="Symbol" w:hAnsi="Symbol" w:cs="Symbol" w:hint="default"/>
      </w:rPr>
    </w:lvl>
  </w:abstractNum>
  <w:abstractNum w:abstractNumId="8">
    <w:lvl w:ilvl="0">
      <w:start w:val="1"/>
      <w:numFmt w:val="bullet"/>
      <w:lvlText w:val=""/>
      <w:lvlJc w:val="start"/>
      <w:pPr>
        <w:tabs>
          <w:tab w:val="num" w:pos="360"/>
        </w:tabs>
        <w:ind w:start="360" w:hanging="360"/>
      </w:pPr>
      <w:rPr>
        <w:rFonts w:ascii="Symbol" w:hAnsi="Symbol" w:cs="Symbol" w:hint="default"/>
      </w:rPr>
    </w:lvl>
  </w:abstractNum>
  <w:abstractNum w:abstractNumId="9">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rFonts w:ascii="Arial" w:hAnsi="Arial" w:cs="Arial"/>
      <w:b/>
      <w:i/>
      <w:sz w:val="32"/>
    </w:rPr>
  </w:style>
  <w:style w:type="paragraph" w:styleId="Heading4">
    <w:name w:val="heading 4"/>
    <w:basedOn w:val="Heading-Level4"/>
    <w:next w:val="BodyText"/>
    <w:qFormat/>
    <w:pPr>
      <w:numPr>
        <w:ilvl w:val="3"/>
        <w:numId w:val="1"/>
      </w:numPr>
      <w:outlineLvl w:val="3"/>
    </w:pPr>
    <w:rPr/>
  </w:style>
  <w:style w:type="character" w:styleId="WW8Num1z0">
    <w:name w:val="WW8Num1z0"/>
    <w:qFormat/>
    <w:rPr>
      <w:rFonts w:ascii="Symbol" w:hAnsi="Symbol" w:cs="Symbol"/>
    </w:rPr>
  </w:style>
  <w:style w:type="character" w:styleId="WW8Num4z0">
    <w:name w:val="WW8Num4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style>
  <w:style w:type="character" w:styleId="WW8Num9z0">
    <w:name w:val="WW8Num9z0"/>
    <w:qFormat/>
    <w:rPr>
      <w:rFonts w:ascii="Symbol" w:hAnsi="Symbol" w:cs="Symbol"/>
    </w:rPr>
  </w:style>
  <w:style w:type="character" w:styleId="WW8Num10z0">
    <w:name w:val="WW8Num10z0"/>
    <w:qFormat/>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b w:val="false"/>
      <w:i w:val="false"/>
      <w:sz w:val="20"/>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style>
  <w:style w:type="character" w:styleId="WW8Num19z0">
    <w:name w:val="WW8Num19z0"/>
    <w:qFormat/>
    <w:rPr>
      <w:rFonts w:ascii="Times New Roman" w:hAnsi="Times New Roman" w:cs="Times New Roman"/>
      <w:b w:val="false"/>
      <w:i w:val="false"/>
      <w:color w:val="auto"/>
      <w:sz w:val="24"/>
      <w:vertAlign w:val="subscript"/>
    </w:rPr>
  </w:style>
  <w:style w:type="character" w:styleId="WW8Num20z0">
    <w:name w:val="WW8Num20z0"/>
    <w:qFormat/>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8z0">
    <w:name w:val="WW8Num28z0"/>
    <w:qFormat/>
    <w:rPr/>
  </w:style>
  <w:style w:type="character" w:styleId="WW8Num29z0">
    <w:name w:val="WW8Num29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Wingdings" w:hAnsi="Wingdings" w:cs="Wingdings"/>
      <w:b w:val="false"/>
      <w:i w:val="false"/>
      <w:color w:val="auto"/>
      <w:sz w:val="10"/>
      <w:u w:val="none"/>
      <w:vertAlign w:val="superscript"/>
    </w:rPr>
  </w:style>
  <w:style w:type="character" w:styleId="WW8Num39z0">
    <w:name w:val="WW8Num39z0"/>
    <w:qFormat/>
    <w:rPr>
      <w:rFonts w:ascii="Symbol" w:hAnsi="Symbol" w:cs="Symbol"/>
    </w:rPr>
  </w:style>
  <w:style w:type="character" w:styleId="WW8Num40z0">
    <w:name w:val="WW8Num40z0"/>
    <w:qFormat/>
    <w:rPr>
      <w:rFonts w:ascii="Symbol" w:hAnsi="Symbol" w:cs="Symbol"/>
    </w:rPr>
  </w:style>
  <w:style w:type="character" w:styleId="WW8Num41z0">
    <w:name w:val="WW8Num41z0"/>
    <w:qFormat/>
    <w:rPr/>
  </w:style>
  <w:style w:type="character" w:styleId="WW8Num42z0">
    <w:name w:val="WW8Num42z0"/>
    <w:qFormat/>
    <w:rPr>
      <w:rFonts w:ascii="Symbol" w:hAnsi="Symbol" w:cs="Symbol"/>
    </w:rPr>
  </w:style>
  <w:style w:type="character" w:styleId="WW8Num44z0">
    <w:name w:val="WW8Num44z0"/>
    <w:qFormat/>
    <w:rPr>
      <w:rFonts w:ascii="Symbol" w:hAnsi="Symbol" w:cs="Symbol"/>
      <w:b w:val="false"/>
      <w:i w:val="false"/>
      <w:sz w:val="20"/>
    </w:rPr>
  </w:style>
  <w:style w:type="character" w:styleId="WW8Num45z0">
    <w:name w:val="WW8Num45z0"/>
    <w:qFormat/>
    <w:rPr>
      <w:rFonts w:ascii="Symbol" w:hAnsi="Symbol" w:cs="Symbol"/>
    </w:rPr>
  </w:style>
  <w:style w:type="character" w:styleId="WW8Num46z0">
    <w:name w:val="WW8Num46z0"/>
    <w:qFormat/>
    <w:rPr>
      <w:rFonts w:ascii="NewspaperPi BT;Symbol" w:hAnsi="NewspaperPi BT;Symbol" w:cs="NewspaperPi BT;Symbol"/>
      <w:b w:val="false"/>
      <w:i w:val="false"/>
      <w:kern w:val="0"/>
      <w:position w:val="0"/>
      <w:sz w:val="20"/>
      <w:sz w:val="20"/>
      <w:vertAlign w:val="baseline"/>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0z0">
    <w:name w:val="WW8Num50z0"/>
    <w:qFormat/>
    <w:rPr>
      <w:rFonts w:ascii="Symbol" w:hAnsi="Symbol" w:cs="Symbol"/>
    </w:rPr>
  </w:style>
  <w:style w:type="character" w:styleId="WW8Num51z0">
    <w:name w:val="WW8Num51z0"/>
    <w:qFormat/>
    <w:rPr>
      <w:rFonts w:ascii="Symbol" w:hAnsi="Symbol" w:cs="Symbol"/>
    </w:rPr>
  </w:style>
  <w:style w:type="character" w:styleId="WW8Num53z0">
    <w:name w:val="WW8Num53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6z0">
    <w:name w:val="WW8Num56z0"/>
    <w:qFormat/>
    <w:rPr>
      <w:rFonts w:ascii="Symbol" w:hAnsi="Symbol" w:cs="Symbol"/>
    </w:rPr>
  </w:style>
  <w:style w:type="character" w:styleId="WW8Num57z0">
    <w:name w:val="WW8Num57z0"/>
    <w:qFormat/>
    <w:rPr>
      <w:rFonts w:ascii="Symbol" w:hAnsi="Symbol" w:cs="Symbol"/>
    </w:rPr>
  </w:style>
  <w:style w:type="character" w:styleId="WW8Num59z0">
    <w:name w:val="WW8Num59z0"/>
    <w:qFormat/>
    <w:rPr>
      <w:rFonts w:ascii="Symbol" w:hAnsi="Symbol" w:cs="Symbol"/>
    </w:rPr>
  </w:style>
  <w:style w:type="character" w:styleId="WW8Num60z0">
    <w:name w:val="WW8Num60z0"/>
    <w:qFormat/>
    <w:rPr>
      <w:rFonts w:ascii="Times New Roman" w:hAnsi="Times New Roman" w:cs="Times New Roman"/>
      <w:b w:val="false"/>
      <w:i w:val="false"/>
      <w:color w:val="auto"/>
      <w:sz w:val="24"/>
    </w:rPr>
  </w:style>
  <w:style w:type="character" w:styleId="WW8Num61z0">
    <w:name w:val="WW8Num61z0"/>
    <w:qFormat/>
    <w:rPr>
      <w:rFonts w:ascii="NewspaperPi BT;Symbol" w:hAnsi="NewspaperPi BT;Symbol" w:cs="NewspaperPi BT;Symbol"/>
      <w:b w:val="false"/>
      <w:i w:val="false"/>
      <w:sz w:val="18"/>
    </w:rPr>
  </w:style>
  <w:style w:type="character" w:styleId="WW8Num64z0">
    <w:name w:val="WW8Num64z0"/>
    <w:qFormat/>
    <w:rPr>
      <w:rFonts w:ascii="Symbol" w:hAnsi="Symbol" w:cs="Symbol"/>
    </w:rPr>
  </w:style>
  <w:style w:type="character" w:styleId="WW8Num65z0">
    <w:name w:val="WW8Num65z0"/>
    <w:qFormat/>
    <w:rPr>
      <w:rFonts w:ascii="Symbol" w:hAnsi="Symbol" w:cs="Symbol"/>
    </w:rPr>
  </w:style>
  <w:style w:type="character" w:styleId="WW8Num66z0">
    <w:name w:val="WW8Num66z0"/>
    <w:qFormat/>
    <w:rPr>
      <w:rFonts w:ascii="Symbol" w:hAnsi="Symbol" w:cs="Symbol"/>
    </w:rPr>
  </w:style>
  <w:style w:type="character" w:styleId="WW8Num67z0">
    <w:name w:val="WW8Num67z0"/>
    <w:qFormat/>
    <w:rPr/>
  </w:style>
  <w:style w:type="character" w:styleId="WW8Num70z0">
    <w:name w:val="WW8Num70z0"/>
    <w:qFormat/>
    <w:rPr>
      <w:rFonts w:ascii="Symbol" w:hAnsi="Symbol" w:cs="Symbol"/>
    </w:rPr>
  </w:style>
  <w:style w:type="character" w:styleId="WW8Num71z0">
    <w:name w:val="WW8Num71z0"/>
    <w:qFormat/>
    <w:rPr>
      <w:rFonts w:ascii="Symbol" w:hAnsi="Symbol" w:cs="Symbol"/>
    </w:rPr>
  </w:style>
  <w:style w:type="character" w:styleId="WW8Num73z0">
    <w:name w:val="WW8Num73z0"/>
    <w:qFormat/>
    <w:rPr>
      <w:rFonts w:ascii="Symbol" w:hAnsi="Symbol" w:cs="Symbol"/>
    </w:rPr>
  </w:style>
  <w:style w:type="character" w:styleId="WW8Num74z0">
    <w:name w:val="WW8Num74z0"/>
    <w:qFormat/>
    <w:rPr>
      <w:rFonts w:ascii="Symbol" w:hAnsi="Symbol" w:cs="Symbol"/>
      <w:color w:val="auto"/>
    </w:rPr>
  </w:style>
  <w:style w:type="character" w:styleId="WW8Num77z0">
    <w:name w:val="WW8Num77z0"/>
    <w:qFormat/>
    <w:rPr/>
  </w:style>
  <w:style w:type="character" w:styleId="WW8Num80z0">
    <w:name w:val="WW8Num80z0"/>
    <w:qFormat/>
    <w:rPr/>
  </w:style>
  <w:style w:type="character" w:styleId="WW8Num81z0">
    <w:name w:val="WW8Num81z0"/>
    <w:qFormat/>
    <w:rPr/>
  </w:style>
  <w:style w:type="character" w:styleId="WW8Num82z0">
    <w:name w:val="WW8Num82z0"/>
    <w:qFormat/>
    <w:rPr>
      <w:rFonts w:ascii="Symbol" w:hAnsi="Symbol" w:cs="Symbol"/>
    </w:rPr>
  </w:style>
  <w:style w:type="character" w:styleId="WW8Num83z0">
    <w:name w:val="WW8Num83z0"/>
    <w:qFormat/>
    <w:rPr>
      <w:rFonts w:ascii="Wingdings 3;Symbol" w:hAnsi="Wingdings 3;Symbol" w:cs="Wingdings 3;Symbol"/>
      <w:b w:val="false"/>
      <w:i w:val="false"/>
      <w:sz w:val="24"/>
    </w:rPr>
  </w:style>
  <w:style w:type="character" w:styleId="WW8Num84z0">
    <w:name w:val="WW8Num84z0"/>
    <w:qFormat/>
    <w:rPr>
      <w:rFonts w:ascii="Symbol" w:hAnsi="Symbol" w:cs="Symbol"/>
    </w:rPr>
  </w:style>
  <w:style w:type="character" w:styleId="WW8Num85z0">
    <w:name w:val="WW8Num85z0"/>
    <w:qFormat/>
    <w:rPr>
      <w:rFonts w:ascii="Wingdings" w:hAnsi="Wingdings" w:cs="Wingdings"/>
    </w:rPr>
  </w:style>
  <w:style w:type="character" w:styleId="WW8Num86z0">
    <w:name w:val="WW8Num86z0"/>
    <w:qFormat/>
    <w:rPr>
      <w:rFonts w:ascii="Symbol" w:hAnsi="Symbol" w:cs="Symbol"/>
    </w:rPr>
  </w:style>
  <w:style w:type="character" w:styleId="WW8Num87z0">
    <w:name w:val="WW8Num87z0"/>
    <w:qFormat/>
    <w:rPr>
      <w:rFonts w:ascii="Symbol" w:hAnsi="Symbol" w:cs="Symbol"/>
    </w:rPr>
  </w:style>
  <w:style w:type="character" w:styleId="WW8Num88z0">
    <w:name w:val="WW8Num88z0"/>
    <w:qFormat/>
    <w:rPr/>
  </w:style>
  <w:style w:type="character" w:styleId="WW8Num89z0">
    <w:name w:val="WW8Num89z0"/>
    <w:qFormat/>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2z0">
    <w:name w:val="WW8Num92z0"/>
    <w:qFormat/>
    <w:rPr>
      <w:rFonts w:ascii="Symbol" w:hAnsi="Symbol" w:cs="Symbol"/>
    </w:rPr>
  </w:style>
  <w:style w:type="character" w:styleId="WW8Num93z0">
    <w:name w:val="WW8Num93z0"/>
    <w:qFormat/>
    <w:rPr>
      <w:rFonts w:ascii="Times New Roman" w:hAnsi="Times New Roman" w:cs="Times New Roman"/>
      <w:b/>
      <w:i w:val="false"/>
      <w:sz w:val="28"/>
    </w:rPr>
  </w:style>
  <w:style w:type="character" w:styleId="WW8Num93z1">
    <w:name w:val="WW8Num93z1"/>
    <w:qFormat/>
    <w:rPr>
      <w:rFonts w:ascii="Times New Roman" w:hAnsi="Times New Roman" w:cs="Times New Roman"/>
      <w:b/>
      <w:i w:val="false"/>
      <w:sz w:val="24"/>
    </w:rPr>
  </w:style>
  <w:style w:type="character" w:styleId="WW8Num93z3">
    <w:name w:val="WW8Num93z3"/>
    <w:qFormat/>
    <w:rPr>
      <w:rFonts w:ascii="Times New Roman" w:hAnsi="Times New Roman" w:cs="Times New Roman"/>
      <w:b w:val="false"/>
      <w:i/>
      <w:sz w:val="24"/>
    </w:rPr>
  </w:style>
  <w:style w:type="character" w:styleId="WW8Num93z4">
    <w:name w:val="WW8Num93z4"/>
    <w:qFormat/>
    <w:rPr>
      <w:rFonts w:ascii="Times New Roman" w:hAnsi="Times New Roman" w:cs="Times New Roman"/>
      <w:b w:val="false"/>
      <w:i w:val="false"/>
      <w:sz w:val="22"/>
    </w:rPr>
  </w:style>
  <w:style w:type="character" w:styleId="WW8Num93z5">
    <w:name w:val="WW8Num93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93z6">
    <w:name w:val="WW8Num93z6"/>
    <w:qFormat/>
    <w:rPr>
      <w:rFonts w:ascii="Wingdings" w:hAnsi="Wingdings" w:cs="Wingdings"/>
      <w:b w:val="false"/>
      <w:i w:val="false"/>
      <w:caps w:val="false"/>
      <w:smallCaps w:val="false"/>
      <w:strike w:val="false"/>
      <w:dstrike w:val="false"/>
      <w:shadow w:val="false"/>
      <w:vanish w:val="false"/>
      <w:position w:val="0"/>
      <w:sz w:val="22"/>
      <w:sz w:val="22"/>
      <w:vertAlign w:val="baseline"/>
    </w:rPr>
  </w:style>
  <w:style w:type="character" w:styleId="WW8Num94z0">
    <w:name w:val="WW8Num94z0"/>
    <w:qFormat/>
    <w:rPr>
      <w:rFonts w:ascii="Symbol" w:hAnsi="Symbol" w:cs="Symbol"/>
    </w:rPr>
  </w:style>
  <w:style w:type="character" w:styleId="WW8Num99z0">
    <w:name w:val="WW8Num99z0"/>
    <w:qFormat/>
    <w:rPr/>
  </w:style>
  <w:style w:type="character" w:styleId="WW8Num100z0">
    <w:name w:val="WW8Num100z0"/>
    <w:qFormat/>
    <w:rPr>
      <w:rFonts w:ascii="Symbol" w:hAnsi="Symbol" w:cs="Symbol"/>
    </w:rPr>
  </w:style>
  <w:style w:type="character" w:styleId="WW8Num101z0">
    <w:name w:val="WW8Num101z0"/>
    <w:qFormat/>
    <w:rPr>
      <w:rFonts w:ascii="Symbol" w:hAnsi="Symbol" w:cs="Symbol"/>
    </w:rPr>
  </w:style>
  <w:style w:type="character" w:styleId="WW8Num102z0">
    <w:name w:val="WW8Num102z0"/>
    <w:qFormat/>
    <w:rPr>
      <w:rFonts w:ascii="Symbol" w:hAnsi="Symbol" w:cs="Symbol"/>
    </w:rPr>
  </w:style>
  <w:style w:type="character" w:styleId="WW8Num103z0">
    <w:name w:val="WW8Num103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103z1">
    <w:name w:val="WW8Num103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103z3">
    <w:name w:val="WW8Num103z3"/>
    <w:qFormat/>
    <w:rPr>
      <w:rFonts w:ascii="Times New Roman" w:hAnsi="Times New Roman" w:cs="Times New Roman"/>
      <w:b/>
      <w:i/>
      <w:caps w:val="false"/>
      <w:smallCaps w:val="false"/>
      <w:strike w:val="false"/>
      <w:dstrike w:val="false"/>
      <w:outline w:val="false"/>
      <w:shadow w:val="false"/>
      <w:vanish w:val="false"/>
      <w:color w:val="auto"/>
      <w:position w:val="0"/>
      <w:sz w:val="24"/>
      <w:sz w:val="24"/>
      <w:vertAlign w:val="baseline"/>
    </w:rPr>
  </w:style>
  <w:style w:type="character" w:styleId="WW8Num103z4">
    <w:name w:val="WW8Num103z4"/>
    <w:qFormat/>
    <w:rPr>
      <w:b w:val="false"/>
      <w:i w:val="false"/>
      <w:sz w:val="22"/>
    </w:rPr>
  </w:style>
  <w:style w:type="character" w:styleId="WW8Num103z5">
    <w:name w:val="WW8Num103z5"/>
    <w:qFormat/>
    <w:rPr>
      <w:b w:val="false"/>
      <w:i/>
      <w:caps w:val="false"/>
      <w:smallCaps w:val="false"/>
      <w:strike w:val="false"/>
      <w:dstrike w:val="false"/>
      <w:shadow w:val="false"/>
      <w:vanish w:val="false"/>
      <w:color w:val="auto"/>
      <w:position w:val="0"/>
      <w:sz w:val="22"/>
      <w:sz w:val="22"/>
      <w:vertAlign w:val="baseline"/>
    </w:rPr>
  </w:style>
  <w:style w:type="character" w:styleId="WW8Num104z0">
    <w:name w:val="WW8Num104z0"/>
    <w:qFormat/>
    <w:rPr>
      <w:rFonts w:ascii="Symbol" w:hAnsi="Symbol" w:cs="Symbol"/>
    </w:rPr>
  </w:style>
  <w:style w:type="character" w:styleId="WW8Num105z0">
    <w:name w:val="WW8Num105z0"/>
    <w:qFormat/>
    <w:rPr>
      <w:rFonts w:ascii="Symbol" w:hAnsi="Symbol" w:cs="Symbol"/>
    </w:rPr>
  </w:style>
  <w:style w:type="character" w:styleId="WW8Num106z0">
    <w:name w:val="WW8Num106z0"/>
    <w:qFormat/>
    <w:rPr>
      <w:rFonts w:ascii="Symbol" w:hAnsi="Symbol" w:cs="Symbol"/>
    </w:rPr>
  </w:style>
  <w:style w:type="character" w:styleId="WW8Num107z0">
    <w:name w:val="WW8Num107z0"/>
    <w:qFormat/>
    <w:rPr>
      <w:b/>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1z0">
    <w:name w:val="WW8Num111z0"/>
    <w:qFormat/>
    <w:rPr>
      <w:rFonts w:ascii="Symbol" w:hAnsi="Symbol" w:cs="Symbol"/>
    </w:rPr>
  </w:style>
  <w:style w:type="character" w:styleId="WW8Num112z0">
    <w:name w:val="WW8Num112z0"/>
    <w:qFormat/>
    <w:rPr>
      <w:rFonts w:ascii="Symbol" w:hAnsi="Symbol" w:cs="Symbol"/>
    </w:rPr>
  </w:style>
  <w:style w:type="character" w:styleId="WW8Num113z0">
    <w:name w:val="WW8Num113z0"/>
    <w:qFormat/>
    <w:rPr>
      <w:rFonts w:ascii="Symbol" w:hAnsi="Symbol" w:cs="Symbol"/>
    </w:rPr>
  </w:style>
  <w:style w:type="character" w:styleId="WW8Num115z0">
    <w:name w:val="WW8Num115z0"/>
    <w:qFormat/>
    <w:rPr>
      <w:rFonts w:ascii="Symbol" w:hAnsi="Symbol" w:cs="Symbol"/>
      <w:color w:val="auto"/>
      <w:sz w:val="28"/>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19z0">
    <w:name w:val="WW8Num119z0"/>
    <w:qFormat/>
    <w:rPr>
      <w:rFonts w:ascii="Symbol" w:hAnsi="Symbol" w:cs="Symbol"/>
    </w:rPr>
  </w:style>
  <w:style w:type="character" w:styleId="WW8Num120z0">
    <w:name w:val="WW8Num120z0"/>
    <w:qFormat/>
    <w:rPr>
      <w:rFonts w:ascii="Symbol" w:hAnsi="Symbol" w:cs="Symbol"/>
    </w:rPr>
  </w:style>
  <w:style w:type="character" w:styleId="WW8Num121z0">
    <w:name w:val="WW8Num121z0"/>
    <w:qFormat/>
    <w:rPr>
      <w:rFonts w:ascii="Symbol" w:hAnsi="Symbol" w:cs="Symbol"/>
      <w:b w:val="false"/>
      <w:i w:val="false"/>
      <w:sz w:val="20"/>
    </w:rPr>
  </w:style>
  <w:style w:type="character" w:styleId="WW8Num123z0">
    <w:name w:val="WW8Num123z0"/>
    <w:qFormat/>
    <w:rPr>
      <w:rFonts w:ascii="Symbol" w:hAnsi="Symbol" w:cs="Symbol"/>
    </w:rPr>
  </w:style>
  <w:style w:type="character" w:styleId="WW8Num124z0">
    <w:name w:val="WW8Num124z0"/>
    <w:qFormat/>
    <w:rPr/>
  </w:style>
  <w:style w:type="character" w:styleId="WW8Num125z0">
    <w:name w:val="WW8Num125z0"/>
    <w:qFormat/>
    <w:rPr>
      <w:rFonts w:ascii="Symbol" w:hAnsi="Symbol" w:cs="Symbol"/>
    </w:rPr>
  </w:style>
  <w:style w:type="character" w:styleId="WW8Num126z0">
    <w:name w:val="WW8Num126z0"/>
    <w:qFormat/>
    <w:rPr>
      <w:rFonts w:ascii="Symbol" w:hAnsi="Symbol" w:cs="Symbol"/>
    </w:rPr>
  </w:style>
  <w:style w:type="character" w:styleId="WW8Num127z0">
    <w:name w:val="WW8Num127z0"/>
    <w:qFormat/>
    <w:rPr>
      <w:rFonts w:ascii="Symbol" w:hAnsi="Symbol" w:cs="Symbol"/>
    </w:rPr>
  </w:style>
  <w:style w:type="character" w:styleId="WW8Num129z0">
    <w:name w:val="WW8Num129z0"/>
    <w:qFormat/>
    <w:rPr>
      <w:rFonts w:ascii="Symbol" w:hAnsi="Symbol" w:cs="Symbol"/>
    </w:rPr>
  </w:style>
  <w:style w:type="character" w:styleId="WW8Num130z0">
    <w:name w:val="WW8Num130z0"/>
    <w:qFormat/>
    <w:rPr/>
  </w:style>
  <w:style w:type="character" w:styleId="WW8Num131z0">
    <w:name w:val="WW8Num131z0"/>
    <w:qFormat/>
    <w:rPr/>
  </w:style>
  <w:style w:type="character" w:styleId="WW8Num133z0">
    <w:name w:val="WW8Num133z0"/>
    <w:qFormat/>
    <w:rPr>
      <w:rFonts w:ascii="Wingdings 3;Symbol" w:hAnsi="Wingdings 3;Symbol" w:cs="Wingdings 3;Symbol"/>
      <w:b w:val="false"/>
      <w:i w:val="false"/>
      <w:sz w:val="32"/>
      <w:vertAlign w:val="subscript"/>
    </w:rPr>
  </w:style>
  <w:style w:type="character" w:styleId="WW8Num134z0">
    <w:name w:val="WW8Num134z0"/>
    <w:qFormat/>
    <w:rPr/>
  </w:style>
  <w:style w:type="character" w:styleId="WW8Num135z0">
    <w:name w:val="WW8Num135z0"/>
    <w:qFormat/>
    <w:rPr/>
  </w:style>
  <w:style w:type="character" w:styleId="WW8Num136z0">
    <w:name w:val="WW8Num136z0"/>
    <w:qFormat/>
    <w:rPr>
      <w:rFonts w:ascii="Symbol" w:hAnsi="Symbol" w:cs="Symbol"/>
    </w:rPr>
  </w:style>
  <w:style w:type="character" w:styleId="WW8Num137z0">
    <w:name w:val="WW8Num137z0"/>
    <w:qFormat/>
    <w:rPr>
      <w:rFonts w:ascii="Symbol" w:hAnsi="Symbol" w:cs="Symbol"/>
    </w:rPr>
  </w:style>
  <w:style w:type="character" w:styleId="WW8Num138z0">
    <w:name w:val="WW8Num138z0"/>
    <w:qFormat/>
    <w:rPr/>
  </w:style>
  <w:style w:type="character" w:styleId="WW8Num139z0">
    <w:name w:val="WW8Num139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rPr>
  </w:style>
  <w:style w:type="character" w:styleId="WW8Num142z0">
    <w:name w:val="WW8Num142z0"/>
    <w:qFormat/>
    <w:rPr/>
  </w:style>
  <w:style w:type="character" w:styleId="WW8Num143z0">
    <w:name w:val="WW8Num143z0"/>
    <w:qFormat/>
    <w:rPr>
      <w:rFonts w:ascii="Symbol" w:hAnsi="Symbol" w:cs="Symbol"/>
    </w:rPr>
  </w:style>
  <w:style w:type="character" w:styleId="WW8Num144z0">
    <w:name w:val="WW8Num144z0"/>
    <w:qFormat/>
    <w:rPr>
      <w:rFonts w:ascii="Symbol" w:hAnsi="Symbol" w:cs="Symbol"/>
    </w:rPr>
  </w:style>
  <w:style w:type="character" w:styleId="WW8Num145z0">
    <w:name w:val="WW8Num145z0"/>
    <w:qFormat/>
    <w:rPr>
      <w:rFonts w:ascii="Symbol" w:hAnsi="Symbol" w:cs="Symbol"/>
    </w:rPr>
  </w:style>
  <w:style w:type="character" w:styleId="WW8Num146z0">
    <w:name w:val="WW8Num146z0"/>
    <w:qFormat/>
    <w:rPr>
      <w:rFonts w:ascii="Symbol" w:hAnsi="Symbol" w:cs="Symbol"/>
    </w:rPr>
  </w:style>
  <w:style w:type="character" w:styleId="WW8Num148z0">
    <w:name w:val="WW8Num148z0"/>
    <w:qFormat/>
    <w:rPr>
      <w:rFonts w:ascii="Symbol" w:hAnsi="Symbol" w:cs="Symbol"/>
    </w:rPr>
  </w:style>
  <w:style w:type="character" w:styleId="WW8Num149z0">
    <w:name w:val="WW8Num149z0"/>
    <w:qFormat/>
    <w:rPr>
      <w:rFonts w:ascii="Times New Roman" w:hAnsi="Times New Roman" w:cs="Times New Roman"/>
      <w:b w:val="false"/>
      <w:i w:val="false"/>
      <w:color w:val="auto"/>
      <w:sz w:val="24"/>
    </w:rPr>
  </w:style>
  <w:style w:type="character" w:styleId="WW8Num150z0">
    <w:name w:val="WW8Num150z0"/>
    <w:qFormat/>
    <w:rPr>
      <w:rFonts w:ascii="Symbol" w:hAnsi="Symbol" w:cs="Symbol"/>
    </w:rPr>
  </w:style>
  <w:style w:type="character" w:styleId="WW8Num151z0">
    <w:name w:val="WW8Num151z0"/>
    <w:qFormat/>
    <w:rPr/>
  </w:style>
  <w:style w:type="character" w:styleId="WW8Num152z0">
    <w:name w:val="WW8Num152z0"/>
    <w:qFormat/>
    <w:rPr/>
  </w:style>
  <w:style w:type="character" w:styleId="WW8Num153z0">
    <w:name w:val="WW8Num153z0"/>
    <w:qFormat/>
    <w:rPr>
      <w:rFonts w:ascii="Symbol" w:hAnsi="Symbol" w:cs="Symbol"/>
    </w:rPr>
  </w:style>
  <w:style w:type="character" w:styleId="WW8Num154z0">
    <w:name w:val="WW8Num154z0"/>
    <w:qFormat/>
    <w:rPr>
      <w:rFonts w:ascii="Symbol" w:hAnsi="Symbol" w:cs="Symbol"/>
    </w:rPr>
  </w:style>
  <w:style w:type="character" w:styleId="WW8Num155z0">
    <w:name w:val="WW8Num155z0"/>
    <w:qFormat/>
    <w:rPr/>
  </w:style>
  <w:style w:type="character" w:styleId="WW8Num156z0">
    <w:name w:val="WW8Num156z0"/>
    <w:qFormat/>
    <w:rPr/>
  </w:style>
  <w:style w:type="character" w:styleId="WW8Num157z0">
    <w:name w:val="WW8Num157z0"/>
    <w:qFormat/>
    <w:rPr>
      <w:rFonts w:ascii="Symbol" w:hAnsi="Symbol" w:cs="Symbol"/>
    </w:rPr>
  </w:style>
  <w:style w:type="character" w:styleId="WW8Num158z0">
    <w:name w:val="WW8Num158z0"/>
    <w:qFormat/>
    <w:rPr>
      <w:rFonts w:ascii="Symbol" w:hAnsi="Symbol" w:cs="Symbol"/>
    </w:rPr>
  </w:style>
  <w:style w:type="character" w:styleId="WW8Num159z0">
    <w:name w:val="WW8Num159z0"/>
    <w:qFormat/>
    <w:rPr>
      <w:rFonts w:ascii="NewspaperPi BT;Symbol" w:hAnsi="NewspaperPi BT;Symbol" w:cs="NewspaperPi BT;Symbol"/>
      <w:b w:val="false"/>
      <w:i w:val="false"/>
      <w:sz w:val="18"/>
    </w:rPr>
  </w:style>
  <w:style w:type="character" w:styleId="WW8Num160z0">
    <w:name w:val="WW8Num160z0"/>
    <w:qFormat/>
    <w:rPr>
      <w:rFonts w:ascii="Symbol" w:hAnsi="Symbol" w:cs="Symbol"/>
    </w:rPr>
  </w:style>
  <w:style w:type="character" w:styleId="WW8Num161z0">
    <w:name w:val="WW8Num161z0"/>
    <w:qFormat/>
    <w:rPr/>
  </w:style>
  <w:style w:type="character" w:styleId="WW8Num162z0">
    <w:name w:val="WW8Num162z0"/>
    <w:qFormat/>
    <w:rPr>
      <w:rFonts w:ascii="Symbol" w:hAnsi="Symbol" w:cs="Symbol"/>
    </w:rPr>
  </w:style>
  <w:style w:type="character" w:styleId="WW8Num164z0">
    <w:name w:val="WW8Num164z0"/>
    <w:qFormat/>
    <w:rPr>
      <w:rFonts w:ascii="Symbol" w:hAnsi="Symbol" w:cs="Symbol"/>
    </w:rPr>
  </w:style>
  <w:style w:type="character" w:styleId="WW8Num165z0">
    <w:name w:val="WW8Num165z0"/>
    <w:qFormat/>
    <w:rPr>
      <w:rFonts w:ascii="Symbol" w:hAnsi="Symbol" w:cs="Symbol"/>
    </w:rPr>
  </w:style>
  <w:style w:type="character" w:styleId="WW8Num166z0">
    <w:name w:val="WW8Num166z0"/>
    <w:qFormat/>
    <w:rPr>
      <w:rFonts w:ascii="NewspaperPi BT;Symbol" w:hAnsi="NewspaperPi BT;Symbol" w:cs="NewspaperPi BT;Symbol"/>
      <w:b w:val="false"/>
      <w:i w:val="false"/>
      <w:sz w:val="18"/>
    </w:rPr>
  </w:style>
  <w:style w:type="character" w:styleId="WW8Num167z0">
    <w:name w:val="WW8Num167z0"/>
    <w:qFormat/>
    <w:rPr/>
  </w:style>
  <w:style w:type="character" w:styleId="WW8Num168z0">
    <w:name w:val="WW8Num168z0"/>
    <w:qFormat/>
    <w:rPr/>
  </w:style>
  <w:style w:type="character" w:styleId="WW8Num169z0">
    <w:name w:val="WW8Num169z0"/>
    <w:qFormat/>
    <w:rPr>
      <w:rFonts w:ascii="Symbol" w:hAnsi="Symbol" w:cs="Symbol"/>
    </w:rPr>
  </w:style>
  <w:style w:type="character" w:styleId="WW8Num170z0">
    <w:name w:val="WW8Num170z0"/>
    <w:qFormat/>
    <w:rPr>
      <w:rFonts w:ascii="Symbol" w:hAnsi="Symbol" w:cs="Symbol"/>
    </w:rPr>
  </w:style>
  <w:style w:type="character" w:styleId="WW8Num173z0">
    <w:name w:val="WW8Num173z0"/>
    <w:qFormat/>
    <w:rPr>
      <w:rFonts w:ascii="Symbol" w:hAnsi="Symbol" w:cs="Symbol"/>
    </w:rPr>
  </w:style>
  <w:style w:type="character" w:styleId="WW8Num174z0">
    <w:name w:val="WW8Num174z0"/>
    <w:qFormat/>
    <w:rPr>
      <w:rFonts w:ascii="Symbol" w:hAnsi="Symbol" w:cs="Symbol"/>
    </w:rPr>
  </w:style>
  <w:style w:type="character" w:styleId="WW8Num175z0">
    <w:name w:val="WW8Num175z0"/>
    <w:qFormat/>
    <w:rPr>
      <w:rFonts w:ascii="Symbol" w:hAnsi="Symbol" w:cs="Symbol"/>
    </w:rPr>
  </w:style>
  <w:style w:type="character" w:styleId="WW8Num176z0">
    <w:name w:val="WW8Num176z0"/>
    <w:qFormat/>
    <w:rPr>
      <w:rFonts w:ascii="Symbol" w:hAnsi="Symbol" w:cs="Symbol"/>
    </w:rPr>
  </w:style>
  <w:style w:type="character" w:styleId="WW8Num177z0">
    <w:name w:val="WW8Num177z0"/>
    <w:qFormat/>
    <w:rPr>
      <w:rFonts w:ascii="Wingdings" w:hAnsi="Wingdings" w:cs="Wingdings"/>
      <w:sz w:val="20"/>
    </w:rPr>
  </w:style>
  <w:style w:type="character" w:styleId="WW8Num178z0">
    <w:name w:val="WW8Num178z0"/>
    <w:qFormat/>
    <w:rPr>
      <w:rFonts w:ascii="Symbol" w:hAnsi="Symbol" w:cs="Symbol"/>
    </w:rPr>
  </w:style>
  <w:style w:type="character" w:styleId="WW8Num179z0">
    <w:name w:val="WW8Num179z0"/>
    <w:qFormat/>
    <w:rPr>
      <w:rFonts w:ascii="Symbol" w:hAnsi="Symbol" w:cs="Symbol"/>
    </w:rPr>
  </w:style>
  <w:style w:type="character" w:styleId="WW8Num180z0">
    <w:name w:val="WW8Num180z0"/>
    <w:qFormat/>
    <w:rPr/>
  </w:style>
  <w:style w:type="character" w:styleId="WW8Num181z0">
    <w:name w:val="WW8Num181z0"/>
    <w:qFormat/>
    <w:rPr/>
  </w:style>
  <w:style w:type="character" w:styleId="WW8Num182z0">
    <w:name w:val="WW8Num182z0"/>
    <w:qFormat/>
    <w:rPr>
      <w:rFonts w:ascii="Symbol" w:hAnsi="Symbol" w:cs="Symbol"/>
    </w:rPr>
  </w:style>
  <w:style w:type="character" w:styleId="WW8Num184z0">
    <w:name w:val="WW8Num184z0"/>
    <w:qFormat/>
    <w:rPr/>
  </w:style>
  <w:style w:type="character" w:styleId="WW8Num185z0">
    <w:name w:val="WW8Num185z0"/>
    <w:qFormat/>
    <w:rPr>
      <w:rFonts w:ascii="Symbol" w:hAnsi="Symbol" w:cs="Symbol"/>
    </w:rPr>
  </w:style>
  <w:style w:type="character" w:styleId="WW8Num186z0">
    <w:name w:val="WW8Num186z0"/>
    <w:qFormat/>
    <w:rPr>
      <w:rFonts w:ascii="Symbol" w:hAnsi="Symbol" w:cs="Symbol"/>
      <w:b w:val="false"/>
      <w:i w:val="false"/>
      <w:sz w:val="20"/>
    </w:rPr>
  </w:style>
  <w:style w:type="character" w:styleId="WW8Num187z0">
    <w:name w:val="WW8Num187z0"/>
    <w:qFormat/>
    <w:rPr>
      <w:rFonts w:ascii="Symbol" w:hAnsi="Symbol" w:cs="Symbol"/>
    </w:rPr>
  </w:style>
  <w:style w:type="character" w:styleId="WW8Num188z0">
    <w:name w:val="WW8Num188z0"/>
    <w:qFormat/>
    <w:rPr>
      <w:rFonts w:ascii="Symbol" w:hAnsi="Symbol" w:cs="Symbol"/>
    </w:rPr>
  </w:style>
  <w:style w:type="character" w:styleId="WW8Num189z0">
    <w:name w:val="WW8Num189z0"/>
    <w:qFormat/>
    <w:rPr>
      <w:rFonts w:ascii="Symbol" w:hAnsi="Symbol" w:cs="Symbol"/>
    </w:rPr>
  </w:style>
  <w:style w:type="character" w:styleId="WW8Num190z0">
    <w:name w:val="WW8Num190z0"/>
    <w:qFormat/>
    <w:rPr>
      <w:rFonts w:ascii="Times New Roman" w:hAnsi="Times New Roman" w:cs="Times New Roman"/>
      <w:b/>
      <w:i w:val="false"/>
      <w:sz w:val="28"/>
    </w:rPr>
  </w:style>
  <w:style w:type="character" w:styleId="WW8Num190z1">
    <w:name w:val="WW8Num190z1"/>
    <w:qFormat/>
    <w:rPr>
      <w:rFonts w:ascii="Times New Roman" w:hAnsi="Times New Roman" w:cs="Times New Roman"/>
      <w:b/>
      <w:i w:val="false"/>
      <w:sz w:val="24"/>
    </w:rPr>
  </w:style>
  <w:style w:type="character" w:styleId="WW8Num190z3">
    <w:name w:val="WW8Num190z3"/>
    <w:qFormat/>
    <w:rPr>
      <w:rFonts w:ascii="Times New Roman" w:hAnsi="Times New Roman" w:cs="Times New Roman"/>
      <w:b w:val="false"/>
      <w:i/>
      <w:sz w:val="24"/>
    </w:rPr>
  </w:style>
  <w:style w:type="character" w:styleId="WW8Num190z4">
    <w:name w:val="WW8Num190z4"/>
    <w:qFormat/>
    <w:rPr>
      <w:rFonts w:ascii="Times New Roman" w:hAnsi="Times New Roman" w:cs="Times New Roman"/>
      <w:b w:val="false"/>
      <w:i w:val="false"/>
      <w:sz w:val="22"/>
    </w:rPr>
  </w:style>
  <w:style w:type="character" w:styleId="WW8Num190z5">
    <w:name w:val="WW8Num190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190z6">
    <w:name w:val="WW8Num190z6"/>
    <w:qFormat/>
    <w:rPr>
      <w:rFonts w:ascii="Wingdings" w:hAnsi="Wingdings" w:cs="Wingdings"/>
    </w:rPr>
  </w:style>
  <w:style w:type="character" w:styleId="WW8Num192z0">
    <w:name w:val="WW8Num192z0"/>
    <w:qFormat/>
    <w:rPr>
      <w:rFonts w:ascii="Symbol" w:hAnsi="Symbol" w:cs="Symbol"/>
    </w:rPr>
  </w:style>
  <w:style w:type="character" w:styleId="WW8Num193z0">
    <w:name w:val="WW8Num193z0"/>
    <w:qFormat/>
    <w:rPr>
      <w:rFonts w:ascii="Times New Roman" w:hAnsi="Times New Roman" w:cs="Times New Roman"/>
      <w:b/>
      <w:i w:val="false"/>
      <w:sz w:val="26"/>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rFonts w:ascii="Wingdings 3;Symbol" w:hAnsi="Wingdings 3;Symbol" w:cs="Wingdings 3;Symbol"/>
      <w:b w:val="false"/>
      <w:i w:val="false"/>
      <w:color w:val="008000"/>
      <w:sz w:val="32"/>
      <w:vertAlign w:val="subscript"/>
    </w:rPr>
  </w:style>
  <w:style w:type="character" w:styleId="WW8Num197z0">
    <w:name w:val="WW8Num197z0"/>
    <w:qFormat/>
    <w:rPr>
      <w:rFonts w:ascii="Symbol" w:hAnsi="Symbol" w:cs="Symbol"/>
    </w:rPr>
  </w:style>
  <w:style w:type="character" w:styleId="WW8Num198z0">
    <w:name w:val="WW8Num198z0"/>
    <w:qFormat/>
    <w:rPr>
      <w:rFonts w:ascii="Symbol" w:hAnsi="Symbol" w:cs="Symbol"/>
    </w:rPr>
  </w:style>
  <w:style w:type="character" w:styleId="WW8Num199z0">
    <w:name w:val="WW8Num199z0"/>
    <w:qFormat/>
    <w:rPr>
      <w:rFonts w:ascii="Symbol" w:hAnsi="Symbol" w:cs="Symbol"/>
    </w:rPr>
  </w:style>
  <w:style w:type="character" w:styleId="WW8Num200z0">
    <w:name w:val="WW8Num200z0"/>
    <w:qFormat/>
    <w:rPr>
      <w:rFonts w:ascii="Symbol" w:hAnsi="Symbol" w:cs="Symbol"/>
    </w:rPr>
  </w:style>
  <w:style w:type="character" w:styleId="WW8Num201z0">
    <w:name w:val="WW8Num201z0"/>
    <w:qFormat/>
    <w:rPr>
      <w:rFonts w:ascii="Wingdings" w:hAnsi="Wingdings" w:cs="Wingdings"/>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rFonts w:ascii="Symbol" w:hAnsi="Symbol" w:cs="Symbol"/>
    </w:rPr>
  </w:style>
  <w:style w:type="character" w:styleId="WW8Num206z0">
    <w:name w:val="WW8Num206z0"/>
    <w:qFormat/>
    <w:rPr>
      <w:rFonts w:ascii="Symbol" w:hAnsi="Symbol" w:cs="Symbol"/>
    </w:rPr>
  </w:style>
  <w:style w:type="character" w:styleId="WW8Num207z0">
    <w:name w:val="WW8Num207z0"/>
    <w:qFormat/>
    <w:rPr/>
  </w:style>
  <w:style w:type="character" w:styleId="WW8Num208z0">
    <w:name w:val="WW8Num208z0"/>
    <w:qFormat/>
    <w:rPr>
      <w:rFonts w:ascii="Symbol" w:hAnsi="Symbol" w:cs="Symbol"/>
    </w:rPr>
  </w:style>
  <w:style w:type="character" w:styleId="WW8Num209z0">
    <w:name w:val="WW8Num209z0"/>
    <w:qFormat/>
    <w:rPr>
      <w:rFonts w:ascii="Symbol" w:hAnsi="Symbol" w:cs="Symbol"/>
    </w:rPr>
  </w:style>
  <w:style w:type="character" w:styleId="WW8Num210z0">
    <w:name w:val="WW8Num210z0"/>
    <w:qFormat/>
    <w:rPr>
      <w:rFonts w:ascii="Times New Roman" w:hAnsi="Times New Roman" w:cs="Times New Roman"/>
      <w:b/>
      <w:i w:val="false"/>
      <w:sz w:val="28"/>
    </w:rPr>
  </w:style>
  <w:style w:type="character" w:styleId="WW8Num210z1">
    <w:name w:val="WW8Num210z1"/>
    <w:qFormat/>
    <w:rPr>
      <w:rFonts w:ascii="Times New Roman" w:hAnsi="Times New Roman" w:cs="Times New Roman"/>
      <w:b/>
      <w:i w:val="false"/>
      <w:sz w:val="24"/>
    </w:rPr>
  </w:style>
  <w:style w:type="character" w:styleId="WW8Num210z3">
    <w:name w:val="WW8Num210z3"/>
    <w:qFormat/>
    <w:rPr>
      <w:rFonts w:ascii="Times New Roman" w:hAnsi="Times New Roman" w:cs="Times New Roman"/>
      <w:b w:val="false"/>
      <w:i w:val="false"/>
      <w:sz w:val="24"/>
    </w:rPr>
  </w:style>
  <w:style w:type="character" w:styleId="WW8Num211z0">
    <w:name w:val="WW8Num211z0"/>
    <w:qFormat/>
    <w:rPr>
      <w:rFonts w:ascii="Symbol" w:hAnsi="Symbol" w:cs="Symbol"/>
    </w:rPr>
  </w:style>
  <w:style w:type="character" w:styleId="WW8Num212z0">
    <w:name w:val="WW8Num212z0"/>
    <w:qFormat/>
    <w:rPr>
      <w:rFonts w:ascii="Symbol" w:hAnsi="Symbol" w:cs="Symbol"/>
    </w:rPr>
  </w:style>
  <w:style w:type="character" w:styleId="WW8Num213z0">
    <w:name w:val="WW8Num213z0"/>
    <w:qFormat/>
    <w:rPr/>
  </w:style>
  <w:style w:type="character" w:styleId="WW8Num215z0">
    <w:name w:val="WW8Num215z0"/>
    <w:qFormat/>
    <w:rPr>
      <w:rFonts w:ascii="Symbol" w:hAnsi="Symbol" w:cs="Symbol"/>
    </w:rPr>
  </w:style>
  <w:style w:type="character" w:styleId="WW8Num216z0">
    <w:name w:val="WW8Num216z0"/>
    <w:qFormat/>
    <w:rPr>
      <w:rFonts w:ascii="Symbol" w:hAnsi="Symbol" w:cs="Symbol"/>
    </w:rPr>
  </w:style>
  <w:style w:type="character" w:styleId="WW8Num217z0">
    <w:name w:val="WW8Num217z0"/>
    <w:qFormat/>
    <w:rPr>
      <w:rFonts w:ascii="Symbol" w:hAnsi="Symbol" w:cs="Symbol"/>
    </w:rPr>
  </w:style>
  <w:style w:type="character" w:styleId="WW8Num218z0">
    <w:name w:val="WW8Num218z0"/>
    <w:qFormat/>
    <w:rPr>
      <w:rFonts w:ascii="Symbol" w:hAnsi="Symbol" w:cs="Symbol"/>
    </w:rPr>
  </w:style>
  <w:style w:type="character" w:styleId="WW8Num219z0">
    <w:name w:val="WW8Num219z0"/>
    <w:qFormat/>
    <w:rPr>
      <w:rFonts w:ascii="Symbol" w:hAnsi="Symbol" w:cs="Symbol"/>
      <w:color w:val="auto"/>
    </w:rPr>
  </w:style>
  <w:style w:type="character" w:styleId="WW8Num220z0">
    <w:name w:val="WW8Num220z0"/>
    <w:qFormat/>
    <w:rPr>
      <w:rFonts w:ascii="Wingdings" w:hAnsi="Wingdings" w:cs="Wingdings"/>
    </w:rPr>
  </w:style>
  <w:style w:type="character" w:styleId="WW8Num221z0">
    <w:name w:val="WW8Num221z0"/>
    <w:qFormat/>
    <w:rPr>
      <w:rFonts w:ascii="Symbol" w:hAnsi="Symbol" w:cs="Symbol"/>
    </w:rPr>
  </w:style>
  <w:style w:type="character" w:styleId="WW8Num222z0">
    <w:name w:val="WW8Num222z0"/>
    <w:qFormat/>
    <w:rPr/>
  </w:style>
  <w:style w:type="character" w:styleId="WW8Num224z0">
    <w:name w:val="WW8Num224z0"/>
    <w:qFormat/>
    <w:rPr>
      <w:rFonts w:ascii="Symbol" w:hAnsi="Symbol" w:cs="Symbol"/>
    </w:rPr>
  </w:style>
  <w:style w:type="character" w:styleId="WW8Num225z0">
    <w:name w:val="WW8Num225z0"/>
    <w:qFormat/>
    <w:rPr>
      <w:rFonts w:ascii="Wingdings" w:hAnsi="Wingdings" w:cs="Wingdings"/>
    </w:rPr>
  </w:style>
  <w:style w:type="character" w:styleId="WW8Num226z0">
    <w:name w:val="WW8Num226z0"/>
    <w:qFormat/>
    <w:rPr>
      <w:rFonts w:ascii="Symbol" w:hAnsi="Symbol" w:cs="Symbol"/>
    </w:rPr>
  </w:style>
  <w:style w:type="character" w:styleId="WW8Num227z0">
    <w:name w:val="WW8Num227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style>
  <w:style w:type="character" w:styleId="WW8Num232z0">
    <w:name w:val="WW8Num232z0"/>
    <w:qFormat/>
    <w:rPr>
      <w:rFonts w:ascii="Symbol" w:hAnsi="Symbol" w:cs="Symbol"/>
    </w:rPr>
  </w:style>
  <w:style w:type="character" w:styleId="WW8Num233z0">
    <w:name w:val="WW8Num233z0"/>
    <w:qFormat/>
    <w:rPr>
      <w:rFonts w:ascii="Symbol" w:hAnsi="Symbol" w:cs="Symbol"/>
    </w:rPr>
  </w:style>
  <w:style w:type="character" w:styleId="WW8Num234z0">
    <w:name w:val="WW8Num234z0"/>
    <w:qFormat/>
    <w:rPr>
      <w:rFonts w:ascii="Symbol" w:hAnsi="Symbol" w:cs="Symbol"/>
    </w:rPr>
  </w:style>
  <w:style w:type="character" w:styleId="WW8Num235z0">
    <w:name w:val="WW8Num235z0"/>
    <w:qFormat/>
    <w:rPr>
      <w:rFonts w:ascii="Symbol" w:hAnsi="Symbol" w:cs="Symbol"/>
    </w:rPr>
  </w:style>
  <w:style w:type="character" w:styleId="WW8Num236z0">
    <w:name w:val="WW8Num236z0"/>
    <w:qFormat/>
    <w:rPr>
      <w:rFonts w:ascii="Symbol" w:hAnsi="Symbol" w:cs="Symbol"/>
    </w:rPr>
  </w:style>
  <w:style w:type="character" w:styleId="WW8Num239z0">
    <w:name w:val="WW8Num239z0"/>
    <w:qFormat/>
    <w:rPr>
      <w:rFonts w:ascii="Symbol" w:hAnsi="Symbol" w:cs="Symbol"/>
    </w:rPr>
  </w:style>
  <w:style w:type="character" w:styleId="WW8Num240z0">
    <w:name w:val="WW8Num240z0"/>
    <w:qFormat/>
    <w:rPr>
      <w:rFonts w:ascii="Symbol" w:hAnsi="Symbol" w:cs="Symbol"/>
    </w:rPr>
  </w:style>
  <w:style w:type="character" w:styleId="WW8Num241z0">
    <w:name w:val="WW8Num241z0"/>
    <w:qFormat/>
    <w:rPr>
      <w:rFonts w:ascii="Symbol" w:hAnsi="Symbol" w:cs="Symbol"/>
    </w:rPr>
  </w:style>
  <w:style w:type="character" w:styleId="WW8Num242z0">
    <w:name w:val="WW8Num242z0"/>
    <w:qFormat/>
    <w:rPr>
      <w:rFonts w:ascii="Symbol" w:hAnsi="Symbol" w:cs="Symbol"/>
    </w:rPr>
  </w:style>
  <w:style w:type="character" w:styleId="WW8Num244z0">
    <w:name w:val="WW8Num244z0"/>
    <w:qFormat/>
    <w:rPr>
      <w:rFonts w:ascii="Times New Roman" w:hAnsi="Times New Roman" w:cs="Times New Roman"/>
      <w:b/>
      <w:i w:val="false"/>
      <w:sz w:val="28"/>
    </w:rPr>
  </w:style>
  <w:style w:type="character" w:styleId="WW8Num244z1">
    <w:name w:val="WW8Num244z1"/>
    <w:qFormat/>
    <w:rPr>
      <w:rFonts w:ascii="Times New Roman" w:hAnsi="Times New Roman" w:cs="Times New Roman"/>
      <w:b/>
      <w:i w:val="false"/>
      <w:sz w:val="24"/>
    </w:rPr>
  </w:style>
  <w:style w:type="character" w:styleId="WW8Num244z3">
    <w:name w:val="WW8Num244z3"/>
    <w:qFormat/>
    <w:rPr>
      <w:rFonts w:ascii="Times New Roman" w:hAnsi="Times New Roman" w:cs="Times New Roman"/>
      <w:b w:val="false"/>
      <w:i w:val="false"/>
      <w:sz w:val="24"/>
    </w:rPr>
  </w:style>
  <w:style w:type="character" w:styleId="WW8Num245z0">
    <w:name w:val="WW8Num245z0"/>
    <w:qFormat/>
    <w:rPr>
      <w:rFonts w:ascii="Symbol" w:hAnsi="Symbol" w:cs="Symbol"/>
    </w:rPr>
  </w:style>
  <w:style w:type="character" w:styleId="WW8Num246z0">
    <w:name w:val="WW8Num246z0"/>
    <w:qFormat/>
    <w:rPr>
      <w:rFonts w:ascii="Symbol" w:hAnsi="Symbol" w:cs="Symbol"/>
    </w:rPr>
  </w:style>
  <w:style w:type="character" w:styleId="WW8Num247z0">
    <w:name w:val="WW8Num247z0"/>
    <w:qFormat/>
    <w:rPr/>
  </w:style>
  <w:style w:type="character" w:styleId="WW8Num248z0">
    <w:name w:val="WW8Num248z0"/>
    <w:qFormat/>
    <w:rPr>
      <w:rFonts w:ascii="Symbol" w:hAnsi="Symbol" w:cs="Symbol"/>
    </w:rPr>
  </w:style>
  <w:style w:type="character" w:styleId="WW8Num250z0">
    <w:name w:val="WW8Num250z0"/>
    <w:qFormat/>
    <w:rPr>
      <w:rFonts w:ascii="Symbol" w:hAnsi="Symbol" w:cs="Symbol"/>
    </w:rPr>
  </w:style>
  <w:style w:type="character" w:styleId="WW8Num251z0">
    <w:name w:val="WW8Num251z0"/>
    <w:qFormat/>
    <w:rPr>
      <w:rFonts w:ascii="Symbol" w:hAnsi="Symbol" w:cs="Symbol"/>
    </w:rPr>
  </w:style>
  <w:style w:type="character" w:styleId="WW8Num253z0">
    <w:name w:val="WW8Num253z0"/>
    <w:qFormat/>
    <w:rPr>
      <w:rFonts w:ascii="Wingdings" w:hAnsi="Wingdings" w:cs="Wingdings"/>
    </w:rPr>
  </w:style>
  <w:style w:type="character" w:styleId="WW8Num254z0">
    <w:name w:val="WW8Num254z0"/>
    <w:qFormat/>
    <w:rPr>
      <w:rFonts w:ascii="Symbol" w:hAnsi="Symbol" w:cs="Symbol"/>
    </w:rPr>
  </w:style>
  <w:style w:type="character" w:styleId="WW8Num256z0">
    <w:name w:val="WW8Num256z0"/>
    <w:qFormat/>
    <w:rPr>
      <w:rFonts w:ascii="Symbol" w:hAnsi="Symbol" w:cs="Symbol"/>
    </w:rPr>
  </w:style>
  <w:style w:type="character" w:styleId="WW8Num257z0">
    <w:name w:val="WW8Num257z0"/>
    <w:qFormat/>
    <w:rPr>
      <w:rFonts w:ascii="Symbol" w:hAnsi="Symbol" w:cs="Symbol"/>
    </w:rPr>
  </w:style>
  <w:style w:type="character" w:styleId="WW8Num258z0">
    <w:name w:val="WW8Num258z0"/>
    <w:qFormat/>
    <w:rPr>
      <w:rFonts w:ascii="Symbol" w:hAnsi="Symbol" w:cs="Symbol"/>
    </w:rPr>
  </w:style>
  <w:style w:type="character" w:styleId="WW8Num259z0">
    <w:name w:val="WW8Num259z0"/>
    <w:qFormat/>
    <w:rPr>
      <w:rFonts w:ascii="Symbol" w:hAnsi="Symbol" w:cs="Symbol"/>
    </w:rPr>
  </w:style>
  <w:style w:type="character" w:styleId="WW8Num260z0">
    <w:name w:val="WW8Num260z0"/>
    <w:qFormat/>
    <w:rPr/>
  </w:style>
  <w:style w:type="character" w:styleId="WW8Num261z0">
    <w:name w:val="WW8Num261z0"/>
    <w:qFormat/>
    <w:rPr/>
  </w:style>
  <w:style w:type="character" w:styleId="WW8Num262z0">
    <w:name w:val="WW8Num262z0"/>
    <w:qFormat/>
    <w:rPr/>
  </w:style>
  <w:style w:type="character" w:styleId="WW8Num263z0">
    <w:name w:val="WW8Num263z0"/>
    <w:qFormat/>
    <w:rPr>
      <w:rFonts w:ascii="Symbol" w:hAnsi="Symbol" w:cs="Symbol"/>
    </w:rPr>
  </w:style>
  <w:style w:type="character" w:styleId="WW8Num264z0">
    <w:name w:val="WW8Num264z0"/>
    <w:qFormat/>
    <w:rPr>
      <w:rFonts w:ascii="Symbol" w:hAnsi="Symbol" w:cs="Symbol"/>
    </w:rPr>
  </w:style>
  <w:style w:type="character" w:styleId="WW8Num265z0">
    <w:name w:val="WW8Num265z0"/>
    <w:qFormat/>
    <w:rPr/>
  </w:style>
  <w:style w:type="character" w:styleId="WW8Num266z0">
    <w:name w:val="WW8Num266z0"/>
    <w:qFormat/>
    <w:rPr>
      <w:rFonts w:ascii="Symbol" w:hAnsi="Symbol" w:cs="Symbol"/>
    </w:rPr>
  </w:style>
  <w:style w:type="character" w:styleId="WW8Num267z0">
    <w:name w:val="WW8Num267z0"/>
    <w:qFormat/>
    <w:rPr>
      <w:rFonts w:ascii="Symbol" w:hAnsi="Symbol" w:cs="Symbol"/>
    </w:rPr>
  </w:style>
  <w:style w:type="character" w:styleId="WW8Num268z0">
    <w:name w:val="WW8Num268z0"/>
    <w:qFormat/>
    <w:rPr>
      <w:rFonts w:ascii="Symbol" w:hAnsi="Symbol" w:cs="Symbol"/>
    </w:rPr>
  </w:style>
  <w:style w:type="character" w:styleId="WW8Num269z0">
    <w:name w:val="WW8Num269z0"/>
    <w:qFormat/>
    <w:rPr/>
  </w:style>
  <w:style w:type="character" w:styleId="WW8Num271z0">
    <w:name w:val="WW8Num271z0"/>
    <w:qFormat/>
    <w:rPr>
      <w:rFonts w:ascii="Symbol" w:hAnsi="Symbol" w:cs="Symbol"/>
    </w:rPr>
  </w:style>
  <w:style w:type="character" w:styleId="WW8Num272z0">
    <w:name w:val="WW8Num272z0"/>
    <w:qFormat/>
    <w:rPr>
      <w:rFonts w:ascii="Wingdings" w:hAnsi="Wingdings" w:cs="Wingdings"/>
    </w:rPr>
  </w:style>
  <w:style w:type="character" w:styleId="WW8Num273z0">
    <w:name w:val="WW8Num273z0"/>
    <w:qFormat/>
    <w:rPr/>
  </w:style>
  <w:style w:type="character" w:styleId="WW8Num274z0">
    <w:name w:val="WW8Num274z0"/>
    <w:qFormat/>
    <w:rPr/>
  </w:style>
  <w:style w:type="character" w:styleId="WW8Num275z0">
    <w:name w:val="WW8Num275z0"/>
    <w:qFormat/>
    <w:rPr>
      <w:rFonts w:ascii="Symbol" w:hAnsi="Symbol" w:cs="Symbol"/>
      <w:color w:val="auto"/>
    </w:rPr>
  </w:style>
  <w:style w:type="character" w:styleId="WW8Num276z0">
    <w:name w:val="WW8Num276z0"/>
    <w:qFormat/>
    <w:rPr>
      <w:rFonts w:ascii="Symbol" w:hAnsi="Symbol" w:cs="Symbol"/>
    </w:rPr>
  </w:style>
  <w:style w:type="character" w:styleId="WW8Num280z0">
    <w:name w:val="WW8Num280z0"/>
    <w:qFormat/>
    <w:rPr>
      <w:rFonts w:ascii="Symbol" w:hAnsi="Symbol" w:cs="Symbol"/>
    </w:rPr>
  </w:style>
  <w:style w:type="character" w:styleId="WW8Num281z0">
    <w:name w:val="WW8Num281z0"/>
    <w:qFormat/>
    <w:rPr>
      <w:rFonts w:ascii="Symbol" w:hAnsi="Symbol" w:cs="Symbol"/>
    </w:rPr>
  </w:style>
  <w:style w:type="character" w:styleId="WW8Num282z0">
    <w:name w:val="WW8Num282z0"/>
    <w:qFormat/>
    <w:rPr/>
  </w:style>
  <w:style w:type="character" w:styleId="WW8Num283z0">
    <w:name w:val="WW8Num283z0"/>
    <w:qFormat/>
    <w:rPr>
      <w:rFonts w:ascii="Times New Roman" w:hAnsi="Times New Roman" w:cs="Times New Roman"/>
      <w:b w:val="false"/>
      <w:i w:val="false"/>
      <w:color w:val="auto"/>
      <w:sz w:val="24"/>
      <w:vertAlign w:val="subscript"/>
    </w:rPr>
  </w:style>
  <w:style w:type="character" w:styleId="WW8Num284z0">
    <w:name w:val="WW8Num284z0"/>
    <w:qFormat/>
    <w:rPr>
      <w:rFonts w:ascii="Symbol" w:hAnsi="Symbol" w:cs="Symbol"/>
    </w:rPr>
  </w:style>
  <w:style w:type="character" w:styleId="WW8Num285z0">
    <w:name w:val="WW8Num285z0"/>
    <w:qFormat/>
    <w:rPr>
      <w:rFonts w:ascii="Symbol" w:hAnsi="Symbol" w:cs="Symbol"/>
    </w:rPr>
  </w:style>
  <w:style w:type="character" w:styleId="WW8Num286z0">
    <w:name w:val="WW8Num286z0"/>
    <w:qFormat/>
    <w:rPr>
      <w:rFonts w:ascii="Symbol" w:hAnsi="Symbol" w:cs="Symbol"/>
    </w:rPr>
  </w:style>
  <w:style w:type="character" w:styleId="WW8Num287z0">
    <w:name w:val="WW8Num287z0"/>
    <w:qFormat/>
    <w:rPr>
      <w:rFonts w:ascii="Symbol" w:hAnsi="Symbol" w:cs="Symbol"/>
    </w:rPr>
  </w:style>
  <w:style w:type="character" w:styleId="WW8Num289z0">
    <w:name w:val="WW8Num289z0"/>
    <w:qFormat/>
    <w:rPr>
      <w:rFonts w:ascii="Symbol" w:hAnsi="Symbol" w:cs="Symbol"/>
    </w:rPr>
  </w:style>
  <w:style w:type="character" w:styleId="WW8Num290z0">
    <w:name w:val="WW8Num290z0"/>
    <w:qFormat/>
    <w:rPr>
      <w:rFonts w:ascii="Symbol" w:hAnsi="Symbol" w:cs="Symbol"/>
    </w:rPr>
  </w:style>
  <w:style w:type="character" w:styleId="WW8Num291z0">
    <w:name w:val="WW8Num291z0"/>
    <w:qFormat/>
    <w:rPr>
      <w:rFonts w:ascii="Wingdings 3;Symbol" w:hAnsi="Wingdings 3;Symbol" w:cs="Wingdings 3;Symbol"/>
      <w:b w:val="false"/>
      <w:i w:val="false"/>
      <w:color w:val="800000"/>
      <w:position w:val="0"/>
      <w:sz w:val="32"/>
      <w:sz w:val="32"/>
      <w:vertAlign w:val="baseline"/>
    </w:rPr>
  </w:style>
  <w:style w:type="character" w:styleId="WW8Num293z0">
    <w:name w:val="WW8Num293z0"/>
    <w:qFormat/>
    <w:rPr>
      <w:rFonts w:ascii="Symbol" w:hAnsi="Symbol" w:cs="Symbol"/>
    </w:rPr>
  </w:style>
  <w:style w:type="character" w:styleId="WW8Num296z0">
    <w:name w:val="WW8Num296z0"/>
    <w:qFormat/>
    <w:rPr>
      <w:rFonts w:ascii="Wingdings" w:hAnsi="Wingdings" w:cs="Wingdings"/>
    </w:rPr>
  </w:style>
  <w:style w:type="character" w:styleId="WW8Num297z0">
    <w:name w:val="WW8Num297z0"/>
    <w:qFormat/>
    <w:rPr>
      <w:rFonts w:ascii="Symbol" w:hAnsi="Symbol" w:cs="Symbol"/>
    </w:rPr>
  </w:style>
  <w:style w:type="character" w:styleId="WW8Num300z0">
    <w:name w:val="WW8Num300z0"/>
    <w:qFormat/>
    <w:rPr/>
  </w:style>
  <w:style w:type="character" w:styleId="WW8Num301z0">
    <w:name w:val="WW8Num301z0"/>
    <w:qFormat/>
    <w:rPr>
      <w:rFonts w:ascii="Symbol" w:hAnsi="Symbol" w:cs="Symbol"/>
    </w:rPr>
  </w:style>
  <w:style w:type="character" w:styleId="WW8Num303z0">
    <w:name w:val="WW8Num303z0"/>
    <w:qFormat/>
    <w:rPr/>
  </w:style>
  <w:style w:type="character" w:styleId="WW8Num304z0">
    <w:name w:val="WW8Num304z0"/>
    <w:qFormat/>
    <w:rPr>
      <w:rFonts w:ascii="Symbol" w:hAnsi="Symbol" w:cs="Symbol"/>
    </w:rPr>
  </w:style>
  <w:style w:type="character" w:styleId="WW8Num305z0">
    <w:name w:val="WW8Num305z0"/>
    <w:qFormat/>
    <w:rPr>
      <w:rFonts w:ascii="Symbol" w:hAnsi="Symbol" w:cs="Symbol"/>
    </w:rPr>
  </w:style>
  <w:style w:type="character" w:styleId="WW8Num306z0">
    <w:name w:val="WW8Num306z0"/>
    <w:qFormat/>
    <w:rPr>
      <w:rFonts w:ascii="Wingdings" w:hAnsi="Wingdings" w:cs="Wingdings"/>
    </w:rPr>
  </w:style>
  <w:style w:type="character" w:styleId="WW8Num307z0">
    <w:name w:val="WW8Num307z0"/>
    <w:qFormat/>
    <w:rPr>
      <w:rFonts w:ascii="Symbol" w:hAnsi="Symbol" w:cs="Symbol"/>
    </w:rPr>
  </w:style>
  <w:style w:type="character" w:styleId="WW8Num308z0">
    <w:name w:val="WW8Num308z0"/>
    <w:qFormat/>
    <w:rPr/>
  </w:style>
  <w:style w:type="character" w:styleId="WW8Num309z0">
    <w:name w:val="WW8Num309z0"/>
    <w:qFormat/>
    <w:rPr>
      <w:rFonts w:ascii="NewspaperPi BT;Symbol" w:hAnsi="NewspaperPi BT;Symbol" w:cs="NewspaperPi BT;Symbol"/>
      <w:b w:val="false"/>
      <w:i w:val="false"/>
      <w:sz w:val="18"/>
    </w:rPr>
  </w:style>
  <w:style w:type="character" w:styleId="WW8Num310z0">
    <w:name w:val="WW8Num310z0"/>
    <w:qFormat/>
    <w:rPr>
      <w:rFonts w:ascii="Monotype Sorts" w:hAnsi="Monotype Sorts" w:cs="Monotype Sorts"/>
      <w:b w:val="false"/>
      <w:i w:val="false"/>
      <w:color w:val="008000"/>
      <w:position w:val="0"/>
      <w:sz w:val="22"/>
      <w:sz w:val="22"/>
      <w:vertAlign w:val="baseline"/>
    </w:rPr>
  </w:style>
  <w:style w:type="character" w:styleId="WW8Num311z0">
    <w:name w:val="WW8Num311z0"/>
    <w:qFormat/>
    <w:rPr/>
  </w:style>
  <w:style w:type="character" w:styleId="WW8Num312z0">
    <w:name w:val="WW8Num312z0"/>
    <w:qFormat/>
    <w:rPr/>
  </w:style>
  <w:style w:type="character" w:styleId="WW8Num313z0">
    <w:name w:val="WW8Num313z0"/>
    <w:qFormat/>
    <w:rPr>
      <w:rFonts w:ascii="Symbol" w:hAnsi="Symbol" w:cs="Symbol"/>
    </w:rPr>
  </w:style>
  <w:style w:type="character" w:styleId="WW8Num314z0">
    <w:name w:val="WW8Num314z0"/>
    <w:qFormat/>
    <w:rPr/>
  </w:style>
  <w:style w:type="character" w:styleId="WW8Num315z0">
    <w:name w:val="WW8Num315z0"/>
    <w:qFormat/>
    <w:rPr>
      <w:rFonts w:ascii="Times New Roman" w:hAnsi="Times New Roman" w:cs="Times New Roman"/>
      <w:b/>
      <w:i w:val="false"/>
      <w:sz w:val="28"/>
    </w:rPr>
  </w:style>
  <w:style w:type="character" w:styleId="WW8Num316z0">
    <w:name w:val="WW8Num316z0"/>
    <w:qFormat/>
    <w:rPr>
      <w:rFonts w:ascii="Wingdings" w:hAnsi="Wingdings" w:cs="Wingdings"/>
    </w:rPr>
  </w:style>
  <w:style w:type="character" w:styleId="WW8Num317z0">
    <w:name w:val="WW8Num317z0"/>
    <w:qFormat/>
    <w:rPr/>
  </w:style>
  <w:style w:type="character" w:styleId="WW8Num319z0">
    <w:name w:val="WW8Num319z0"/>
    <w:qFormat/>
    <w:rPr/>
  </w:style>
  <w:style w:type="character" w:styleId="WW8Num320z0">
    <w:name w:val="WW8Num320z0"/>
    <w:qFormat/>
    <w:rPr/>
  </w:style>
  <w:style w:type="character" w:styleId="WW8Num321z0">
    <w:name w:val="WW8Num321z0"/>
    <w:qFormat/>
    <w:rPr>
      <w:rFonts w:ascii="Symbol" w:hAnsi="Symbol" w:cs="Symbol"/>
    </w:rPr>
  </w:style>
  <w:style w:type="character" w:styleId="WW8Num322z0">
    <w:name w:val="WW8Num322z0"/>
    <w:qFormat/>
    <w:rPr>
      <w:rFonts w:ascii="Symbol" w:hAnsi="Symbol" w:cs="Symbol"/>
    </w:rPr>
  </w:style>
  <w:style w:type="character" w:styleId="WW8Num324z0">
    <w:name w:val="WW8Num324z0"/>
    <w:qFormat/>
    <w:rPr>
      <w:rFonts w:ascii="Symbol" w:hAnsi="Symbol" w:cs="Symbol"/>
    </w:rPr>
  </w:style>
  <w:style w:type="character" w:styleId="WW8Num325z0">
    <w:name w:val="WW8Num325z0"/>
    <w:qFormat/>
    <w:rPr>
      <w:rFonts w:ascii="Symbol" w:hAnsi="Symbol" w:cs="Symbol"/>
    </w:rPr>
  </w:style>
  <w:style w:type="character" w:styleId="WW8Num326z0">
    <w:name w:val="WW8Num326z0"/>
    <w:qFormat/>
    <w:rPr>
      <w:rFonts w:ascii="Symbol" w:hAnsi="Symbol" w:cs="Symbol"/>
    </w:rPr>
  </w:style>
  <w:style w:type="character" w:styleId="WW8Num329z0">
    <w:name w:val="WW8Num329z0"/>
    <w:qFormat/>
    <w:rPr>
      <w:rFonts w:ascii="Symbol" w:hAnsi="Symbol" w:cs="Symbol"/>
    </w:rPr>
  </w:style>
  <w:style w:type="character" w:styleId="WW8Num330z0">
    <w:name w:val="WW8Num330z0"/>
    <w:qFormat/>
    <w:rPr>
      <w:rFonts w:ascii="Symbol" w:hAnsi="Symbol" w:cs="Symbol"/>
    </w:rPr>
  </w:style>
  <w:style w:type="character" w:styleId="WW8Num331z0">
    <w:name w:val="WW8Num331z0"/>
    <w:qFormat/>
    <w:rPr>
      <w:rFonts w:ascii="Symbol" w:hAnsi="Symbol" w:cs="Symbol"/>
    </w:rPr>
  </w:style>
  <w:style w:type="character" w:styleId="WW8Num332z0">
    <w:name w:val="WW8Num332z0"/>
    <w:qFormat/>
    <w:rPr>
      <w:rFonts w:ascii="Symbol" w:hAnsi="Symbol" w:cs="Symbol"/>
    </w:rPr>
  </w:style>
  <w:style w:type="character" w:styleId="WW8Num333z0">
    <w:name w:val="WW8Num333z0"/>
    <w:qFormat/>
    <w:rPr>
      <w:rFonts w:ascii="Symbol" w:hAnsi="Symbol" w:cs="Symbol"/>
    </w:rPr>
  </w:style>
  <w:style w:type="character" w:styleId="WW8Num336z0">
    <w:name w:val="WW8Num336z0"/>
    <w:qFormat/>
    <w:rPr>
      <w:rFonts w:ascii="Symbol" w:hAnsi="Symbol" w:cs="Symbol"/>
    </w:rPr>
  </w:style>
  <w:style w:type="character" w:styleId="WW8Num337z0">
    <w:name w:val="WW8Num337z0"/>
    <w:qFormat/>
    <w:rPr/>
  </w:style>
  <w:style w:type="character" w:styleId="WW8Num338z0">
    <w:name w:val="WW8Num338z0"/>
    <w:qFormat/>
    <w:rPr>
      <w:rFonts w:ascii="Monotype Sorts" w:hAnsi="Monotype Sorts" w:cs="Monotype Sorts"/>
      <w:b w:val="false"/>
      <w:i w:val="false"/>
      <w:color w:val="800000"/>
      <w:kern w:val="0"/>
      <w:position w:val="0"/>
      <w:sz w:val="22"/>
      <w:sz w:val="22"/>
      <w:vertAlign w:val="baseline"/>
    </w:rPr>
  </w:style>
  <w:style w:type="character" w:styleId="WW8Num339z0">
    <w:name w:val="WW8Num339z0"/>
    <w:qFormat/>
    <w:rPr>
      <w:rFonts w:ascii="Symbol" w:hAnsi="Symbol" w:cs="Symbol"/>
    </w:rPr>
  </w:style>
  <w:style w:type="character" w:styleId="WW8Num340z0">
    <w:name w:val="WW8Num340z0"/>
    <w:qFormat/>
    <w:rPr>
      <w:rFonts w:ascii="Symbol" w:hAnsi="Symbol" w:cs="Symbol"/>
    </w:rPr>
  </w:style>
  <w:style w:type="character" w:styleId="WW8Num341z0">
    <w:name w:val="WW8Num341z0"/>
    <w:qFormat/>
    <w:rPr/>
  </w:style>
  <w:style w:type="character" w:styleId="WW8Num342z0">
    <w:name w:val="WW8Num342z0"/>
    <w:qFormat/>
    <w:rPr/>
  </w:style>
  <w:style w:type="character" w:styleId="WW8Num343z0">
    <w:name w:val="WW8Num343z0"/>
    <w:qFormat/>
    <w:rPr>
      <w:rFonts w:ascii="NewspaperPi BT;Symbol" w:hAnsi="NewspaperPi BT;Symbol" w:cs="NewspaperPi BT;Symbol"/>
      <w:b w:val="false"/>
      <w:i w:val="false"/>
      <w:sz w:val="18"/>
    </w:rPr>
  </w:style>
  <w:style w:type="character" w:styleId="WW8Num344z0">
    <w:name w:val="WW8Num344z0"/>
    <w:qFormat/>
    <w:rPr/>
  </w:style>
  <w:style w:type="character" w:styleId="WW8Num345z0">
    <w:name w:val="WW8Num345z0"/>
    <w:qFormat/>
    <w:rPr>
      <w:rFonts w:ascii="Symbol" w:hAnsi="Symbol" w:cs="Symbol"/>
    </w:rPr>
  </w:style>
  <w:style w:type="character" w:styleId="WW8Num346z0">
    <w:name w:val="WW8Num346z0"/>
    <w:qFormat/>
    <w:rPr>
      <w:rFonts w:ascii="Symbol" w:hAnsi="Symbol" w:cs="Symbol"/>
    </w:rPr>
  </w:style>
  <w:style w:type="character" w:styleId="WW8Num347z0">
    <w:name w:val="WW8Num347z0"/>
    <w:qFormat/>
    <w:rPr>
      <w:rFonts w:ascii="Symbol" w:hAnsi="Symbol" w:cs="Symbol"/>
    </w:rPr>
  </w:style>
  <w:style w:type="character" w:styleId="WW8Num348z0">
    <w:name w:val="WW8Num348z0"/>
    <w:qFormat/>
    <w:rPr>
      <w:rFonts w:ascii="Symbol" w:hAnsi="Symbol" w:cs="Symbol"/>
    </w:rPr>
  </w:style>
  <w:style w:type="character" w:styleId="WW8Num349z0">
    <w:name w:val="WW8Num349z0"/>
    <w:qFormat/>
    <w:rPr/>
  </w:style>
  <w:style w:type="character" w:styleId="WW8Num350z0">
    <w:name w:val="WW8Num350z0"/>
    <w:qFormat/>
    <w:rPr>
      <w:rFonts w:ascii="NewspaperPi BT;Symbol" w:hAnsi="NewspaperPi BT;Symbol" w:cs="NewspaperPi BT;Symbol"/>
      <w:b w:val="false"/>
      <w:i w:val="false"/>
      <w:sz w:val="18"/>
    </w:rPr>
  </w:style>
  <w:style w:type="character" w:styleId="WW8Num351z0">
    <w:name w:val="WW8Num351z0"/>
    <w:qFormat/>
    <w:rPr>
      <w:b/>
    </w:rPr>
  </w:style>
  <w:style w:type="character" w:styleId="WW8Num352z0">
    <w:name w:val="WW8Num352z0"/>
    <w:qFormat/>
    <w:rPr>
      <w:rFonts w:ascii="Symbol" w:hAnsi="Symbol" w:cs="Symbol"/>
    </w:rPr>
  </w:style>
  <w:style w:type="character" w:styleId="WW8Num353z0">
    <w:name w:val="WW8Num353z0"/>
    <w:qFormat/>
    <w:rPr>
      <w:rFonts w:ascii="Symbol" w:hAnsi="Symbol" w:cs="Symbol"/>
    </w:rPr>
  </w:style>
  <w:style w:type="character" w:styleId="WW8Num354z0">
    <w:name w:val="WW8Num354z0"/>
    <w:qFormat/>
    <w:rPr/>
  </w:style>
  <w:style w:type="character" w:styleId="WW8Num357z0">
    <w:name w:val="WW8Num357z0"/>
    <w:qFormat/>
    <w:rPr>
      <w:rFonts w:ascii="Symbol" w:hAnsi="Symbol" w:cs="Symbol"/>
      <w:color w:val="008000"/>
    </w:rPr>
  </w:style>
  <w:style w:type="character" w:styleId="WW8Num358z0">
    <w:name w:val="WW8Num358z0"/>
    <w:qFormat/>
    <w:rPr>
      <w:rFonts w:ascii="NewspaperPi BT;Symbol" w:hAnsi="NewspaperPi BT;Symbol" w:cs="NewspaperPi BT;Symbol"/>
      <w:b w:val="false"/>
      <w:i w:val="false"/>
      <w:sz w:val="18"/>
    </w:rPr>
  </w:style>
  <w:style w:type="character" w:styleId="WW8Num359z0">
    <w:name w:val="WW8Num359z0"/>
    <w:qFormat/>
    <w:rPr>
      <w:rFonts w:ascii="Symbol" w:hAnsi="Symbol" w:cs="Symbol"/>
    </w:rPr>
  </w:style>
  <w:style w:type="character" w:styleId="WW8Num360z0">
    <w:name w:val="WW8Num360z0"/>
    <w:qFormat/>
    <w:rPr>
      <w:rFonts w:ascii="Symbol" w:hAnsi="Symbol" w:cs="Symbol"/>
    </w:rPr>
  </w:style>
  <w:style w:type="character" w:styleId="WW8Num361z0">
    <w:name w:val="WW8Num361z0"/>
    <w:qFormat/>
    <w:rPr/>
  </w:style>
  <w:style w:type="character" w:styleId="WW8Num362z0">
    <w:name w:val="WW8Num362z0"/>
    <w:qFormat/>
    <w:rPr/>
  </w:style>
  <w:style w:type="character" w:styleId="WW8Num363z0">
    <w:name w:val="WW8Num363z0"/>
    <w:qFormat/>
    <w:rPr>
      <w:rFonts w:ascii="Symbol" w:hAnsi="Symbol" w:cs="Symbol"/>
    </w:rPr>
  </w:style>
  <w:style w:type="character" w:styleId="WW8Num364z0">
    <w:name w:val="WW8Num364z0"/>
    <w:qFormat/>
    <w:rPr>
      <w:rFonts w:ascii="Symbol" w:hAnsi="Symbol" w:cs="Symbol"/>
    </w:rPr>
  </w:style>
  <w:style w:type="character" w:styleId="WW8Num365z0">
    <w:name w:val="WW8Num365z0"/>
    <w:qFormat/>
    <w:rPr>
      <w:rFonts w:ascii="Symbol" w:hAnsi="Symbol" w:cs="Symbol"/>
    </w:rPr>
  </w:style>
  <w:style w:type="character" w:styleId="WW8Num366z0">
    <w:name w:val="WW8Num366z0"/>
    <w:qFormat/>
    <w:rPr>
      <w:rFonts w:ascii="Symbol" w:hAnsi="Symbol" w:cs="Symbol"/>
    </w:rPr>
  </w:style>
  <w:style w:type="character" w:styleId="WW8Num368z0">
    <w:name w:val="WW8Num368z0"/>
    <w:qFormat/>
    <w:rPr>
      <w:rFonts w:ascii="NewspaperPi BT;Symbol" w:hAnsi="NewspaperPi BT;Symbol" w:cs="NewspaperPi BT;Symbol"/>
      <w:b w:val="false"/>
      <w:i w:val="false"/>
      <w:sz w:val="18"/>
    </w:rPr>
  </w:style>
  <w:style w:type="character" w:styleId="WW8Num369z0">
    <w:name w:val="WW8Num369z0"/>
    <w:qFormat/>
    <w:rPr>
      <w:rFonts w:ascii="Symbol" w:hAnsi="Symbol" w:cs="Symbol"/>
    </w:rPr>
  </w:style>
  <w:style w:type="character" w:styleId="WW8Num370z0">
    <w:name w:val="WW8Num370z0"/>
    <w:qFormat/>
    <w:rPr>
      <w:rFonts w:ascii="Symbol" w:hAnsi="Symbol" w:cs="Symbol"/>
    </w:rPr>
  </w:style>
  <w:style w:type="character" w:styleId="WW8Num372z0">
    <w:name w:val="WW8Num372z0"/>
    <w:qFormat/>
    <w:rPr>
      <w:rFonts w:ascii="Symbol" w:hAnsi="Symbol" w:cs="Symbol"/>
    </w:rPr>
  </w:style>
  <w:style w:type="character" w:styleId="WW8Num373z0">
    <w:name w:val="WW8Num373z0"/>
    <w:qFormat/>
    <w:rPr/>
  </w:style>
  <w:style w:type="character" w:styleId="WW8Num375z0">
    <w:name w:val="WW8Num375z0"/>
    <w:qFormat/>
    <w:rPr>
      <w:rFonts w:ascii="Symbol" w:hAnsi="Symbol" w:cs="Symbol"/>
      <w:color w:val="auto"/>
      <w:sz w:val="28"/>
    </w:rPr>
  </w:style>
  <w:style w:type="character" w:styleId="WW8Num376z0">
    <w:name w:val="WW8Num376z0"/>
    <w:qFormat/>
    <w:rPr>
      <w:rFonts w:ascii="Times New Roman" w:hAnsi="Times New Roman" w:cs="Times New Roman"/>
      <w:b/>
      <w:i w:val="false"/>
      <w:sz w:val="24"/>
    </w:rPr>
  </w:style>
  <w:style w:type="character" w:styleId="WW8Num377z0">
    <w:name w:val="WW8Num377z0"/>
    <w:qFormat/>
    <w:rPr>
      <w:rFonts w:ascii="Symbol" w:hAnsi="Symbol" w:cs="Symbol"/>
    </w:rPr>
  </w:style>
  <w:style w:type="character" w:styleId="WW8Num378z0">
    <w:name w:val="WW8Num378z0"/>
    <w:qFormat/>
    <w:rPr>
      <w:rFonts w:ascii="Symbol" w:hAnsi="Symbol" w:cs="Symbol"/>
    </w:rPr>
  </w:style>
  <w:style w:type="character" w:styleId="WW8Num379z0">
    <w:name w:val="WW8Num379z0"/>
    <w:qFormat/>
    <w:rPr>
      <w:rFonts w:ascii="Symbol" w:hAnsi="Symbol" w:cs="Symbol"/>
    </w:rPr>
  </w:style>
  <w:style w:type="character" w:styleId="WW8Num380z0">
    <w:name w:val="WW8Num380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380z1">
    <w:name w:val="WW8Num380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380z2">
    <w:name w:val="WW8Num380z2"/>
    <w:qFormat/>
    <w:rPr>
      <w:rFonts w:ascii="Times New Roman" w:hAnsi="Times New Roman" w:cs="Times New Roman"/>
      <w:b/>
      <w:i w:val="false"/>
      <w:caps w:val="false"/>
      <w:smallCaps w:val="false"/>
      <w:strike w:val="false"/>
      <w:dstrike w:val="false"/>
      <w:outline w:val="false"/>
      <w:shadow w:val="false"/>
      <w:vanish w:val="false"/>
      <w:color w:val="auto"/>
      <w:position w:val="0"/>
      <w:sz w:val="22"/>
      <w:sz w:val="22"/>
      <w:vertAlign w:val="baseline"/>
    </w:rPr>
  </w:style>
  <w:style w:type="character" w:styleId="WW8Num380z3">
    <w:name w:val="WW8Num380z3"/>
    <w:qFormat/>
    <w:rPr>
      <w:rFonts w:ascii="Times New Roman" w:hAnsi="Times New Roman" w:cs="Times New Roman"/>
      <w:b/>
      <w:i/>
      <w:caps w:val="false"/>
      <w:smallCaps w:val="false"/>
      <w:strike w:val="false"/>
      <w:dstrike w:val="false"/>
      <w:outline w:val="false"/>
      <w:shadow w:val="false"/>
      <w:vanish w:val="false"/>
      <w:color w:val="auto"/>
      <w:position w:val="0"/>
      <w:sz w:val="22"/>
      <w:sz w:val="22"/>
      <w:vertAlign w:val="baseline"/>
    </w:rPr>
  </w:style>
  <w:style w:type="character" w:styleId="WW8Num380z4">
    <w:name w:val="WW8Num380z4"/>
    <w:qFormat/>
    <w:rPr>
      <w:b w:val="false"/>
      <w:i w:val="false"/>
      <w:sz w:val="22"/>
    </w:rPr>
  </w:style>
  <w:style w:type="character" w:styleId="WW8Num380z5">
    <w:name w:val="WW8Num380z5"/>
    <w:qFormat/>
    <w:rPr>
      <w:b w:val="false"/>
      <w:i/>
      <w:caps w:val="false"/>
      <w:smallCaps w:val="false"/>
      <w:strike w:val="false"/>
      <w:dstrike w:val="false"/>
      <w:shadow w:val="false"/>
      <w:vanish w:val="false"/>
      <w:color w:val="auto"/>
      <w:position w:val="0"/>
      <w:sz w:val="22"/>
      <w:sz w:val="22"/>
      <w:vertAlign w:val="baseline"/>
    </w:rPr>
  </w:style>
  <w:style w:type="character" w:styleId="WW8Num381z0">
    <w:name w:val="WW8Num381z0"/>
    <w:qFormat/>
    <w:rPr>
      <w:rFonts w:ascii="Symbol" w:hAnsi="Symbol" w:cs="Symbol"/>
    </w:rPr>
  </w:style>
  <w:style w:type="character" w:styleId="WW8Num382z0">
    <w:name w:val="WW8Num382z0"/>
    <w:qFormat/>
    <w:rPr>
      <w:b/>
    </w:rPr>
  </w:style>
  <w:style w:type="character" w:styleId="WW8Num384z0">
    <w:name w:val="WW8Num384z0"/>
    <w:qFormat/>
    <w:rPr/>
  </w:style>
  <w:style w:type="character" w:styleId="WW8Num385z0">
    <w:name w:val="WW8Num385z0"/>
    <w:qFormat/>
    <w:rPr>
      <w:rFonts w:ascii="Symbol" w:hAnsi="Symbol" w:cs="Symbol"/>
    </w:rPr>
  </w:style>
  <w:style w:type="character" w:styleId="WW8Num386z0">
    <w:name w:val="WW8Num386z0"/>
    <w:qFormat/>
    <w:rPr>
      <w:rFonts w:ascii="Symbol" w:hAnsi="Symbol" w:cs="Symbol"/>
    </w:rPr>
  </w:style>
  <w:style w:type="character" w:styleId="WW8Num387z0">
    <w:name w:val="WW8Num387z0"/>
    <w:qFormat/>
    <w:rPr>
      <w:rFonts w:ascii="Symbol" w:hAnsi="Symbol" w:cs="Symbol"/>
    </w:rPr>
  </w:style>
  <w:style w:type="character" w:styleId="WW8Num389z0">
    <w:name w:val="WW8Num389z0"/>
    <w:qFormat/>
    <w:rPr>
      <w:rFonts w:ascii="Symbol" w:hAnsi="Symbol" w:cs="Symbol"/>
    </w:rPr>
  </w:style>
  <w:style w:type="character" w:styleId="WW8Num390z0">
    <w:name w:val="WW8Num390z0"/>
    <w:qFormat/>
    <w:rPr>
      <w:rFonts w:ascii="Symbol" w:hAnsi="Symbol" w:cs="Symbol"/>
      <w:b w:val="false"/>
      <w:i w:val="false"/>
      <w:sz w:val="20"/>
    </w:rPr>
  </w:style>
  <w:style w:type="character" w:styleId="WW8Num391z0">
    <w:name w:val="WW8Num391z0"/>
    <w:qFormat/>
    <w:rPr>
      <w:rFonts w:ascii="Symbol" w:hAnsi="Symbol" w:cs="Symbol"/>
    </w:rPr>
  </w:style>
  <w:style w:type="character" w:styleId="WW8Num392z0">
    <w:name w:val="WW8Num392z0"/>
    <w:qFormat/>
    <w:rPr>
      <w:rFonts w:ascii="Symbol" w:hAnsi="Symbol" w:cs="Symbol"/>
    </w:rPr>
  </w:style>
  <w:style w:type="character" w:styleId="WW8Num393z0">
    <w:name w:val="WW8Num393z0"/>
    <w:qFormat/>
    <w:rPr>
      <w:rFonts w:ascii="Symbol" w:hAnsi="Symbol" w:cs="Symbol"/>
    </w:rPr>
  </w:style>
  <w:style w:type="character" w:styleId="WW8NumSt302z0">
    <w:name w:val="WW8NumSt302z0"/>
    <w:qFormat/>
    <w:rPr>
      <w:rFonts w:ascii="Symbol" w:hAnsi="Symbol" w:cs="Symbol"/>
      <w:sz w:val="16"/>
    </w:rPr>
  </w:style>
  <w:style w:type="character" w:styleId="WW8NumSt338z0">
    <w:name w:val="WW8NumSt338z0"/>
    <w:qFormat/>
    <w:rPr>
      <w:rFonts w:ascii="Times New Roman" w:hAnsi="Times New Roman" w:cs="Times New Roman"/>
      <w:sz w:val="64"/>
    </w:rPr>
  </w:style>
  <w:style w:type="character" w:styleId="WW8NumSt339z0">
    <w:name w:val="WW8NumSt339z0"/>
    <w:qFormat/>
    <w:rPr>
      <w:rFonts w:ascii="Times New Roman" w:hAnsi="Times New Roman" w:cs="Times New Roman"/>
      <w:sz w:val="56"/>
    </w:rPr>
  </w:style>
  <w:style w:type="character" w:styleId="WW8NumSt340z0">
    <w:name w:val="WW8NumSt340z0"/>
    <w:qFormat/>
    <w:rPr>
      <w:rFonts w:ascii="Times New Roman" w:hAnsi="Times New Roman" w:cs="Times New Roman"/>
      <w:sz w:val="48"/>
    </w:rPr>
  </w:style>
  <w:style w:type="character" w:styleId="WW8NumSt341z0">
    <w:name w:val="WW8NumSt341z0"/>
    <w:qFormat/>
    <w:rPr>
      <w:rFonts w:ascii="Times New Roman" w:hAnsi="Times New Roman" w:cs="Times New Roman"/>
      <w:sz w:val="40"/>
    </w:rPr>
  </w:style>
  <w:style w:type="character" w:styleId="WW8NumSt342z0">
    <w:name w:val="WW8NumSt342z0"/>
    <w:qFormat/>
    <w:rPr>
      <w:rFonts w:ascii="Times New Roman" w:hAnsi="Times New Roman" w:cs="Times New Roman"/>
      <w:sz w:val="40"/>
    </w:rPr>
  </w:style>
  <w:style w:type="character" w:styleId="DefaultParagraphFont">
    <w:name w:val="Default Paragraph Font"/>
    <w:qFormat/>
    <w:rPr/>
  </w:style>
  <w:style w:type="character" w:styleId="PageNumber">
    <w:name w:val="page number"/>
    <w:basedOn w:val="DefaultParagraphFont"/>
    <w:rPr>
      <w:color w:val="auto"/>
      <w:kern w:val="2"/>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pPr>
      <w:widowControl/>
      <w:bidi w:val="0"/>
      <w:spacing w:before="0" w:after="120"/>
      <w:jc w:val="both"/>
    </w:pPr>
    <w:rPr>
      <w:rFonts w:ascii="Times New Roman" w:hAnsi="Times New Roman" w:eastAsia="Times New Roman" w:cs="Times New Roman"/>
      <w:color w:val="auto"/>
      <w:sz w:val="22"/>
      <w:szCs w:val="20"/>
      <w:lang w:val="en-US" w:eastAsia="zh-CN" w:bidi="hi-IN"/>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ing-Level4">
    <w:name w:val="Heading - Level 4"/>
    <w:next w:val="BodyText"/>
    <w:qFormat/>
    <w:pPr>
      <w:keepNext w:val="true"/>
      <w:keepLines/>
      <w:widowControl/>
      <w:bidi w:val="0"/>
      <w:spacing w:before="40" w:after="60"/>
      <w:outlineLvl w:val="5"/>
    </w:pPr>
    <w:rPr>
      <w:rFonts w:ascii="Arial" w:hAnsi="Arial" w:eastAsia="Times New Roman" w:cs="Arial"/>
      <w:b/>
      <w:i/>
      <w:color w:val="auto"/>
      <w:sz w:val="20"/>
      <w:szCs w:val="20"/>
      <w:lang w:val="en-US" w:eastAsia="zh-CN" w:bidi="hi-IN"/>
    </w:rPr>
  </w:style>
  <w:style w:type="paragraph" w:styleId="TOC1">
    <w:name w:val="toc 1"/>
    <w:next w:val="Normal"/>
    <w:pPr>
      <w:keepNext w:val="true"/>
      <w:keepLines/>
      <w:widowControl/>
      <w:numPr>
        <w:ilvl w:val="0"/>
        <w:numId w:val="4"/>
      </w:numPr>
      <w:tabs>
        <w:tab w:val="clear" w:pos="720"/>
        <w:tab w:val="left" w:pos="605" w:leader="none"/>
        <w:tab w:val="right" w:pos="8280" w:leader="none"/>
        <w:tab w:val="right" w:pos="8496" w:leader="none"/>
      </w:tabs>
      <w:bidi w:val="0"/>
      <w:spacing w:before="180" w:after="0"/>
    </w:pPr>
    <w:rPr>
      <w:rFonts w:ascii="Times New Roman" w:hAnsi="Times New Roman" w:eastAsia="Times New Roman" w:cs="Times New Roman"/>
      <w:b/>
      <w:smallCaps/>
      <w:color w:val="auto"/>
      <w:spacing w:val="10"/>
      <w:kern w:val="2"/>
      <w:sz w:val="26"/>
      <w:szCs w:val="20"/>
      <w:lang w:val="en-US" w:eastAsia="zh-CN" w:bidi="hi-IN"/>
    </w:rPr>
  </w:style>
  <w:style w:type="paragraph" w:styleId="Bullet1-Heavy">
    <w:name w:val="Bullet 1 - Heavy"/>
    <w:next w:val="Normal"/>
    <w:qFormat/>
    <w:pPr>
      <w:widowControl/>
      <w:numPr>
        <w:ilvl w:val="0"/>
        <w:numId w:val="9"/>
      </w:numPr>
      <w:tabs>
        <w:tab w:val="clear" w:pos="720"/>
        <w:tab w:val="left" w:pos="302" w:leader="none"/>
      </w:tabs>
      <w:bidi w:val="0"/>
      <w:spacing w:before="60" w:after="60"/>
      <w:jc w:val="both"/>
      <w:outlineLvl w:val="5"/>
    </w:pPr>
    <w:rPr>
      <w:rFonts w:ascii="Arial" w:hAnsi="Arial" w:eastAsia="Times New Roman" w:cs="Arial"/>
      <w:b/>
      <w:color w:val="auto"/>
      <w:sz w:val="21"/>
      <w:szCs w:val="20"/>
      <w:lang w:val="en-US" w:eastAsia="zh-CN" w:bidi="hi-IN"/>
    </w:rPr>
  </w:style>
  <w:style w:type="paragraph" w:styleId="Bullet1-HeavyinTable">
    <w:name w:val="Bullet 1 - Heavy (in Table)"/>
    <w:next w:val="TableMatrixText"/>
    <w:qFormat/>
    <w:pPr>
      <w:widowControl/>
      <w:numPr>
        <w:ilvl w:val="0"/>
        <w:numId w:val="6"/>
      </w:numPr>
      <w:tabs>
        <w:tab w:val="clear" w:pos="720"/>
        <w:tab w:val="left" w:pos="446" w:leader="none"/>
      </w:tabs>
      <w:bidi w:val="0"/>
      <w:spacing w:before="40" w:after="40"/>
      <w:ind w:hanging="0" w:start="446" w:end="144"/>
    </w:pPr>
    <w:rPr>
      <w:rFonts w:ascii="Arial" w:hAnsi="Arial" w:eastAsia="Times New Roman" w:cs="Arial"/>
      <w:b/>
      <w:color w:val="auto"/>
      <w:kern w:val="2"/>
      <w:sz w:val="17"/>
      <w:szCs w:val="20"/>
      <w:lang w:val="en-US" w:eastAsia="zh-CN" w:bidi="hi-IN"/>
    </w:rPr>
  </w:style>
  <w:style w:type="paragraph" w:styleId="TableMatrixText">
    <w:name w:val="TableMatrix Text"/>
    <w:qFormat/>
    <w:pPr>
      <w:widowControl/>
      <w:bidi w:val="0"/>
      <w:spacing w:before="100" w:after="100"/>
      <w:ind w:hanging="0" w:start="144" w:end="144"/>
    </w:pPr>
    <w:rPr>
      <w:rFonts w:ascii="Times New Roman" w:hAnsi="Times New Roman" w:eastAsia="Times New Roman" w:cs="Times New Roman"/>
      <w:color w:val="auto"/>
      <w:sz w:val="18"/>
      <w:szCs w:val="20"/>
      <w:lang w:val="en-US" w:eastAsia="zh-CN" w:bidi="hi-IN"/>
    </w:rPr>
  </w:style>
  <w:style w:type="paragraph" w:styleId="Bullet1-Soft">
    <w:name w:val="Bullet 1 - Soft"/>
    <w:basedOn w:val="Bullet1-Heavy"/>
    <w:next w:val="Normal"/>
    <w:qFormat/>
    <w:pPr>
      <w:numPr>
        <w:ilvl w:val="0"/>
        <w:numId w:val="9"/>
      </w:numPr>
    </w:pPr>
    <w:rPr>
      <w:rFonts w:ascii="Times New Roman" w:hAnsi="Times New Roman" w:cs="Times New Roman"/>
      <w:b w:val="false"/>
      <w:sz w:val="22"/>
    </w:rPr>
  </w:style>
  <w:style w:type="paragraph" w:styleId="A0b">
    <w:name w:val="A:0:b"/>
    <w:basedOn w:val="Normal"/>
    <w:qFormat/>
    <w:pPr>
      <w:numPr>
        <w:ilvl w:val="0"/>
        <w:numId w:val="7"/>
      </w:numPr>
      <w:spacing w:before="100" w:after="100"/>
    </w:pPr>
    <w:rPr>
      <w:rFonts w:ascii="Arial" w:hAnsi="Arial" w:cs="Arial"/>
    </w:rPr>
  </w:style>
  <w:style w:type="paragraph" w:styleId="A0bbox">
    <w:name w:val="A:0:bbox"/>
    <w:basedOn w:val="Normal"/>
    <w:qFormat/>
    <w:pPr>
      <w:numPr>
        <w:ilvl w:val="0"/>
        <w:numId w:val="2"/>
      </w:numPr>
      <w:spacing w:before="100" w:after="100"/>
    </w:pPr>
    <w:rPr>
      <w:rFonts w:ascii="Arial" w:hAnsi="Arial" w:cs="Arial"/>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ableAdvColHd">
    <w:name w:val="TableAdv Col Hd"/>
    <w:qFormat/>
    <w:pPr>
      <w:keepNext w:val="true"/>
      <w:keepLines/>
      <w:widowControl/>
      <w:bidi w:val="0"/>
      <w:spacing w:before="0" w:after="120"/>
    </w:pPr>
    <w:rPr>
      <w:rFonts w:ascii="Arial" w:hAnsi="Arial" w:eastAsia="Times New Roman" w:cs="Arial"/>
      <w:b/>
      <w:color w:val="008000"/>
      <w:kern w:val="2"/>
      <w:sz w:val="32"/>
      <w:szCs w:val="20"/>
      <w:lang w:val="en-US" w:eastAsia="zh-CN" w:bidi="hi-IN"/>
    </w:rPr>
  </w:style>
  <w:style w:type="paragraph" w:styleId="TableDisColHd">
    <w:name w:val="TableDis Col Hd"/>
    <w:basedOn w:val="TableAdvColHd"/>
    <w:qFormat/>
    <w:pPr/>
    <w:rPr>
      <w:color w:val="800000"/>
    </w:rPr>
  </w:style>
  <w:style w:type="paragraph" w:styleId="TableImpColHd">
    <w:name w:val="TableImp Col Hd"/>
    <w:basedOn w:val="TableDisColHd"/>
    <w:qFormat/>
    <w:pPr/>
    <w:rPr>
      <w:color w:val="auto"/>
    </w:rPr>
  </w:style>
  <w:style w:type="paragraph" w:styleId="DLJCoverPage2">
    <w:name w:val="DLJ Cover Page 2"/>
    <w:qFormat/>
    <w:pPr>
      <w:widowControl/>
      <w:bidi w:val="0"/>
    </w:pPr>
    <w:rPr>
      <w:rFonts w:ascii="Palatino" w:hAnsi="Palatino" w:eastAsia="Times New Roman" w:cs="Palatino"/>
      <w:b/>
      <w:color w:val="auto"/>
      <w:sz w:val="28"/>
      <w:szCs w:val="20"/>
      <w:lang w:val="en-US" w:eastAsia="zh-CN" w:bidi="hi-I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eastAsia="zh-CN" w:bidi="hi-I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eastAsia="zh-CN" w:bidi="hi-IN"/>
    </w:rPr>
  </w:style>
  <w:style w:type="paragraph" w:styleId="FooterUSPortrait">
    <w:name w:val="Footer US Portrait"/>
    <w:qFormat/>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BodyText2">
    <w:name w:val="Body Text 2"/>
    <w:basedOn w:val="Normal"/>
    <w:qFormat/>
    <w:pPr>
      <w:spacing w:before="0" w:after="120"/>
      <w:jc w:val="both"/>
    </w:pPr>
    <w:rPr>
      <w:sz w:val="23"/>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HeaderandFooter"/>
    <w:pPr>
      <w:suppressLineNumber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 w:type="numbering" w:styleId="WW8Num385">
    <w:name w:val="WW8Num385"/>
    <w:qFormat/>
  </w:style>
  <w:style w:type="numbering" w:styleId="WW8Num386">
    <w:name w:val="WW8Num386"/>
    <w:qFormat/>
  </w:style>
  <w:style w:type="numbering" w:styleId="WW8Num387">
    <w:name w:val="WW8Num387"/>
    <w:qFormat/>
  </w:style>
  <w:style w:type="numbering" w:styleId="WW8Num388">
    <w:name w:val="WW8Num388"/>
    <w:qFormat/>
  </w:style>
  <w:style w:type="numbering" w:styleId="WW8Num389">
    <w:name w:val="WW8Num389"/>
    <w:qFormat/>
  </w:style>
  <w:style w:type="numbering" w:styleId="WW8Num390">
    <w:name w:val="WW8Num390"/>
    <w:qFormat/>
  </w:style>
  <w:style w:type="numbering" w:styleId="WW8Num391">
    <w:name w:val="WW8Num391"/>
    <w:qFormat/>
  </w:style>
  <w:style w:type="numbering" w:styleId="WW8Num392">
    <w:name w:val="WW8Num392"/>
    <w:qFormat/>
  </w:style>
  <w:style w:type="numbering" w:styleId="WW8Num393">
    <w:name w:val="WW8Num39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package" Target="embeddings/oleObject2.pptx"/><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png"/><Relationship Id="rId8" Type="http://schemas.openxmlformats.org/officeDocument/2006/relationships/image" Target="media/image4.wmf"/><Relationship Id="rId9" Type="http://schemas.openxmlformats.org/officeDocument/2006/relationships/image" Target="media/image4.w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2000-08-28T15:21:00Z</dcterms:created>
  <dc:creator>Jinsung Myung</dc:creator>
  <dc:description/>
  <dc:language>en-CA</dc:language>
  <cp:lastModifiedBy>Ben Rogers</cp:lastModifiedBy>
  <dcterms:modified xsi:type="dcterms:W3CDTF">2000-08-29T16:41:00Z</dcterms:modified>
  <cp:revision>5</cp:revision>
  <dc:subject/>
  <dc:title>Confidential Information Memorandum</dc:title>
</cp:coreProperties>
</file>