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pptx" ContentType="application/vnd.openxmlformats-officedocument.presentationml.presentation"/>
  <Override PartName="/word/embeddings/oleObject5.pptx" ContentType="application/vnd.openxmlformats-officedocument.presentationml.presentation"/>
  <Override PartName="/word/embeddings/oleObject6.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 w:space="1" w:color="000000"/>
        </w:pBdr>
        <w:jc w:val="end"/>
        <w:rPr/>
      </w:pPr>
      <w:r>
        <w:rPr/>
        <w:t>Table of Contents</w:t>
      </w:r>
    </w:p>
    <w:sdt>
      <w:sdtPr>
        <w:docPartObj>
          <w:docPartGallery w:val="Table of Contents"/>
          <w:docPartUnique w:val="true"/>
        </w:docPartObj>
      </w:sdtPr>
      <w:sdtContent>
        <w:p>
          <w:pPr>
            <w:pStyle w:val="TOC1"/>
            <w:tabs>
              <w:tab w:val="left" w:pos="403" w:leader="none"/>
              <w:tab w:val="left" w:pos="605" w:leader="none"/>
              <w:tab w:val="right" w:pos="9134" w:leader="dot"/>
            </w:tabs>
            <w:rPr>
              <w:b w:val="false"/>
              <w:caps w:val="false"/>
              <w:smallCaps w:val="false"/>
            </w:rPr>
          </w:pPr>
          <w:r>
            <w:fldChar w:fldCharType="begin"/>
          </w:r>
          <w:r>
            <w:rPr>
              <w:smallCaps w:val="false"/>
              <w:caps w:val="false"/>
              <w:b w:val="false"/>
              <w:rFonts w:cs="Times New Roman" w:ascii="Times New Roman" w:hAnsi="Times New Roman"/>
            </w:rPr>
            <w:instrText xml:space="preserve"> TOC \o "1-4" </w:instrText>
          </w:r>
          <w:r>
            <w:rPr>
              <w:smallCaps w:val="false"/>
              <w:caps w:val="false"/>
              <w:b w:val="false"/>
              <w:rFonts w:cs="Times New Roman" w:ascii="Times New Roman" w:hAnsi="Times New Roman"/>
            </w:rPr>
            <w:fldChar w:fldCharType="separate"/>
          </w:r>
          <w:r>
            <w:rPr>
              <w:rFonts w:cs="Times New Roman" w:ascii="Times New Roman" w:hAnsi="Times New Roman"/>
              <w:b w:val="false"/>
              <w:caps w:val="false"/>
              <w:smallCaps w:val="false"/>
            </w:rPr>
            <w:t>I.</w:t>
          </w:r>
          <w:r>
            <w:rPr>
              <w:b w:val="false"/>
              <w:caps w:val="false"/>
              <w:smallCaps w:val="false"/>
            </w:rPr>
            <w:tab/>
          </w:r>
          <w:r>
            <w:rPr>
              <w:rFonts w:cs="Times New Roman" w:ascii="Times New Roman" w:hAnsi="Times New Roman"/>
              <w:b w:val="false"/>
              <w:caps w:val="false"/>
              <w:smallCaps w:val="false"/>
            </w:rPr>
            <w:t>Executive Summary</w:t>
          </w:r>
          <w:r>
            <w:rPr>
              <w:b w:val="false"/>
              <w:caps w:val="false"/>
              <w:smallCaps w:val="false"/>
            </w:rPr>
            <w:tab/>
          </w:r>
          <w:hyperlink w:anchor="__RefHeading___Toc482880099">
            <w:r>
              <w:rPr>
                <w:rStyle w:val="IndexLink"/>
                <w:b w:val="false"/>
                <w:caps w:val="false"/>
                <w:smallCaps w:val="false"/>
              </w:rPr>
              <w:t>1</w:t>
            </w:r>
          </w:hyperlink>
        </w:p>
        <w:p>
          <w:pPr>
            <w:pStyle w:val="TOC1"/>
            <w:tabs>
              <w:tab w:val="left" w:pos="403" w:leader="none"/>
              <w:tab w:val="left" w:pos="605" w:leader="none"/>
              <w:tab w:val="right" w:pos="9134" w:leader="dot"/>
            </w:tabs>
            <w:rPr/>
          </w:pPr>
          <w:r>
            <w:rPr/>
            <w:t>II.</w:t>
            <w:tab/>
            <w:t>Market Analysis</w:t>
            <w:tab/>
          </w:r>
          <w:hyperlink w:anchor="__RefHeading___Toc482880100">
            <w:r>
              <w:rPr>
                <w:rStyle w:val="IndexLink"/>
              </w:rPr>
              <w:t>7</w:t>
            </w:r>
          </w:hyperlink>
        </w:p>
        <w:p>
          <w:pPr>
            <w:pStyle w:val="TOC2"/>
            <w:rPr/>
          </w:pPr>
          <w:r>
            <w:rPr/>
            <w:t>A.</w:t>
            <w:tab/>
            <w:t>Industry Overview</w:t>
            <w:tab/>
          </w:r>
          <w:hyperlink w:anchor="__RefHeading___Toc482880101">
            <w:r>
              <w:rPr>
                <w:rStyle w:val="IndexLink"/>
              </w:rPr>
              <w:t>7</w:t>
            </w:r>
          </w:hyperlink>
        </w:p>
        <w:p>
          <w:pPr>
            <w:pStyle w:val="TOC2"/>
            <w:rPr/>
          </w:pPr>
          <w:r>
            <w:rPr/>
            <w:t>B.</w:t>
            <w:tab/>
            <w:t>Western Systems Coordination Council</w:t>
            <w:tab/>
          </w:r>
          <w:hyperlink w:anchor="__RefHeading___Toc482880102">
            <w:r>
              <w:rPr>
                <w:rStyle w:val="IndexLink"/>
              </w:rPr>
              <w:t>7</w:t>
            </w:r>
          </w:hyperlink>
        </w:p>
        <w:p>
          <w:pPr>
            <w:pStyle w:val="TOC2"/>
            <w:rPr/>
          </w:pPr>
          <w:r>
            <w:rPr/>
            <w:t>C.</w:t>
            <w:tab/>
            <w:t>Nevada and California Markets</w:t>
            <w:tab/>
          </w:r>
          <w:hyperlink w:anchor="__RefHeading___Toc482880103">
            <w:r>
              <w:rPr>
                <w:rStyle w:val="IndexLink"/>
              </w:rPr>
              <w:t>10</w:t>
            </w:r>
          </w:hyperlink>
        </w:p>
        <w:p>
          <w:pPr>
            <w:pStyle w:val="TOC1"/>
            <w:rPr/>
          </w:pPr>
          <w:r>
            <w:rPr>
              <w:rFonts w:cs="Times New Roman" w:ascii="Times New Roman" w:hAnsi="Times New Roman"/>
            </w:rPr>
            <w:t>III.</w:t>
          </w:r>
          <w:r>
            <w:rPr/>
            <w:tab/>
          </w:r>
          <w:r>
            <w:rPr>
              <w:rFonts w:cs="Times New Roman" w:ascii="Times New Roman" w:hAnsi="Times New Roman"/>
            </w:rPr>
            <w:t>Las Vegas Cogeneration, Limited Partnership</w:t>
          </w:r>
          <w:r>
            <w:rPr/>
            <w:tab/>
          </w:r>
          <w:hyperlink w:anchor="__RefHeading___Toc482880104">
            <w:r>
              <w:rPr>
                <w:rStyle w:val="IndexLink"/>
              </w:rPr>
              <w:t>15</w:t>
            </w:r>
          </w:hyperlink>
        </w:p>
        <w:p>
          <w:pPr>
            <w:pStyle w:val="TOC2"/>
            <w:rPr/>
          </w:pPr>
          <w:r>
            <w:rPr/>
            <w:t>A.</w:t>
            <w:tab/>
            <w:t>Project Description</w:t>
            <w:tab/>
          </w:r>
          <w:hyperlink w:anchor="__RefHeading___Toc482880105">
            <w:r>
              <w:rPr>
                <w:rStyle w:val="IndexLink"/>
              </w:rPr>
              <w:t>15</w:t>
            </w:r>
          </w:hyperlink>
        </w:p>
        <w:p>
          <w:pPr>
            <w:pStyle w:val="TOC3"/>
            <w:rPr/>
          </w:pPr>
          <w:r>
            <w:rPr>
              <w:rFonts w:cs="Times New Roman" w:ascii="Times New Roman" w:hAnsi="Times New Roman"/>
            </w:rPr>
            <w:t>1.</w:t>
          </w:r>
          <w:r>
            <w:rPr/>
            <w:tab/>
          </w:r>
          <w:r>
            <w:rPr>
              <w:rFonts w:cs="Times New Roman" w:ascii="Times New Roman" w:hAnsi="Times New Roman"/>
            </w:rPr>
            <w:t>Location and Project Site</w:t>
          </w:r>
          <w:r>
            <w:rPr/>
            <w:tab/>
          </w:r>
          <w:hyperlink w:anchor="__RefHeading___Toc482880106">
            <w:r>
              <w:rPr>
                <w:rStyle w:val="IndexLink"/>
              </w:rPr>
              <w:t>15</w:t>
            </w:r>
          </w:hyperlink>
        </w:p>
        <w:p>
          <w:pPr>
            <w:pStyle w:val="TOC3"/>
            <w:rPr/>
          </w:pPr>
          <w:r>
            <w:rPr>
              <w:rFonts w:cs="Times New Roman" w:ascii="Times New Roman" w:hAnsi="Times New Roman"/>
            </w:rPr>
            <w:t>2.</w:t>
          </w:r>
          <w:r>
            <w:rPr/>
            <w:tab/>
          </w:r>
          <w:r>
            <w:rPr>
              <w:rFonts w:cs="Times New Roman" w:ascii="Times New Roman" w:hAnsi="Times New Roman"/>
            </w:rPr>
            <w:t>Technical Description</w:t>
          </w:r>
          <w:r>
            <w:rPr/>
            <w:tab/>
          </w:r>
          <w:hyperlink w:anchor="__RefHeading___Toc482880107">
            <w:r>
              <w:rPr>
                <w:rStyle w:val="IndexLink"/>
              </w:rPr>
              <w:t>15</w:t>
            </w:r>
          </w:hyperlink>
        </w:p>
        <w:p>
          <w:pPr>
            <w:pStyle w:val="TOC4"/>
            <w:rPr/>
          </w:pPr>
          <w:r>
            <w:rPr>
              <w:rFonts w:cs="Times New Roman" w:ascii="Times New Roman" w:hAnsi="Times New Roman"/>
            </w:rPr>
            <w:t>2.1</w:t>
          </w:r>
          <w:r>
            <w:rPr/>
            <w:tab/>
          </w:r>
          <w:r>
            <w:rPr>
              <w:rFonts w:cs="Times New Roman" w:ascii="Times New Roman" w:hAnsi="Times New Roman"/>
            </w:rPr>
            <w:t>Equipment</w:t>
          </w:r>
          <w:r>
            <w:rPr/>
            <w:tab/>
          </w:r>
          <w:hyperlink w:anchor="__RefHeading___Toc482880108">
            <w:r>
              <w:rPr>
                <w:rStyle w:val="IndexLink"/>
              </w:rPr>
              <w:t>15</w:t>
            </w:r>
          </w:hyperlink>
        </w:p>
        <w:p>
          <w:pPr>
            <w:pStyle w:val="TOC4"/>
            <w:rPr/>
          </w:pPr>
          <w:r>
            <w:rPr>
              <w:rFonts w:cs="Times New Roman" w:ascii="Times New Roman" w:hAnsi="Times New Roman"/>
            </w:rPr>
            <w:t>2.2</w:t>
          </w:r>
          <w:r>
            <w:rPr/>
            <w:tab/>
          </w:r>
          <w:r>
            <w:rPr>
              <w:rFonts w:cs="Times New Roman" w:ascii="Times New Roman" w:hAnsi="Times New Roman"/>
            </w:rPr>
            <w:t>Capacity</w:t>
          </w:r>
          <w:r>
            <w:rPr/>
            <w:tab/>
          </w:r>
          <w:hyperlink w:anchor="__RefHeading___Toc482880109">
            <w:r>
              <w:rPr>
                <w:rStyle w:val="IndexLink"/>
              </w:rPr>
              <w:t>16</w:t>
            </w:r>
          </w:hyperlink>
        </w:p>
        <w:p>
          <w:pPr>
            <w:pStyle w:val="TOC3"/>
            <w:rPr/>
          </w:pPr>
          <w:r>
            <w:rPr/>
            <w:t>3.</w:t>
            <w:tab/>
            <w:t>Contractual Structure</w:t>
            <w:tab/>
          </w:r>
          <w:hyperlink w:anchor="__RefHeading___Toc482880110">
            <w:r>
              <w:rPr>
                <w:rStyle w:val="IndexLink"/>
              </w:rPr>
              <w:t>17</w:t>
            </w:r>
          </w:hyperlink>
        </w:p>
        <w:p>
          <w:pPr>
            <w:pStyle w:val="TOC3"/>
            <w:rPr/>
          </w:pPr>
          <w:r>
            <w:rPr>
              <w:rFonts w:cs="Times New Roman" w:ascii="Times New Roman" w:hAnsi="Times New Roman"/>
            </w:rPr>
            <w:t>4.</w:t>
          </w:r>
          <w:r>
            <w:rPr/>
            <w:tab/>
          </w:r>
          <w:r>
            <w:rPr>
              <w:rFonts w:cs="Times New Roman" w:ascii="Times New Roman" w:hAnsi="Times New Roman"/>
            </w:rPr>
            <w:t>Power Purchase Agreement</w:t>
          </w:r>
          <w:r>
            <w:rPr/>
            <w:tab/>
          </w:r>
          <w:hyperlink w:anchor="__RefHeading___Toc482880111">
            <w:r>
              <w:rPr>
                <w:rStyle w:val="IndexLink"/>
              </w:rPr>
              <w:t>18</w:t>
            </w:r>
          </w:hyperlink>
        </w:p>
        <w:p>
          <w:pPr>
            <w:pStyle w:val="TOC4"/>
            <w:rPr/>
          </w:pPr>
          <w:r>
            <w:rPr>
              <w:rFonts w:cs="Times New Roman" w:ascii="Times New Roman" w:hAnsi="Times New Roman"/>
            </w:rPr>
            <w:t>4.1</w:t>
          </w:r>
          <w:r>
            <w:rPr/>
            <w:tab/>
          </w:r>
          <w:r>
            <w:rPr>
              <w:rFonts w:cs="Times New Roman" w:ascii="Times New Roman" w:hAnsi="Times New Roman"/>
            </w:rPr>
            <w:t>45MW PPA Principal terms</w:t>
          </w:r>
          <w:r>
            <w:rPr/>
            <w:tab/>
          </w:r>
          <w:hyperlink w:anchor="__RefHeading___Toc482880112">
            <w:r>
              <w:rPr>
                <w:rStyle w:val="IndexLink"/>
              </w:rPr>
              <w:t>18</w:t>
            </w:r>
          </w:hyperlink>
        </w:p>
        <w:p>
          <w:pPr>
            <w:pStyle w:val="TOC4"/>
            <w:rPr/>
          </w:pPr>
          <w:r>
            <w:rPr/>
            <w:t>4.2</w:t>
            <w:tab/>
            <w:t>Merchant Sharing Agreement</w:t>
            <w:tab/>
          </w:r>
          <w:hyperlink w:anchor="__RefHeading___Toc482880113">
            <w:r>
              <w:rPr>
                <w:rStyle w:val="IndexLink"/>
              </w:rPr>
              <w:t>19</w:t>
            </w:r>
          </w:hyperlink>
        </w:p>
        <w:p>
          <w:pPr>
            <w:pStyle w:val="TOC4"/>
            <w:rPr/>
          </w:pPr>
          <w:r>
            <w:rPr/>
            <w:t>4.3</w:t>
            <w:tab/>
            <w:t>EPMI Commodities Services Agreement</w:t>
            <w:tab/>
          </w:r>
          <w:hyperlink w:anchor="__RefHeading___Toc482880114">
            <w:r>
              <w:rPr>
                <w:rStyle w:val="IndexLink"/>
              </w:rPr>
              <w:t>19</w:t>
            </w:r>
          </w:hyperlink>
        </w:p>
        <w:p>
          <w:pPr>
            <w:pStyle w:val="TOC3"/>
            <w:rPr/>
          </w:pPr>
          <w:r>
            <w:rPr/>
            <w:t>5.</w:t>
            <w:tab/>
            <w:t>Gas Supply and Transportation Agreements</w:t>
            <w:tab/>
          </w:r>
          <w:hyperlink w:anchor="__RefHeading___Toc482880115">
            <w:r>
              <w:rPr>
                <w:rStyle w:val="IndexLink"/>
              </w:rPr>
              <w:t>19</w:t>
            </w:r>
          </w:hyperlink>
        </w:p>
        <w:p>
          <w:pPr>
            <w:pStyle w:val="TOC4"/>
            <w:rPr/>
          </w:pPr>
          <w:r>
            <w:rPr>
              <w:rFonts w:cs="Times New Roman" w:ascii="Times New Roman" w:hAnsi="Times New Roman"/>
            </w:rPr>
            <w:t>5.1</w:t>
          </w:r>
          <w:r>
            <w:rPr/>
            <w:tab/>
          </w:r>
          <w:r>
            <w:rPr>
              <w:rFonts w:cs="Times New Roman" w:ascii="Times New Roman" w:hAnsi="Times New Roman"/>
            </w:rPr>
            <w:t>Primary Gas Supply and Transportation Agreement</w:t>
          </w:r>
          <w:r>
            <w:rPr/>
            <w:tab/>
          </w:r>
          <w:hyperlink w:anchor="__RefHeading___Toc482880116">
            <w:r>
              <w:rPr>
                <w:rStyle w:val="IndexLink"/>
              </w:rPr>
              <w:t>19</w:t>
            </w:r>
          </w:hyperlink>
        </w:p>
        <w:p>
          <w:pPr>
            <w:pStyle w:val="TOC4"/>
            <w:rPr/>
          </w:pPr>
          <w:r>
            <w:rPr>
              <w:rFonts w:cs="Times New Roman" w:ascii="Times New Roman" w:hAnsi="Times New Roman"/>
            </w:rPr>
            <w:t>5.2</w:t>
          </w:r>
          <w:r>
            <w:rPr/>
            <w:tab/>
          </w:r>
          <w:r>
            <w:rPr>
              <w:rFonts w:cs="Times New Roman" w:ascii="Times New Roman" w:hAnsi="Times New Roman"/>
            </w:rPr>
            <w:t>Primary Gas Hedging</w:t>
          </w:r>
          <w:r>
            <w:rPr/>
            <w:tab/>
          </w:r>
          <w:hyperlink w:anchor="__RefHeading___Toc482880117">
            <w:r>
              <w:rPr>
                <w:rStyle w:val="IndexLink"/>
              </w:rPr>
              <w:t>20</w:t>
            </w:r>
          </w:hyperlink>
        </w:p>
        <w:p>
          <w:pPr>
            <w:pStyle w:val="TOC4"/>
            <w:rPr/>
          </w:pPr>
          <w:r>
            <w:rPr>
              <w:rFonts w:cs="Times New Roman" w:ascii="Times New Roman" w:hAnsi="Times New Roman"/>
            </w:rPr>
            <w:t>5.3</w:t>
          </w:r>
          <w:r>
            <w:rPr/>
            <w:tab/>
          </w:r>
          <w:r>
            <w:rPr>
              <w:rFonts w:cs="Times New Roman" w:ascii="Times New Roman" w:hAnsi="Times New Roman"/>
            </w:rPr>
            <w:t>Transportation – Kern River Gas Transmission Company</w:t>
          </w:r>
          <w:r>
            <w:rPr/>
            <w:tab/>
          </w:r>
          <w:hyperlink w:anchor="__RefHeading___Toc482880118">
            <w:r>
              <w:rPr>
                <w:rStyle w:val="IndexLink"/>
              </w:rPr>
              <w:t>20</w:t>
            </w:r>
          </w:hyperlink>
        </w:p>
        <w:p>
          <w:pPr>
            <w:pStyle w:val="TOC4"/>
            <w:rPr/>
          </w:pPr>
          <w:r>
            <w:rPr>
              <w:rFonts w:cs="Times New Roman" w:ascii="Times New Roman" w:hAnsi="Times New Roman"/>
            </w:rPr>
            <w:t>5.4</w:t>
          </w:r>
          <w:r>
            <w:rPr/>
            <w:tab/>
          </w:r>
          <w:r>
            <w:rPr>
              <w:rFonts w:cs="Times New Roman" w:ascii="Times New Roman" w:hAnsi="Times New Roman"/>
            </w:rPr>
            <w:t>Transportation – Southwest Gas Corporation</w:t>
          </w:r>
          <w:r>
            <w:rPr/>
            <w:tab/>
          </w:r>
          <w:hyperlink w:anchor="__RefHeading___Toc482880119">
            <w:r>
              <w:rPr>
                <w:rStyle w:val="IndexLink"/>
              </w:rPr>
              <w:t>21</w:t>
            </w:r>
          </w:hyperlink>
        </w:p>
        <w:p>
          <w:pPr>
            <w:pStyle w:val="TOC4"/>
            <w:rPr/>
          </w:pPr>
          <w:r>
            <w:rPr>
              <w:rFonts w:cs="Times New Roman" w:ascii="Times New Roman" w:hAnsi="Times New Roman"/>
            </w:rPr>
            <w:t>5.5</w:t>
          </w:r>
          <w:r>
            <w:rPr/>
            <w:tab/>
          </w:r>
          <w:r>
            <w:rPr>
              <w:rFonts w:cs="Times New Roman" w:ascii="Times New Roman" w:hAnsi="Times New Roman"/>
            </w:rPr>
            <w:t>Secondary Gas Supply and Transportation Arrangements</w:t>
          </w:r>
          <w:r>
            <w:rPr/>
            <w:tab/>
          </w:r>
          <w:hyperlink w:anchor="__RefHeading___Toc482880120">
            <w:r>
              <w:rPr>
                <w:rStyle w:val="IndexLink"/>
              </w:rPr>
              <w:t>21</w:t>
            </w:r>
          </w:hyperlink>
        </w:p>
        <w:p>
          <w:pPr>
            <w:pStyle w:val="TOC4"/>
            <w:rPr/>
          </w:pPr>
          <w:r>
            <w:rPr>
              <w:rFonts w:cs="Times New Roman" w:ascii="Times New Roman" w:hAnsi="Times New Roman"/>
            </w:rPr>
            <w:t>5.6</w:t>
          </w:r>
          <w:r>
            <w:rPr/>
            <w:tab/>
          </w:r>
          <w:r>
            <w:rPr>
              <w:rFonts w:cs="Times New Roman" w:ascii="Times New Roman" w:hAnsi="Times New Roman"/>
            </w:rPr>
            <w:t>Summary of Fuel Arrangements</w:t>
          </w:r>
          <w:r>
            <w:rPr/>
            <w:tab/>
          </w:r>
          <w:hyperlink w:anchor="__RefHeading___Toc482880121">
            <w:r>
              <w:rPr>
                <w:rStyle w:val="IndexLink"/>
              </w:rPr>
              <w:t>21</w:t>
            </w:r>
          </w:hyperlink>
        </w:p>
        <w:p>
          <w:pPr>
            <w:pStyle w:val="TOC3"/>
            <w:rPr/>
          </w:pPr>
          <w:r>
            <w:rPr>
              <w:rFonts w:cs="Times New Roman" w:ascii="Times New Roman" w:hAnsi="Times New Roman"/>
            </w:rPr>
            <w:t>6.</w:t>
          </w:r>
          <w:r>
            <w:rPr/>
            <w:tab/>
          </w:r>
          <w:r>
            <w:rPr>
              <w:rFonts w:cs="Times New Roman" w:ascii="Times New Roman" w:hAnsi="Times New Roman"/>
            </w:rPr>
            <w:t>Greenhouse Lease Agreement</w:t>
          </w:r>
          <w:r>
            <w:rPr/>
            <w:tab/>
          </w:r>
          <w:hyperlink w:anchor="__RefHeading___Toc482880122">
            <w:r>
              <w:rPr>
                <w:rStyle w:val="IndexLink"/>
              </w:rPr>
              <w:t>22</w:t>
            </w:r>
          </w:hyperlink>
        </w:p>
        <w:p>
          <w:pPr>
            <w:pStyle w:val="TOC3"/>
            <w:rPr/>
          </w:pPr>
          <w:r>
            <w:rPr>
              <w:rFonts w:cs="Times New Roman" w:ascii="Times New Roman" w:hAnsi="Times New Roman"/>
            </w:rPr>
            <w:t>7.</w:t>
          </w:r>
          <w:r>
            <w:rPr/>
            <w:tab/>
          </w:r>
          <w:r>
            <w:rPr>
              <w:rFonts w:cs="Times New Roman" w:ascii="Times New Roman" w:hAnsi="Times New Roman"/>
            </w:rPr>
            <w:t>Operation &amp; Maintenance Arrangements</w:t>
          </w:r>
          <w:r>
            <w:rPr/>
            <w:tab/>
          </w:r>
          <w:hyperlink w:anchor="__RefHeading___Toc482880123">
            <w:r>
              <w:rPr>
                <w:rStyle w:val="IndexLink"/>
              </w:rPr>
              <w:t>22</w:t>
            </w:r>
          </w:hyperlink>
        </w:p>
        <w:p>
          <w:pPr>
            <w:pStyle w:val="TOC3"/>
            <w:rPr/>
          </w:pPr>
          <w:r>
            <w:rPr>
              <w:rFonts w:cs="Times New Roman" w:ascii="Times New Roman" w:hAnsi="Times New Roman"/>
            </w:rPr>
            <w:t>8.</w:t>
          </w:r>
          <w:r>
            <w:rPr/>
            <w:tab/>
          </w:r>
          <w:r>
            <w:rPr>
              <w:rFonts w:cs="Times New Roman" w:ascii="Times New Roman" w:hAnsi="Times New Roman"/>
            </w:rPr>
            <w:t>Project Insurance</w:t>
          </w:r>
          <w:r>
            <w:rPr/>
            <w:tab/>
          </w:r>
          <w:hyperlink w:anchor="__RefHeading___Toc482880124">
            <w:r>
              <w:rPr>
                <w:rStyle w:val="IndexLink"/>
              </w:rPr>
              <w:t>23</w:t>
            </w:r>
          </w:hyperlink>
        </w:p>
        <w:p>
          <w:pPr>
            <w:pStyle w:val="TOC2"/>
            <w:rPr/>
          </w:pPr>
          <w:r>
            <w:rPr/>
            <w:t>B.</w:t>
            <w:tab/>
            <w:t>Project Ownership and Key Contractual Counterparts</w:t>
            <w:tab/>
          </w:r>
          <w:hyperlink w:anchor="__RefHeading___Toc482880125">
            <w:r>
              <w:rPr>
                <w:rStyle w:val="IndexLink"/>
              </w:rPr>
              <w:t>24</w:t>
            </w:r>
          </w:hyperlink>
        </w:p>
        <w:p>
          <w:pPr>
            <w:pStyle w:val="TOC3"/>
            <w:rPr/>
          </w:pPr>
          <w:r>
            <w:rPr>
              <w:rFonts w:cs="Times New Roman" w:ascii="Times New Roman" w:hAnsi="Times New Roman"/>
            </w:rPr>
            <w:t>1.</w:t>
          </w:r>
          <w:r>
            <w:rPr/>
            <w:tab/>
          </w:r>
          <w:r>
            <w:rPr>
              <w:rFonts w:cs="Times New Roman" w:ascii="Times New Roman" w:hAnsi="Times New Roman"/>
            </w:rPr>
            <w:t>Las Vegas Cogeneration Limited Partnership</w:t>
          </w:r>
          <w:r>
            <w:rPr/>
            <w:tab/>
          </w:r>
          <w:hyperlink w:anchor="__RefHeading___Toc482880126">
            <w:r>
              <w:rPr>
                <w:rStyle w:val="IndexLink"/>
              </w:rPr>
              <w:t>24</w:t>
            </w:r>
          </w:hyperlink>
        </w:p>
        <w:p>
          <w:pPr>
            <w:pStyle w:val="TOC2"/>
            <w:rPr/>
          </w:pPr>
          <w:r>
            <w:rPr/>
            <w:t>C.</w:t>
            <w:tab/>
            <w:t>Financing Structure</w:t>
            <w:tab/>
          </w:r>
          <w:hyperlink w:anchor="__RefHeading___Toc482880127">
            <w:r>
              <w:rPr>
                <w:rStyle w:val="IndexLink"/>
              </w:rPr>
              <w:t>26</w:t>
            </w:r>
          </w:hyperlink>
        </w:p>
        <w:p>
          <w:pPr>
            <w:pStyle w:val="TOC3"/>
            <w:rPr/>
          </w:pPr>
          <w:r>
            <w:rPr/>
            <w:t>1.</w:t>
            <w:tab/>
            <w:t>Total Acquisition Cost and Financial Structure</w:t>
            <w:tab/>
          </w:r>
          <w:hyperlink w:anchor="__RefHeading___Toc482880128">
            <w:r>
              <w:rPr>
                <w:rStyle w:val="IndexLink"/>
              </w:rPr>
              <w:t>26</w:t>
            </w:r>
          </w:hyperlink>
        </w:p>
        <w:p>
          <w:pPr>
            <w:pStyle w:val="TOC3"/>
            <w:rPr/>
          </w:pPr>
          <w:r>
            <w:rPr>
              <w:rFonts w:cs="Times New Roman" w:ascii="Times New Roman" w:hAnsi="Times New Roman"/>
            </w:rPr>
            <w:t>2.</w:t>
          </w:r>
          <w:r>
            <w:rPr/>
            <w:tab/>
          </w:r>
          <w:r>
            <w:rPr>
              <w:rFonts w:cs="Times New Roman" w:ascii="Times New Roman" w:hAnsi="Times New Roman"/>
            </w:rPr>
            <w:t>Key Terms and Conditions of Senior Debt</w:t>
          </w:r>
          <w:r>
            <w:rPr/>
            <w:tab/>
          </w:r>
          <w:hyperlink w:anchor="__RefHeading___Toc482880129">
            <w:r>
              <w:rPr>
                <w:rStyle w:val="IndexLink"/>
              </w:rPr>
              <w:t>27</w:t>
            </w:r>
          </w:hyperlink>
        </w:p>
        <w:p>
          <w:pPr>
            <w:pStyle w:val="TOC4"/>
            <w:rPr/>
          </w:pPr>
          <w:r>
            <w:rPr>
              <w:rFonts w:cs="Times New Roman" w:ascii="Times New Roman" w:hAnsi="Times New Roman"/>
            </w:rPr>
            <w:t>2.1</w:t>
          </w:r>
          <w:r>
            <w:rPr/>
            <w:tab/>
          </w:r>
          <w:r>
            <w:rPr>
              <w:rFonts w:cs="Times New Roman" w:ascii="Times New Roman" w:hAnsi="Times New Roman"/>
            </w:rPr>
            <w:t>Term Loan</w:t>
          </w:r>
          <w:r>
            <w:rPr/>
            <w:tab/>
          </w:r>
          <w:hyperlink w:anchor="__RefHeading___Toc482880130">
            <w:r>
              <w:rPr>
                <w:rStyle w:val="IndexLink"/>
              </w:rPr>
              <w:t>27</w:t>
            </w:r>
          </w:hyperlink>
        </w:p>
        <w:p>
          <w:pPr>
            <w:pStyle w:val="TOC4"/>
            <w:rPr/>
          </w:pPr>
          <w:r>
            <w:rPr/>
            <w:t>2.2</w:t>
            <w:tab/>
            <w:t>Standby Letter Of Credit – Southwest Gas</w:t>
            <w:tab/>
          </w:r>
          <w:hyperlink w:anchor="__RefHeading___Toc482880131">
            <w:r>
              <w:rPr>
                <w:rStyle w:val="IndexLink"/>
              </w:rPr>
              <w:t>28</w:t>
            </w:r>
          </w:hyperlink>
        </w:p>
        <w:p>
          <w:pPr>
            <w:pStyle w:val="TOC4"/>
            <w:rPr/>
          </w:pPr>
          <w:r>
            <w:rPr/>
            <w:t>2.3</w:t>
            <w:tab/>
            <w:t>Standby Letter Of Credit – Duke Fuels</w:t>
            <w:tab/>
          </w:r>
          <w:hyperlink w:anchor="__RefHeading___Toc482880132">
            <w:r>
              <w:rPr>
                <w:rStyle w:val="IndexLink"/>
              </w:rPr>
              <w:t>29</w:t>
            </w:r>
          </w:hyperlink>
        </w:p>
        <w:p>
          <w:pPr>
            <w:pStyle w:val="TOC3"/>
            <w:rPr/>
          </w:pPr>
          <w:r>
            <w:rPr>
              <w:rFonts w:cs="Times New Roman" w:ascii="Times New Roman" w:hAnsi="Times New Roman"/>
            </w:rPr>
            <w:t>3.</w:t>
          </w:r>
          <w:r>
            <w:rPr/>
            <w:tab/>
          </w:r>
          <w:r>
            <w:rPr>
              <w:rFonts w:cs="Times New Roman" w:ascii="Times New Roman" w:hAnsi="Times New Roman"/>
            </w:rPr>
            <w:t>Financial Hedging</w:t>
          </w:r>
          <w:r>
            <w:rPr/>
            <w:tab/>
          </w:r>
          <w:hyperlink w:anchor="__RefHeading___Toc482880133">
            <w:r>
              <w:rPr>
                <w:rStyle w:val="IndexLink"/>
              </w:rPr>
              <w:t>29</w:t>
            </w:r>
          </w:hyperlink>
        </w:p>
        <w:p>
          <w:pPr>
            <w:pStyle w:val="TOC1"/>
            <w:rPr/>
          </w:pPr>
          <w:r>
            <w:rPr/>
            <w:t>IV.</w:t>
            <w:tab/>
            <w:t>Las Vegas Cogeneration II, L.L.C.</w:t>
            <w:tab/>
          </w:r>
          <w:hyperlink w:anchor="__RefHeading___Toc482880134">
            <w:r>
              <w:rPr>
                <w:rStyle w:val="IndexLink"/>
              </w:rPr>
              <w:t>32</w:t>
            </w:r>
          </w:hyperlink>
        </w:p>
        <w:p>
          <w:pPr>
            <w:pStyle w:val="TOC2"/>
            <w:rPr/>
          </w:pPr>
          <w:r>
            <w:rPr/>
            <w:t>A.</w:t>
            <w:tab/>
            <w:t>Project Description</w:t>
            <w:tab/>
          </w:r>
          <w:hyperlink w:anchor="__RefHeading___Toc482880135">
            <w:r>
              <w:rPr>
                <w:rStyle w:val="IndexLink"/>
              </w:rPr>
              <w:t>32</w:t>
            </w:r>
          </w:hyperlink>
        </w:p>
        <w:p>
          <w:pPr>
            <w:pStyle w:val="TOC3"/>
            <w:rPr/>
          </w:pPr>
          <w:r>
            <w:rPr>
              <w:rFonts w:cs="Times New Roman" w:ascii="Times New Roman" w:hAnsi="Times New Roman"/>
            </w:rPr>
            <w:t>1.</w:t>
          </w:r>
          <w:r>
            <w:rPr/>
            <w:tab/>
          </w:r>
          <w:r>
            <w:rPr>
              <w:rFonts w:cs="Times New Roman" w:ascii="Times New Roman" w:hAnsi="Times New Roman"/>
            </w:rPr>
            <w:t>Location and Project Site</w:t>
          </w:r>
          <w:r>
            <w:rPr/>
            <w:tab/>
          </w:r>
          <w:hyperlink w:anchor="__RefHeading___Toc482880136">
            <w:r>
              <w:rPr>
                <w:rStyle w:val="IndexLink"/>
              </w:rPr>
              <w:t>32</w:t>
            </w:r>
          </w:hyperlink>
        </w:p>
        <w:p>
          <w:pPr>
            <w:pStyle w:val="TOC3"/>
            <w:rPr/>
          </w:pPr>
          <w:r>
            <w:rPr>
              <w:rFonts w:cs="Times New Roman" w:ascii="Times New Roman" w:hAnsi="Times New Roman"/>
            </w:rPr>
            <w:t>2.</w:t>
          </w:r>
          <w:r>
            <w:rPr/>
            <w:tab/>
          </w:r>
          <w:r>
            <w:rPr>
              <w:rFonts w:cs="Times New Roman" w:ascii="Times New Roman" w:hAnsi="Times New Roman"/>
            </w:rPr>
            <w:t>Technical Description</w:t>
          </w:r>
          <w:r>
            <w:rPr/>
            <w:tab/>
          </w:r>
          <w:hyperlink w:anchor="__RefHeading___Toc482880137">
            <w:r>
              <w:rPr>
                <w:rStyle w:val="IndexLink"/>
              </w:rPr>
              <w:t>32</w:t>
            </w:r>
          </w:hyperlink>
        </w:p>
        <w:p>
          <w:pPr>
            <w:pStyle w:val="TOC4"/>
            <w:rPr/>
          </w:pPr>
          <w:r>
            <w:rPr>
              <w:rFonts w:cs="Times New Roman" w:ascii="Times New Roman" w:hAnsi="Times New Roman"/>
            </w:rPr>
            <w:t>2.1</w:t>
          </w:r>
          <w:r>
            <w:rPr/>
            <w:tab/>
          </w:r>
          <w:r>
            <w:rPr>
              <w:rFonts w:cs="Times New Roman" w:ascii="Times New Roman" w:hAnsi="Times New Roman"/>
            </w:rPr>
            <w:t>Equipment</w:t>
          </w:r>
          <w:r>
            <w:rPr/>
            <w:tab/>
          </w:r>
          <w:hyperlink w:anchor="__RefHeading___Toc482880138">
            <w:r>
              <w:rPr>
                <w:rStyle w:val="IndexLink"/>
              </w:rPr>
              <w:t>32</w:t>
            </w:r>
          </w:hyperlink>
        </w:p>
        <w:p>
          <w:pPr>
            <w:pStyle w:val="TOC4"/>
            <w:rPr/>
          </w:pPr>
          <w:r>
            <w:rPr>
              <w:rFonts w:cs="Times New Roman" w:ascii="Times New Roman" w:hAnsi="Times New Roman"/>
            </w:rPr>
            <w:t>2.2</w:t>
          </w:r>
          <w:r>
            <w:rPr/>
            <w:tab/>
          </w:r>
          <w:r>
            <w:rPr>
              <w:rFonts w:cs="Times New Roman" w:ascii="Times New Roman" w:hAnsi="Times New Roman"/>
            </w:rPr>
            <w:t>Capacity</w:t>
          </w:r>
          <w:r>
            <w:rPr/>
            <w:tab/>
          </w:r>
          <w:hyperlink w:anchor="__RefHeading___Toc482880139">
            <w:r>
              <w:rPr>
                <w:rStyle w:val="IndexLink"/>
              </w:rPr>
              <w:t>32</w:t>
            </w:r>
          </w:hyperlink>
        </w:p>
        <w:p>
          <w:pPr>
            <w:pStyle w:val="TOC3"/>
            <w:rPr/>
          </w:pPr>
          <w:r>
            <w:rPr/>
            <w:t>3.</w:t>
            <w:tab/>
            <w:t>Permits and environment</w:t>
            <w:tab/>
          </w:r>
          <w:hyperlink w:anchor="__RefHeading___Toc482880140">
            <w:r>
              <w:rPr>
                <w:rStyle w:val="IndexLink"/>
              </w:rPr>
              <w:t>32</w:t>
            </w:r>
          </w:hyperlink>
        </w:p>
        <w:p>
          <w:pPr>
            <w:pStyle w:val="TOC3"/>
            <w:rPr/>
          </w:pPr>
          <w:r>
            <w:rPr>
              <w:rFonts w:cs="Times New Roman" w:ascii="Times New Roman" w:hAnsi="Times New Roman"/>
            </w:rPr>
            <w:t>4.</w:t>
          </w:r>
          <w:r>
            <w:rPr/>
            <w:tab/>
          </w:r>
          <w:r>
            <w:rPr>
              <w:rFonts w:cs="Times New Roman" w:ascii="Times New Roman" w:hAnsi="Times New Roman"/>
            </w:rPr>
            <w:t>Interconnection and transmission</w:t>
          </w:r>
          <w:r>
            <w:rPr/>
            <w:tab/>
          </w:r>
          <w:hyperlink w:anchor="__RefHeading___Toc482880141">
            <w:r>
              <w:rPr>
                <w:rStyle w:val="IndexLink"/>
              </w:rPr>
              <w:t>33</w:t>
            </w:r>
          </w:hyperlink>
        </w:p>
        <w:p>
          <w:pPr>
            <w:pStyle w:val="TOC3"/>
            <w:rPr/>
          </w:pPr>
          <w:r>
            <w:rPr>
              <w:rFonts w:cs="Times New Roman" w:ascii="Times New Roman" w:hAnsi="Times New Roman"/>
            </w:rPr>
            <w:t>5.</w:t>
          </w:r>
          <w:r>
            <w:rPr/>
            <w:tab/>
          </w:r>
          <w:r>
            <w:rPr>
              <w:rFonts w:cs="Times New Roman" w:ascii="Times New Roman" w:hAnsi="Times New Roman"/>
            </w:rPr>
            <w:t>Contractual Structure</w:t>
          </w:r>
          <w:r>
            <w:rPr/>
            <w:tab/>
          </w:r>
          <w:hyperlink w:anchor="__RefHeading___Toc482880142">
            <w:r>
              <w:rPr>
                <w:rStyle w:val="IndexLink"/>
              </w:rPr>
              <w:t>33</w:t>
            </w:r>
          </w:hyperlink>
        </w:p>
        <w:p>
          <w:pPr>
            <w:pStyle w:val="TOC3"/>
            <w:rPr/>
          </w:pPr>
          <w:r>
            <w:rPr>
              <w:rFonts w:cs="Times New Roman" w:ascii="Times New Roman" w:hAnsi="Times New Roman"/>
            </w:rPr>
            <w:t>6.</w:t>
          </w:r>
          <w:r>
            <w:rPr/>
            <w:tab/>
          </w:r>
          <w:r>
            <w:rPr>
              <w:rFonts w:cs="Times New Roman" w:ascii="Times New Roman" w:hAnsi="Times New Roman"/>
            </w:rPr>
            <w:t>Energy Sale Agreements</w:t>
          </w:r>
          <w:r>
            <w:rPr/>
            <w:tab/>
          </w:r>
          <w:hyperlink w:anchor="__RefHeading___Toc482880143">
            <w:r>
              <w:rPr>
                <w:rStyle w:val="IndexLink"/>
              </w:rPr>
              <w:t>34</w:t>
            </w:r>
          </w:hyperlink>
        </w:p>
        <w:p>
          <w:pPr>
            <w:pStyle w:val="TOC3"/>
            <w:rPr/>
          </w:pPr>
          <w:r>
            <w:rPr>
              <w:rFonts w:cs="Times New Roman" w:ascii="Times New Roman" w:hAnsi="Times New Roman"/>
            </w:rPr>
            <w:t>7.</w:t>
          </w:r>
          <w:r>
            <w:rPr/>
            <w:tab/>
          </w:r>
          <w:r>
            <w:rPr>
              <w:rFonts w:cs="Times New Roman" w:ascii="Times New Roman" w:hAnsi="Times New Roman"/>
            </w:rPr>
            <w:t>Gas Supply and Transportation Arrangements</w:t>
          </w:r>
          <w:r>
            <w:rPr/>
            <w:tab/>
          </w:r>
          <w:hyperlink w:anchor="__RefHeading___Toc482880144">
            <w:r>
              <w:rPr>
                <w:rStyle w:val="IndexLink"/>
              </w:rPr>
              <w:t>34</w:t>
            </w:r>
          </w:hyperlink>
        </w:p>
        <w:p>
          <w:pPr>
            <w:pStyle w:val="TOC3"/>
            <w:rPr/>
          </w:pPr>
          <w:r>
            <w:rPr>
              <w:rFonts w:cs="Times New Roman" w:ascii="Times New Roman" w:hAnsi="Times New Roman"/>
            </w:rPr>
            <w:t>8.</w:t>
          </w:r>
          <w:r>
            <w:rPr/>
            <w:tab/>
          </w:r>
          <w:r>
            <w:rPr>
              <w:rFonts w:cs="Times New Roman" w:ascii="Times New Roman" w:hAnsi="Times New Roman"/>
            </w:rPr>
            <w:t>Operations &amp; Maintenance Agreements</w:t>
          </w:r>
          <w:r>
            <w:rPr/>
            <w:tab/>
          </w:r>
          <w:hyperlink w:anchor="__RefHeading___Toc482880145">
            <w:r>
              <w:rPr>
                <w:rStyle w:val="IndexLink"/>
              </w:rPr>
              <w:t>35</w:t>
            </w:r>
          </w:hyperlink>
        </w:p>
        <w:p>
          <w:pPr>
            <w:pStyle w:val="TOC3"/>
            <w:rPr/>
          </w:pPr>
          <w:r>
            <w:rPr>
              <w:rFonts w:cs="Times New Roman" w:ascii="Times New Roman" w:hAnsi="Times New Roman"/>
            </w:rPr>
            <w:t>9.</w:t>
          </w:r>
          <w:r>
            <w:rPr/>
            <w:tab/>
          </w:r>
          <w:r>
            <w:rPr>
              <w:rFonts w:cs="Times New Roman" w:ascii="Times New Roman" w:hAnsi="Times New Roman"/>
            </w:rPr>
            <w:t>Site opton agreement</w:t>
          </w:r>
          <w:r>
            <w:rPr/>
            <w:tab/>
          </w:r>
          <w:hyperlink w:anchor="__RefHeading___Toc482880146">
            <w:r>
              <w:rPr>
                <w:rStyle w:val="IndexLink"/>
              </w:rPr>
              <w:t>35</w:t>
            </w:r>
          </w:hyperlink>
        </w:p>
        <w:p>
          <w:pPr>
            <w:pStyle w:val="TOC3"/>
            <w:tabs>
              <w:tab w:val="left" w:pos="800" w:leader="none"/>
              <w:tab w:val="left" w:pos="1000" w:leader="none"/>
              <w:tab w:val="right" w:pos="9134" w:leader="dot"/>
            </w:tabs>
            <w:rPr/>
          </w:pPr>
          <w:r>
            <w:rPr/>
            <w:t>10.</w:t>
            <w:tab/>
            <w:t>Estimated Timetable</w:t>
            <w:tab/>
          </w:r>
          <w:hyperlink w:anchor="__RefHeading___Toc482880147">
            <w:r>
              <w:rPr>
                <w:rStyle w:val="IndexLink"/>
              </w:rPr>
              <w:t>35</w:t>
            </w:r>
          </w:hyperlink>
        </w:p>
        <w:p>
          <w:pPr>
            <w:pStyle w:val="TOC3"/>
            <w:tabs>
              <w:tab w:val="left" w:pos="800" w:leader="none"/>
              <w:tab w:val="left" w:pos="1000" w:leader="none"/>
              <w:tab w:val="right" w:pos="9134" w:leader="dot"/>
            </w:tabs>
            <w:rPr/>
          </w:pPr>
          <w:r>
            <w:rPr/>
            <w:t>11.</w:t>
            <w:tab/>
            <w:t>Development Budget Cost Estimates</w:t>
            <w:tab/>
          </w:r>
          <w:hyperlink w:anchor="__RefHeading___Toc482880148">
            <w:r>
              <w:rPr>
                <w:rStyle w:val="IndexLink"/>
              </w:rPr>
              <w:t>35</w:t>
            </w:r>
          </w:hyperlink>
        </w:p>
        <w:p>
          <w:pPr>
            <w:pStyle w:val="TOC3"/>
            <w:tabs>
              <w:tab w:val="left" w:pos="800" w:leader="none"/>
              <w:tab w:val="left" w:pos="1000" w:leader="none"/>
              <w:tab w:val="right" w:pos="9134" w:leader="dot"/>
            </w:tabs>
            <w:rPr/>
          </w:pPr>
          <w:r>
            <w:rPr/>
            <w:t>12.</w:t>
            <w:tab/>
            <w:t>Expected Finance Structure</w:t>
            <w:tab/>
          </w:r>
          <w:hyperlink w:anchor="__RefHeading___Toc482880149">
            <w:r>
              <w:rPr>
                <w:rStyle w:val="IndexLink"/>
              </w:rPr>
              <w:t>36</w:t>
            </w:r>
          </w:hyperlink>
        </w:p>
        <w:p>
          <w:pPr>
            <w:pStyle w:val="TOC1"/>
            <w:tabs>
              <w:tab w:val="left" w:pos="403" w:leader="none"/>
              <w:tab w:val="left" w:pos="605" w:leader="none"/>
              <w:tab w:val="right" w:pos="9134" w:leader="dot"/>
            </w:tabs>
            <w:rPr/>
          </w:pPr>
          <w:r>
            <w:rPr>
              <w:rFonts w:cs="Times New Roman" w:ascii="Times New Roman" w:hAnsi="Times New Roman"/>
            </w:rPr>
            <w:t>V.</w:t>
          </w:r>
          <w:r>
            <w:rPr/>
            <w:tab/>
          </w:r>
          <w:r>
            <w:rPr>
              <w:rFonts w:cs="Times New Roman" w:ascii="Times New Roman" w:hAnsi="Times New Roman"/>
            </w:rPr>
            <w:t>Economic Analysis</w:t>
          </w:r>
          <w:r>
            <w:rPr/>
            <w:tab/>
          </w:r>
          <w:hyperlink w:anchor="__RefHeading___Toc482880150">
            <w:r>
              <w:rPr>
                <w:rStyle w:val="IndexLink"/>
              </w:rPr>
              <w:t>38</w:t>
            </w:r>
          </w:hyperlink>
        </w:p>
        <w:p>
          <w:pPr>
            <w:pStyle w:val="TOC2"/>
            <w:rPr/>
          </w:pPr>
          <w:r>
            <w:rPr/>
            <w:t>A.</w:t>
            <w:tab/>
            <w:t>Definitions and Assumptions</w:t>
            <w:tab/>
          </w:r>
          <w:hyperlink w:anchor="__RefHeading___Toc482880151">
            <w:r>
              <w:rPr>
                <w:rStyle w:val="IndexLink"/>
              </w:rPr>
              <w:t>38</w:t>
            </w:r>
          </w:hyperlink>
        </w:p>
        <w:p>
          <w:pPr>
            <w:pStyle w:val="TOC2"/>
            <w:rPr/>
          </w:pPr>
          <w:r>
            <w:rPr/>
            <w:t>B.</w:t>
            <w:tab/>
            <w:t>BASE CASE RESULTS:</w:t>
            <w:tab/>
          </w:r>
          <w:hyperlink w:anchor="__RefHeading___Toc482880152">
            <w:r>
              <w:rPr>
                <w:rStyle w:val="IndexLink"/>
              </w:rPr>
              <w:t>39</w:t>
            </w:r>
          </w:hyperlink>
        </w:p>
        <w:p>
          <w:pPr>
            <w:pStyle w:val="TOC1"/>
            <w:rPr/>
          </w:pPr>
          <w:r>
            <w:rPr>
              <w:rFonts w:cs="Times New Roman" w:ascii="Times New Roman" w:hAnsi="Times New Roman"/>
            </w:rPr>
            <w:t>VI.</w:t>
          </w:r>
          <w:r>
            <w:rPr/>
            <w:tab/>
          </w:r>
          <w:r>
            <w:rPr>
              <w:rFonts w:cs="Times New Roman" w:ascii="Times New Roman" w:hAnsi="Times New Roman"/>
            </w:rPr>
            <w:t>Exit Strategies</w:t>
          </w:r>
          <w:r>
            <w:rPr/>
            <w:tab/>
          </w:r>
          <w:hyperlink w:anchor="__RefHeading___Toc482880153">
            <w:r>
              <w:rPr>
                <w:rStyle w:val="IndexLink"/>
              </w:rPr>
              <w:t>41</w:t>
            </w:r>
          </w:hyperlink>
        </w:p>
        <w:p>
          <w:pPr>
            <w:pStyle w:val="TOC1"/>
            <w:rPr/>
          </w:pPr>
          <w:r>
            <w:rPr>
              <w:rFonts w:cs="Times New Roman" w:ascii="Times New Roman" w:hAnsi="Times New Roman"/>
            </w:rPr>
            <w:t>VII.</w:t>
          </w:r>
          <w:r>
            <w:rPr/>
            <w:tab/>
          </w:r>
          <w:r>
            <w:rPr>
              <w:rFonts w:cs="Times New Roman" w:ascii="Times New Roman" w:hAnsi="Times New Roman"/>
            </w:rPr>
            <w:t>Risks &amp; Mitigating Factors</w:t>
          </w:r>
          <w:r>
            <w:rPr/>
            <w:tab/>
          </w:r>
          <w:hyperlink w:anchor="__RefHeading___Toc482880154">
            <w:r>
              <w:rPr>
                <w:rStyle w:val="IndexLink"/>
              </w:rPr>
              <w:t>42</w:t>
            </w:r>
          </w:hyperlink>
        </w:p>
        <w:p>
          <w:pPr>
            <w:pStyle w:val="TOC1"/>
            <w:rPr/>
          </w:pPr>
          <w:r>
            <w:rPr>
              <w:rFonts w:cs="Times New Roman" w:ascii="Times New Roman" w:hAnsi="Times New Roman"/>
            </w:rPr>
            <w:t>VIII.</w:t>
          </w:r>
          <w:r>
            <w:rPr/>
            <w:tab/>
          </w:r>
          <w:r>
            <w:rPr>
              <w:rFonts w:cs="Times New Roman" w:ascii="Times New Roman" w:hAnsi="Times New Roman"/>
            </w:rPr>
            <w:t>Appendices</w:t>
          </w:r>
          <w:r>
            <w:rPr/>
            <w:tab/>
          </w:r>
          <w:hyperlink w:anchor="__RefHeading___Toc482880155">
            <w:r>
              <w:rPr>
                <w:rStyle w:val="IndexLink"/>
              </w:rPr>
              <w:t>52</w:t>
            </w:r>
          </w:hyperlink>
        </w:p>
        <w:p>
          <w:pPr>
            <w:pStyle w:val="TOC2"/>
            <w:rPr/>
          </w:pPr>
          <w:r>
            <w:rPr/>
            <w:t>A.</w:t>
            <w:tab/>
            <w:t>Project Priscilla Performance Summary</w:t>
            <w:tab/>
          </w:r>
          <w:hyperlink w:anchor="__RefHeading___Toc482880156">
            <w:r>
              <w:rPr>
                <w:rStyle w:val="IndexLink"/>
              </w:rPr>
              <w:t>52</w:t>
            </w:r>
          </w:hyperlink>
        </w:p>
        <w:p>
          <w:pPr>
            <w:pStyle w:val="TOC2"/>
            <w:rPr/>
          </w:pPr>
          <w:r>
            <w:rPr/>
            <w:t>B.</w:t>
            <w:tab/>
            <w:t>Project Priscilla Milestones</w:t>
            <w:tab/>
          </w:r>
          <w:hyperlink w:anchor="__RefHeading___Toc482880157">
            <w:r>
              <w:rPr>
                <w:rStyle w:val="IndexLink"/>
              </w:rPr>
              <w:t>53</w:t>
            </w:r>
          </w:hyperlink>
        </w:p>
        <w:p>
          <w:pPr>
            <w:pStyle w:val="TOC2"/>
            <w:rPr/>
          </w:pPr>
          <w:r>
            <w:rPr/>
            <w:t>C.</w:t>
            <w:tab/>
            <w:t>Project Priscilla Control Matrix</w:t>
            <w:tab/>
          </w:r>
          <w:hyperlink w:anchor="__RefHeading___Toc482880158">
            <w:r>
              <w:rPr>
                <w:rStyle w:val="IndexLink"/>
              </w:rPr>
              <w:t>55</w:t>
            </w:r>
          </w:hyperlink>
          <w:r>
            <w:rPr>
              <w:rStyle w:val="IndexLink"/>
            </w:rPr>
            <w:fldChar w:fldCharType="end"/>
          </w:r>
        </w:p>
      </w:sdtContent>
    </w:sdt>
    <w:p>
      <w:pPr>
        <w:sectPr>
          <w:footerReference w:type="default" r:id="rId2"/>
          <w:type w:val="nextPage"/>
          <w:pgSz w:w="12240" w:h="15840"/>
          <w:pgMar w:left="1656" w:right="1440" w:gutter="0" w:header="0" w:top="1440" w:footer="720" w:bottom="1440"/>
          <w:pgNumType w:start="1" w:fmt="lowerRoman"/>
          <w:formProt w:val="false"/>
          <w:textDirection w:val="lrTb"/>
          <w:docGrid w:type="default" w:linePitch="360" w:charSpace="0"/>
        </w:sectPr>
        <w:pStyle w:val="TOC1"/>
        <w:numPr>
          <w:ilvl w:val="0"/>
          <w:numId w:val="0"/>
        </w:numPr>
        <w:rPr/>
      </w:pPr>
      <w:r>
        <w:rPr/>
      </w:r>
    </w:p>
    <w:p>
      <w:pPr>
        <w:pStyle w:val="Heading1"/>
        <w:spacing w:before="240" w:after="240"/>
        <w:ind w:hanging="0" w:start="0"/>
        <w:rPr>
          <w:rFonts w:ascii="Times New Roman" w:hAnsi="Times New Roman" w:cs="Times New Roman"/>
        </w:rPr>
      </w:pPr>
      <w:bookmarkStart w:id="0" w:name="__RefHeading___Toc482880099"/>
      <w:bookmarkEnd w:id="0"/>
      <w:r>
        <w:rPr>
          <w:rFonts w:cs="Times New Roman" w:ascii="Times New Roman" w:hAnsi="Times New Roman"/>
        </w:rPr>
        <w:t>Executive Summary</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Las Vegas Cogeneration Limited Partnership, (“LVCLP”) was originally owned by The United Company (UC), with United Cogen Corp. as 85% general partner and United Energy Corp. as 15% limited partner.  Turnkey construction was undertaken by United Engineers (a subsidiary of Raytheon), and commercial operation was achieved in May 1994.  The plant was initially operated by Southern Energy, until 1997, when UC determined that, for a plant of this size and configuration, self-operation was more appropriate.  Power plant ownership and operation was no longer a core strategic business for UC, and it decided to sell the plant and associated contracts.  ENA emerged from an informal competitive process as the preferred buyer, and a purchase and sale agreement was executed on July 2, 1999, with the acquisition being consummated on August 31, 1999.</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As the operator of the 50 MW natural gas fired cogeneration peaking plant located near North Las Vegas, Nevada, LVCLP is currently licensed as a QF facility (“QF”) under the Public Utilities Regulatory Policy Act of 1978 (“PURPA”).  As a result of PURPA regulations limiting the ownership of any QF facility that can be controlled by a Utility or Utility Holding Company, ENA had to make the acquisition of LVCLP through an intermediary structure.  ENA funded  the acquisition in the form of debt and equity to a special purpose vehicle named Southwest Power L.L.C. (“SWP”).  A Friendly Investor (RADR) provided the residual of the acquisition price in the form of an equity contribution to the same entity.  SWP subsequently made the acquisition of LVCLP.  Attached to the debt facility is a call option on RADR’s equity that would allow ENA to step into a direct ownership of LVCLP in the event that ENA’s ownership no longer jeopardizes the facility’s QF status.  This structure allows ENA to satisfy accounting rules regarding ownership and follow PURPA regulations regarding QF facilities.  Once the call option is exercised, ENA’s ownership of 37.5% would increase to 75%.</w:t>
      </w:r>
    </w:p>
    <w:p>
      <w:pPr>
        <w:pStyle w:val="Header"/>
        <w:tabs>
          <w:tab w:val="clear" w:pos="4493"/>
          <w:tab w:val="clear" w:pos="9000"/>
        </w:tabs>
        <w:spacing w:before="0" w:after="240"/>
        <w:rPr>
          <w:rFonts w:ascii="Times New Roman" w:hAnsi="Times New Roman" w:cs="Times New Roman"/>
        </w:rPr>
      </w:pPr>
      <w:r>
        <w:rPr>
          <w:rFonts w:cs="Times New Roman" w:ascii="Times New Roman" w:hAnsi="Times New Roman"/>
          <w:lang w:val="en-US"/>
        </w:rPr>
        <w:t>The total acquisition cost, including the equipment upgrades, is $80.5 million and was funded through a term facility in the amount of $56.5 million provided by National Westminster Bank Plc as senior debt-holder and $24.0 provided by the members of SWP.</w:t>
      </w:r>
    </w:p>
    <w:p>
      <w:pPr>
        <w:pStyle w:val="Normal"/>
        <w:spacing w:before="0" w:after="240"/>
        <w:rPr/>
      </w:pPr>
      <w:r>
        <w:rPr/>
        <w:t xml:space="preserve">Currently, ENA plans to hold its equity investment in SWP from one to five years.  The power facility, which, as noted above, is indirectly owned through ENA’s investment in SWP, is a merchant and fair value asset.   Increases in future value are expected to be derived as a result of the following factors and underlie the rationale for the investment in the SWP: </w:t>
      </w:r>
    </w:p>
    <w:p>
      <w:pPr>
        <w:pStyle w:val="BodyText"/>
        <w:numPr>
          <w:ilvl w:val="0"/>
          <w:numId w:val="8"/>
        </w:numPr>
        <w:tabs>
          <w:tab w:val="clear" w:pos="360"/>
        </w:tabs>
        <w:spacing w:before="0" w:after="240"/>
        <w:ind w:hanging="360" w:start="720" w:end="0"/>
        <w:rPr/>
      </w:pPr>
      <w:r>
        <w:rPr/>
        <w:t>the attractive pricing and solid credit quality of the current Power Purchase Agreement (“PPA”);</w:t>
      </w:r>
    </w:p>
    <w:p>
      <w:pPr>
        <w:pStyle w:val="BodyText"/>
        <w:numPr>
          <w:ilvl w:val="0"/>
          <w:numId w:val="8"/>
        </w:numPr>
        <w:tabs>
          <w:tab w:val="clear" w:pos="360"/>
        </w:tabs>
        <w:spacing w:before="0" w:after="240"/>
        <w:ind w:hanging="360" w:start="720" w:end="0"/>
        <w:rPr/>
      </w:pPr>
      <w:r>
        <w:rPr/>
        <w:t>the flexibility, reliability and excellent operating performance of the power plant;</w:t>
      </w:r>
    </w:p>
    <w:p>
      <w:pPr>
        <w:pStyle w:val="BodyText"/>
        <w:numPr>
          <w:ilvl w:val="0"/>
          <w:numId w:val="8"/>
        </w:numPr>
        <w:tabs>
          <w:tab w:val="clear" w:pos="360"/>
        </w:tabs>
        <w:spacing w:before="0" w:after="240"/>
        <w:ind w:hanging="360" w:start="720" w:end="0"/>
        <w:rPr/>
      </w:pPr>
      <w:r>
        <w:rPr/>
        <w:t>the strategic location of the plant near the highly liquid and deregulating California and Nevada electricity markets;</w:t>
      </w:r>
    </w:p>
    <w:p>
      <w:pPr>
        <w:pStyle w:val="BodyText"/>
        <w:numPr>
          <w:ilvl w:val="0"/>
          <w:numId w:val="8"/>
        </w:numPr>
        <w:tabs>
          <w:tab w:val="clear" w:pos="360"/>
        </w:tabs>
        <w:spacing w:before="0" w:after="240"/>
        <w:ind w:hanging="360" w:start="720" w:end="0"/>
        <w:rPr/>
      </w:pPr>
      <w:r>
        <w:rPr/>
        <w:t xml:space="preserve">the opportunity to expand the facility if market conditions warrant; </w:t>
      </w:r>
    </w:p>
    <w:p>
      <w:pPr>
        <w:pStyle w:val="BodyText"/>
        <w:numPr>
          <w:ilvl w:val="0"/>
          <w:numId w:val="8"/>
        </w:numPr>
        <w:tabs>
          <w:tab w:val="clear" w:pos="360"/>
        </w:tabs>
        <w:spacing w:before="0" w:after="240"/>
        <w:ind w:hanging="360" w:start="720" w:end="0"/>
        <w:rPr/>
      </w:pPr>
      <w:r>
        <w:rPr/>
        <w:t>the potential to restructure the existing PPA;</w:t>
      </w:r>
    </w:p>
    <w:p>
      <w:pPr>
        <w:pStyle w:val="BodyText"/>
        <w:numPr>
          <w:ilvl w:val="0"/>
          <w:numId w:val="8"/>
        </w:numPr>
        <w:tabs>
          <w:tab w:val="clear" w:pos="360"/>
        </w:tabs>
        <w:spacing w:before="0" w:after="240"/>
        <w:ind w:hanging="360" w:start="720" w:end="0"/>
        <w:rPr/>
      </w:pPr>
      <w:r>
        <w:rPr/>
        <w:t>the potential to sell the facility at a premium to the initial purchase price:</w:t>
      </w:r>
    </w:p>
    <w:p>
      <w:pPr>
        <w:pStyle w:val="BodyText"/>
        <w:numPr>
          <w:ilvl w:val="0"/>
          <w:numId w:val="8"/>
        </w:numPr>
        <w:tabs>
          <w:tab w:val="clear" w:pos="360"/>
        </w:tabs>
        <w:spacing w:before="0" w:after="240"/>
        <w:ind w:hanging="360" w:start="720" w:end="0"/>
        <w:rPr/>
      </w:pPr>
      <w:r>
        <w:rPr/>
        <w:t>the potential to sell non-core assets held by the facility at a premium to the initial purchase price.</w:t>
      </w:r>
    </w:p>
    <w:p>
      <w:pPr>
        <w:pStyle w:val="BodyText"/>
        <w:numPr>
          <w:ilvl w:val="0"/>
          <w:numId w:val="8"/>
        </w:numPr>
        <w:tabs>
          <w:tab w:val="clear" w:pos="360"/>
        </w:tabs>
        <w:spacing w:before="0" w:after="240"/>
        <w:ind w:hanging="360" w:start="720" w:end="0"/>
        <w:rPr/>
      </w:pPr>
      <w:r>
        <w:rPr/>
        <w:t>The potential to create value by optimizing existing contractual arrangements.</w:t>
      </w:r>
    </w:p>
    <w:p>
      <w:pPr>
        <w:pStyle w:val="sub"/>
        <w:rPr/>
      </w:pPr>
      <w:r>
        <w:rPr/>
        <w:t>Power Purchase Agreement</w:t>
      </w:r>
    </w:p>
    <w:p>
      <w:pPr>
        <w:pStyle w:val="Normal"/>
        <w:spacing w:before="0" w:after="240"/>
        <w:rPr/>
      </w:pPr>
      <w:r>
        <w:rPr/>
        <w:t>The PPA with Nevada Power Company (“NPC”) is a 45MW must-take contract and provides for capacity and energy payments for peak power for the next 23 years at attractive prices that are indexed to the CPI. Gas supply and transportation agreements are with well-respected, highly credit-worthy entities.</w:t>
      </w:r>
    </w:p>
    <w:p>
      <w:pPr>
        <w:pStyle w:val="sub"/>
        <w:rPr/>
      </w:pPr>
      <w:r>
        <w:rPr/>
        <w:t>Potential to Unwind Existing PPA</w:t>
      </w:r>
    </w:p>
    <w:p>
      <w:pPr>
        <w:pStyle w:val="Normal"/>
        <w:spacing w:before="0" w:after="240"/>
        <w:rPr/>
      </w:pPr>
      <w:r>
        <w:rPr/>
        <w:t>There is substantial value in negotiating with NPC a buyout of the existing PPA, retiring existing debt, and then selling into the Nevada and California electricity markets. The QF contract is currently considered a stranded asset by NPC, and NPC has come under pressure to mitigate its stranded costs as Nevada moves towards a deregulated power sector. Given this economic and political backdrop, NPC is motivated to participate in a buyout of the PPA.</w:t>
      </w:r>
    </w:p>
    <w:p>
      <w:pPr>
        <w:pStyle w:val="Normal"/>
        <w:spacing w:before="0" w:after="240"/>
        <w:rPr/>
      </w:pPr>
      <w:r>
        <w:rPr/>
        <w:t>ENA is in the process of negotiating a contract buy-out with NPC for the PPA with the QF facility. ENA estimates the above-market value of this contract with fixed capacity and energy prices to be in the range of $65 million to $75 million. Subject to proposed stranded cost legislation and regulatory approvals, ENA expects to conclude negotiation with NPC by 10/1/00. Once the buy-out approvals are obtained, which are estimated to on or before 2</w:t>
      </w:r>
      <w:r>
        <w:rPr>
          <w:vertAlign w:val="superscript"/>
        </w:rPr>
        <w:t>nd</w:t>
      </w:r>
      <w:r>
        <w:rPr/>
        <w:t xml:space="preserve"> Quarter 2001. ENA would re-certify the facility as an exempt wholesale generator (“EWG”) and sell 54MW subject to securitization and regulatory approvals of merchant capacity into the market. ENA estimates this EWG merchant plant to have a value of $12 million to $15 million depending upon the forward power and gas curve assumptions being used.</w:t>
      </w:r>
    </w:p>
    <w:p>
      <w:pPr>
        <w:pStyle w:val="Normal"/>
        <w:spacing w:before="0" w:after="240"/>
        <w:rPr/>
      </w:pPr>
      <w:r>
        <w:rPr/>
        <w:t>Should ENA be successful in negotiating a buy-out and termination of the PPA, the facility would no longer require a steam host to maintain its QF status. SWP would proceed to consummate the sale of Sunco, L.L.C. (Greenhouse Thermal Host) to an independent entity. Based upon current estimates and independent assessments, ENA estimates a sale price of $3-$5 million for the greenhouse. The sale of Sunco, L.L.C. would consist of SWP releasing 100% of its membership interest in Sunco L.L.C. and a transfer of all physical assets owned by LVCLP to Sunco, L.L.C. Sunco L.L.C. would then operate as an entity independent of the plant for its steam requirements.</w:t>
      </w:r>
    </w:p>
    <w:p>
      <w:pPr>
        <w:pStyle w:val="sub"/>
        <w:rPr/>
      </w:pPr>
      <w:r>
        <w:rPr/>
        <w:t>Operating Performance</w:t>
      </w:r>
    </w:p>
    <w:p>
      <w:pPr>
        <w:pStyle w:val="Normal"/>
        <w:spacing w:before="0" w:after="240"/>
        <w:rPr/>
      </w:pPr>
      <w:r>
        <w:rPr/>
        <w:t xml:space="preserve">The Project has a current generating capacity of 50 MW and was upgraded in November 1999 with a replacement of the current LM6000 PA to GE’s new LM 6000 PC package.  This upgrade has provided a significant heat rate advantage as well as an incremental 4 MW. Prior to the acquisition closing, extensive due diligence by ENA and its consultants revealed that with the exception of several minor technical problems which have been satisfactorily resolved, the plant is in very good condition and operating according to its design specifications.  The steam turbine, gas turbine, support equipment, boiler equipment, and balance of plant equipment are all in good to very good condition. The SWP management and plant operating staffs are experienced with a very good knowledge of plant operations and systems. </w:t>
      </w:r>
    </w:p>
    <w:p>
      <w:pPr>
        <w:pStyle w:val="sub"/>
        <w:rPr/>
      </w:pPr>
      <w:r>
        <w:rPr/>
        <w:t>Strategic Location</w:t>
      </w:r>
    </w:p>
    <w:p>
      <w:pPr>
        <w:pStyle w:val="Normal"/>
        <w:rPr/>
      </w:pPr>
      <w:r>
        <w:rPr/>
        <w:t>The plant is located in Las Vegas, Nevada, the fastest growing city in the United States. The state of Nevada was originally scheduled to deregulate its electricity sector in spring of 2000, however, this date was delayed by the Governor. It is anticipated that the market will open on or before 2</w:t>
      </w:r>
      <w:r>
        <w:rPr>
          <w:vertAlign w:val="superscript"/>
        </w:rPr>
        <w:t>nd</w:t>
      </w:r>
      <w:r>
        <w:rPr/>
        <w:t xml:space="preserve"> quarter 2001, opening up a range of opportunities to sell excess power and ancillary services into southwestern electricity markets. ENA believes the location of the plant, in combination with the deregulation of the local marketplace, will provide additional opportunities to capture value in its equity ownership in SWP. Recent development ventures have already been announced by Southern Company and Reliant.</w:t>
      </w:r>
    </w:p>
    <w:p>
      <w:pPr>
        <w:pStyle w:val="sub"/>
        <w:rPr/>
      </w:pPr>
      <w:r>
        <w:rPr/>
        <w:t>Facility Expansion</w:t>
      </w:r>
    </w:p>
    <w:p>
      <w:pPr>
        <w:pStyle w:val="Normal"/>
        <w:spacing w:before="0" w:after="240"/>
        <w:ind w:end="14"/>
        <w:rPr/>
      </w:pPr>
      <w:r>
        <w:rPr/>
        <w:t xml:space="preserve">Given the substantial load growth in the Las Vegas region and the restructuring of the Nevada Power market, there is an opportunity to expand the existing facility, enter into new offtake agreements for the additional capacity, sell into day-ahead power markets, or offer a range of ancillary services to regional grid operators. </w:t>
      </w:r>
    </w:p>
    <w:p>
      <w:pPr>
        <w:pStyle w:val="Normal"/>
        <w:spacing w:before="0" w:after="240"/>
        <w:ind w:end="14"/>
        <w:rPr>
          <w:i/>
          <w:i/>
        </w:rPr>
      </w:pPr>
      <w:r>
        <w:rPr/>
        <w:t>Development of an expanded facility has been initiated by a newly-formed entity called Las Vegas Cogeneration II, L.L.C. (“LVC II”), which is 100% owned by SWP. The project is configured as a 220MW natural gas-fired power plant consisting of two two-on-one combined cycle units. The project would use four GE LM6000 PC gas turbines, four HRSG’s, and two steam turbines in a site optimized configuration. This 220 MW merchant facility in combination with the 54MW facility would sell 274MW into the California PX and Nevada merchant market. The anticipated start-up date for this plant is March 2002. The total development cost for the project is estimated to be $5.5 million. The estimated total construction cost, including IDL, is $136 million. The O&amp;M services would be under a contractual agreement between the existing LVCLP and LVC II. The saving in costs because of the sharing of O&amp;M services and sharing of other resources with the existing facility would make this projects competitive in the merchant market. Based upon our current valuations, this merchant plant is worth between $5.0 million to $20 million depending upon ENA’s curve assumptions.</w:t>
      </w:r>
    </w:p>
    <w:p>
      <w:pPr>
        <w:pStyle w:val="Normal"/>
        <w:tabs>
          <w:tab w:val="clear" w:pos="360"/>
          <w:tab w:val="left" w:pos="1080" w:leader="none"/>
        </w:tabs>
        <w:spacing w:before="0" w:after="240"/>
        <w:ind w:end="14"/>
        <w:rPr/>
      </w:pPr>
      <w:r>
        <w:rPr/>
        <w:t>The current contract with NPC obligates LVCLP to sell 45MW during on peak hours.  LVCLP completed negotiations with NPC to sell additional capacity including off-peak sales during light-load hours and excess on-peak sales above the 45MW obligation. The merchant sale, which began in April 2000, will be administered under a Commodities Services Agreement between LVCLP and EPMI.</w:t>
      </w:r>
    </w:p>
    <w:p>
      <w:pPr>
        <w:pStyle w:val="sub"/>
        <w:rPr/>
      </w:pPr>
      <w:r>
        <w:rPr/>
        <w:t>Third Party Asset Sale</w:t>
      </w:r>
    </w:p>
    <w:p>
      <w:pPr>
        <w:pStyle w:val="Normal"/>
        <w:tabs>
          <w:tab w:val="clear" w:pos="360"/>
          <w:tab w:val="left" w:pos="1080" w:leader="none"/>
        </w:tabs>
        <w:spacing w:before="120" w:after="240"/>
        <w:rPr/>
      </w:pPr>
      <w:r>
        <w:rPr/>
        <w:t>Sell all or a portion of interest to an industry player or investment bank.  By selling its interest in SWP within the next one to five years, ENA can extract a premium from the investment primarily due to the bullish outlook that industry players have placed on these types of assets.  Additionally, SWP has the ability to sell the current thermal host of the facility.  Under the scenario where SWP is successful in negotiating a buyout of the existing PPA agreement, the direct benefit to the facility of owning its own thermal host would be diminished.  SWP could then sell the thermal host in the market for a premium to the allocated acquisition cost.</w:t>
      </w:r>
    </w:p>
    <w:p>
      <w:pPr>
        <w:pStyle w:val="Normal"/>
        <w:spacing w:before="120" w:after="240"/>
        <w:rPr>
          <w:b/>
        </w:rPr>
      </w:pPr>
      <w:r>
        <w:rPr>
          <w:b/>
        </w:rPr>
        <w:t>Exit Strategies</w:t>
      </w:r>
    </w:p>
    <w:p>
      <w:pPr>
        <w:pStyle w:val="headin"/>
        <w:rPr/>
      </w:pPr>
      <w:r>
        <w:rPr/>
        <w:t>ENA’s Strategy with regard to the deposition of SWP’s assets and ownership interest in LVCLP and LVC II revolves around two basic value propositions:</w:t>
      </w:r>
    </w:p>
    <w:p>
      <w:pPr>
        <w:pStyle w:val="Normal"/>
        <w:numPr>
          <w:ilvl w:val="0"/>
          <w:numId w:val="4"/>
        </w:numPr>
        <w:tabs>
          <w:tab w:val="clear" w:pos="360"/>
        </w:tabs>
        <w:ind w:hanging="360" w:start="720" w:end="0"/>
        <w:rPr/>
      </w:pPr>
      <w:r>
        <w:rPr/>
        <w:t>The decision to “hold” the investments as “strategic” assets with the option to restructure or not to restructure the PPA and operate as merchant facilities.</w:t>
      </w:r>
    </w:p>
    <w:p>
      <w:pPr>
        <w:pStyle w:val="Normal"/>
        <w:numPr>
          <w:ilvl w:val="0"/>
          <w:numId w:val="4"/>
        </w:numPr>
        <w:tabs>
          <w:tab w:val="clear" w:pos="360"/>
        </w:tabs>
        <w:ind w:hanging="360" w:start="720" w:end="0"/>
        <w:rPr/>
      </w:pPr>
      <w:r>
        <w:rPr/>
        <w:t>The decision to “sell” the assets by December 31, 2000 either with a negotiated buy-out agreement of the PPA or without.</w:t>
      </w:r>
    </w:p>
    <w:p>
      <w:pPr>
        <w:pStyle w:val="sub"/>
        <w:rPr/>
      </w:pPr>
      <w:r>
        <w:rPr/>
        <w:t>1.</w:t>
        <w:tab/>
        <w:t>ENA Decision to “Hold” the Assets</w:t>
      </w:r>
    </w:p>
    <w:p>
      <w:pPr>
        <w:pStyle w:val="sub"/>
        <w:ind w:hanging="360" w:start="720" w:end="0"/>
        <w:rPr>
          <w:b w:val="false"/>
          <w:u w:val="single"/>
        </w:rPr>
      </w:pPr>
      <w:r>
        <w:rPr>
          <w:b w:val="false"/>
          <w:u w:val="single"/>
        </w:rPr>
        <w:t>Strategy 1A</w:t>
      </w:r>
    </w:p>
    <w:p>
      <w:pPr>
        <w:pStyle w:val="sub"/>
        <w:ind w:start="360" w:end="0"/>
        <w:rPr>
          <w:b w:val="false"/>
        </w:rPr>
      </w:pPr>
      <w:r>
        <w:rPr>
          <w:b w:val="false"/>
        </w:rPr>
        <w:t>LVCLP does not reach a buy-out agreement with Nevada Power for the PPA, SWP would develop the 220MW LVC II merchant to commercial operation. SWP would realize the value by operating the newly developed capacity of 274MWscheduling such capacity into the California PX and Nevada power markets. LVCLP would continue to operate as a QF and receive projected PPA revenues, including revenue projected under the NPC release agreement.. The expected return to ENA under this scenario is expected to be $5 million.</w:t>
      </w:r>
    </w:p>
    <w:p>
      <w:pPr>
        <w:pStyle w:val="sub"/>
        <w:ind w:start="360" w:end="0"/>
        <w:rPr>
          <w:b w:val="false"/>
          <w:u w:val="single"/>
        </w:rPr>
      </w:pPr>
      <w:r>
        <w:rPr>
          <w:b w:val="false"/>
          <w:u w:val="single"/>
        </w:rPr>
        <w:t>Strategy 1B</w:t>
      </w:r>
    </w:p>
    <w:p>
      <w:pPr>
        <w:pStyle w:val="sub"/>
        <w:ind w:start="360" w:end="0"/>
        <w:rPr>
          <w:b w:val="false"/>
        </w:rPr>
      </w:pPr>
      <w:r>
        <w:rPr>
          <w:b w:val="false"/>
        </w:rPr>
        <w:t>LVCLP negotiates with Nevada Power a buy-out of the PPA for the existing 54MW plant. The development of a 220MW merchant plant proceeds to commercial operation. SWP would realize the value by operating the plant and scheduling power into the California PX and the Nevada power markets. The expected benefit to ENA under this scenario is expected to be $17 million.</w:t>
      </w:r>
    </w:p>
    <w:p>
      <w:pPr>
        <w:pStyle w:val="sub"/>
        <w:rPr/>
      </w:pPr>
      <w:r>
        <w:rPr/>
        <w:t>2.</w:t>
        <w:tab/>
        <w:t>ENA Decision to “Sell” the Assets by December 31, 2000</w:t>
      </w:r>
    </w:p>
    <w:p>
      <w:pPr>
        <w:pStyle w:val="sub"/>
        <w:ind w:start="360" w:end="0"/>
        <w:rPr>
          <w:b w:val="false"/>
          <w:u w:val="single"/>
        </w:rPr>
      </w:pPr>
      <w:r>
        <w:rPr>
          <w:b w:val="false"/>
          <w:u w:val="single"/>
        </w:rPr>
        <w:t>Strategy 2A</w:t>
      </w:r>
    </w:p>
    <w:p>
      <w:pPr>
        <w:pStyle w:val="sub"/>
        <w:ind w:start="360" w:end="0"/>
        <w:rPr>
          <w:b w:val="false"/>
        </w:rPr>
      </w:pPr>
      <w:r>
        <w:rPr>
          <w:b w:val="false"/>
        </w:rPr>
        <w:t>Asset prices have moved up substantially since LVCLP was acquired in August of 1999. SWP would explore the option to identify a third party who would be willing to pay for the existing asset based upon an appropriate value for the contract restructuring and for the optionality associated with the additional LVC II expansion opportunity. A sale based on this strategy substantially mitigates negotiation risks associated with restructuring and development risks associated with the merchant plant and would be completed by December 31, 2000. The expected benefit to ENA under this scenario is $29.7 million.</w:t>
      </w:r>
    </w:p>
    <w:p>
      <w:pPr>
        <w:pStyle w:val="sub"/>
        <w:ind w:start="360" w:end="0"/>
        <w:rPr>
          <w:b w:val="false"/>
          <w:u w:val="single"/>
        </w:rPr>
      </w:pPr>
      <w:r>
        <w:rPr>
          <w:b w:val="false"/>
          <w:u w:val="single"/>
        </w:rPr>
        <w:t>Strategy 2B</w:t>
      </w:r>
    </w:p>
    <w:p>
      <w:pPr>
        <w:pStyle w:val="sub"/>
        <w:ind w:start="360" w:end="0"/>
        <w:rPr/>
      </w:pPr>
      <w:r>
        <w:rPr>
          <w:b w:val="false"/>
        </w:rPr>
        <w:t>LVCLP negotiates with Nevada Power a buyout of the PPA for the existing 54MW plant subject to securitization and commission approval. The development of the 220MW LVC II merchant plant also proceeds simultaneously to a point in which it is financiable development project. On or before December 31, 2000, SWP sells down its interest in the residual 274MW merchant plant as well as cash flow from the negotiated PPA Buyout. The expected benefit to ENA from this strategy will be $35.0 million.</w:t>
      </w:r>
      <w:r>
        <w:rPr>
          <w:rFonts w:cs="Times New Roman" w:ascii="Times New Roman" w:hAnsi="Times New Roman"/>
        </w:rPr>
        <w:t xml:space="preserve"> </w:t>
      </w:r>
    </w:p>
    <w:p>
      <w:pPr>
        <w:pStyle w:val="sub"/>
        <w:spacing w:before="120" w:after="240"/>
        <w:rPr/>
      </w:pPr>
      <w:r>
        <w:rPr/>
        <w:t>Economic Summary</w:t>
      </w:r>
    </w:p>
    <w:tbl>
      <w:tblPr>
        <w:tblW w:w="10350" w:type="dxa"/>
        <w:jc w:val="start"/>
        <w:tblInd w:w="-252" w:type="dxa"/>
        <w:tblLayout w:type="fixed"/>
        <w:tblCellMar>
          <w:top w:w="0" w:type="dxa"/>
          <w:start w:w="108" w:type="dxa"/>
          <w:bottom w:w="0" w:type="dxa"/>
          <w:end w:w="108" w:type="dxa"/>
        </w:tblCellMar>
      </w:tblPr>
      <w:tblGrid>
        <w:gridCol w:w="2898"/>
        <w:gridCol w:w="1782"/>
        <w:gridCol w:w="1890"/>
        <w:gridCol w:w="1890"/>
        <w:gridCol w:w="1890"/>
      </w:tblGrid>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82"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SP-15 </w:t>
            </w:r>
          </w:p>
          <w:p>
            <w:pPr>
              <w:pStyle w:val="Normal"/>
              <w:rPr>
                <w:b/>
              </w:rPr>
            </w:pPr>
            <w:r>
              <w:rPr>
                <w:b/>
              </w:rPr>
              <w:t>OFFER - $1.00</w:t>
            </w:r>
          </w:p>
        </w:tc>
        <w:tc>
          <w:tcPr>
            <w:tcW w:w="1890" w:type="dxa"/>
            <w:tcBorders>
              <w:top w:val="single" w:sz="4" w:space="0" w:color="000000"/>
              <w:start w:val="single" w:sz="4" w:space="0" w:color="000000"/>
              <w:bottom w:val="single" w:sz="4" w:space="0" w:color="000000"/>
              <w:end w:val="single" w:sz="4" w:space="0" w:color="000000"/>
            </w:tcBorders>
          </w:tcPr>
          <w:p>
            <w:pPr>
              <w:pStyle w:val="Normal"/>
              <w:rPr>
                <w:b/>
              </w:rPr>
            </w:pPr>
            <w:r>
              <w:rPr>
                <w:b/>
              </w:rPr>
              <w:t>SP-15</w:t>
            </w:r>
          </w:p>
          <w:p>
            <w:pPr>
              <w:pStyle w:val="Normal"/>
              <w:rPr>
                <w:b/>
              </w:rPr>
            </w:pPr>
            <w:r>
              <w:rPr>
                <w:b/>
              </w:rPr>
              <w:t>MID + $3.00</w:t>
            </w:r>
          </w:p>
        </w:tc>
        <w:tc>
          <w:tcPr>
            <w:tcW w:w="1890" w:type="dxa"/>
            <w:tcBorders>
              <w:top w:val="single" w:sz="4" w:space="0" w:color="000000"/>
              <w:start w:val="single" w:sz="4" w:space="0" w:color="000000"/>
              <w:bottom w:val="single" w:sz="4" w:space="0" w:color="000000"/>
              <w:end w:val="single" w:sz="4" w:space="0" w:color="000000"/>
            </w:tcBorders>
          </w:tcPr>
          <w:p>
            <w:pPr>
              <w:pStyle w:val="Normal"/>
              <w:rPr>
                <w:b/>
              </w:rPr>
            </w:pPr>
            <w:r>
              <w:rPr>
                <w:b/>
              </w:rPr>
              <w:t>SP-15</w:t>
            </w:r>
          </w:p>
          <w:p>
            <w:pPr>
              <w:pStyle w:val="Normal"/>
              <w:rPr>
                <w:b/>
              </w:rPr>
            </w:pPr>
            <w:r>
              <w:rPr>
                <w:b/>
              </w:rPr>
              <w:t>MID + $5.00</w:t>
            </w:r>
          </w:p>
        </w:tc>
        <w:tc>
          <w:tcPr>
            <w:tcW w:w="1890" w:type="dxa"/>
            <w:tcBorders>
              <w:top w:val="single" w:sz="4" w:space="0" w:color="000000"/>
              <w:start w:val="single" w:sz="4" w:space="0" w:color="000000"/>
              <w:bottom w:val="single" w:sz="4" w:space="0" w:color="000000"/>
              <w:end w:val="single" w:sz="4" w:space="0" w:color="000000"/>
            </w:tcBorders>
          </w:tcPr>
          <w:p>
            <w:pPr>
              <w:pStyle w:val="Normal"/>
              <w:rPr>
                <w:b/>
              </w:rPr>
            </w:pPr>
            <w:r>
              <w:rPr>
                <w:b/>
              </w:rPr>
              <w:t>SP-15</w:t>
            </w:r>
          </w:p>
          <w:p>
            <w:pPr>
              <w:pStyle w:val="Normal"/>
              <w:rPr>
                <w:b/>
              </w:rPr>
            </w:pPr>
            <w:r>
              <w:rPr>
                <w:b/>
              </w:rPr>
              <w:t>MID + $5.00</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782" w:type="dxa"/>
            <w:tcBorders>
              <w:top w:val="single" w:sz="4" w:space="0" w:color="000000"/>
              <w:start w:val="single" w:sz="4" w:space="0" w:color="000000"/>
              <w:bottom w:val="single" w:sz="4" w:space="0" w:color="000000"/>
              <w:end w:val="single" w:sz="4" w:space="0" w:color="000000"/>
            </w:tcBorders>
          </w:tcPr>
          <w:p>
            <w:pPr>
              <w:pStyle w:val="Normal"/>
              <w:rPr/>
            </w:pPr>
            <w:r>
              <w:rPr/>
              <w:t>Strategy 1A</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Strategy 1 B</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Strategy 2 A</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Strategy 2 B</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pPr>
            <w:r>
              <w:rPr/>
              <w:t>TIMING</w:t>
            </w:r>
          </w:p>
          <w:p>
            <w:pPr>
              <w:pStyle w:val="Normal"/>
              <w:rPr/>
            </w:pPr>
            <w:r>
              <w:rPr/>
              <w:t xml:space="preserve">QF Buy Out </w:t>
            </w:r>
          </w:p>
          <w:p>
            <w:pPr>
              <w:pStyle w:val="Normal"/>
              <w:rPr/>
            </w:pPr>
            <w:r>
              <w:rPr/>
              <w:t>Merchant Operation</w:t>
            </w:r>
          </w:p>
          <w:p>
            <w:pPr>
              <w:pStyle w:val="Normal"/>
              <w:rPr/>
            </w:pPr>
            <w:r>
              <w:rPr/>
              <w:t>Sale of Asset</w:t>
            </w:r>
          </w:p>
          <w:p>
            <w:pPr>
              <w:pStyle w:val="Normal"/>
              <w:rPr/>
            </w:pPr>
            <w:r>
              <w:rPr/>
            </w:r>
          </w:p>
        </w:tc>
        <w:tc>
          <w:tcPr>
            <w:tcW w:w="178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Dec-31-00</w:t>
            </w:r>
          </w:p>
          <w:p>
            <w:pPr>
              <w:pStyle w:val="Normal"/>
              <w:rPr/>
            </w:pPr>
            <w:r>
              <w:rPr/>
              <w:t>Dec-31-00</w:t>
            </w:r>
          </w:p>
          <w:p>
            <w:pPr>
              <w:pStyle w:val="Normal"/>
              <w:rPr/>
            </w:pPr>
            <w:r>
              <w:rPr/>
              <w:t>Aug-31-23</w:t>
            </w:r>
          </w:p>
          <w:p>
            <w:pPr>
              <w:pStyle w:val="Normal"/>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Dec-31-00</w:t>
            </w:r>
          </w:p>
          <w:p>
            <w:pPr>
              <w:pStyle w:val="Normal"/>
              <w:rPr/>
            </w:pPr>
            <w:r>
              <w:rPr/>
              <w:t>Dec-31-00</w:t>
            </w:r>
          </w:p>
          <w:p>
            <w:pPr>
              <w:pStyle w:val="Normal"/>
              <w:rPr/>
            </w:pPr>
            <w:r>
              <w:rPr/>
              <w:t>Dec-31-10</w:t>
            </w:r>
          </w:p>
          <w:p>
            <w:pPr>
              <w:pStyle w:val="Normal"/>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Dec-31-00</w:t>
            </w:r>
          </w:p>
          <w:p>
            <w:pPr>
              <w:pStyle w:val="Normal"/>
              <w:rPr/>
            </w:pPr>
            <w:r>
              <w:rPr/>
              <w:t>Dec-31-00</w:t>
            </w:r>
          </w:p>
          <w:p>
            <w:pPr>
              <w:pStyle w:val="Normal"/>
              <w:rPr/>
            </w:pPr>
            <w:r>
              <w:rPr/>
              <w:t>Dec-31-00</w:t>
            </w:r>
          </w:p>
          <w:p>
            <w:pPr>
              <w:pStyle w:val="Normal"/>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Dec-31-00</w:t>
            </w:r>
          </w:p>
          <w:p>
            <w:pPr>
              <w:pStyle w:val="Normal"/>
              <w:rPr/>
            </w:pPr>
            <w:r>
              <w:rPr/>
              <w:t>Dec-31-00</w:t>
            </w:r>
          </w:p>
          <w:p>
            <w:pPr>
              <w:pStyle w:val="Normal"/>
              <w:rPr/>
            </w:pPr>
            <w:r>
              <w:rPr/>
              <w:t>Dec-31-00</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pPr>
            <w:r>
              <w:rPr/>
              <w:t>LVC LP</w:t>
            </w:r>
          </w:p>
          <w:p>
            <w:pPr>
              <w:pStyle w:val="Normal"/>
              <w:rPr/>
            </w:pPr>
            <w:r>
              <w:rPr/>
              <w:t>Southwest Power Benefit</w:t>
            </w:r>
          </w:p>
          <w:p>
            <w:pPr>
              <w:pStyle w:val="Normal"/>
              <w:rPr/>
            </w:pPr>
            <w:r>
              <w:rPr/>
              <w:t>TLS (ENA) Share of Equity</w:t>
            </w:r>
          </w:p>
          <w:p>
            <w:pPr>
              <w:pStyle w:val="Normal"/>
              <w:rPr/>
            </w:pPr>
            <w:r>
              <w:rPr/>
              <w:t>JEDI II Share of Equity</w:t>
            </w:r>
          </w:p>
        </w:tc>
        <w:tc>
          <w:tcPr>
            <w:tcW w:w="178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$352</w:t>
            </w:r>
          </w:p>
          <w:p>
            <w:pPr>
              <w:pStyle w:val="Normal"/>
              <w:rPr/>
            </w:pPr>
            <w:r>
              <w:rPr/>
              <w:t>$264</w:t>
            </w:r>
          </w:p>
          <w:p>
            <w:pPr>
              <w:pStyle w:val="Normal"/>
              <w:rPr/>
            </w:pPr>
            <w:r>
              <w:rPr/>
              <w:t>$88</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$16,900</w:t>
            </w:r>
          </w:p>
          <w:p>
            <w:pPr>
              <w:pStyle w:val="Normal"/>
              <w:rPr/>
            </w:pPr>
            <w:r>
              <w:rPr/>
              <w:t>$12,675</w:t>
            </w:r>
          </w:p>
          <w:p>
            <w:pPr>
              <w:pStyle w:val="Normal"/>
              <w:rPr/>
            </w:pPr>
            <w:r>
              <w:rPr/>
              <w:t>$4,225</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$12,900</w:t>
            </w:r>
          </w:p>
          <w:p>
            <w:pPr>
              <w:pStyle w:val="Normal"/>
              <w:rPr/>
            </w:pPr>
            <w:r>
              <w:rPr/>
              <w:t>$9,675</w:t>
            </w:r>
          </w:p>
          <w:p>
            <w:pPr>
              <w:pStyle w:val="Normal"/>
              <w:rPr/>
            </w:pPr>
            <w:r>
              <w:rPr/>
              <w:t>$3,225</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$19,900</w:t>
            </w:r>
          </w:p>
          <w:p>
            <w:pPr>
              <w:pStyle w:val="Normal"/>
              <w:rPr/>
            </w:pPr>
            <w:r>
              <w:rPr/>
              <w:t>$14,925</w:t>
            </w:r>
          </w:p>
          <w:p>
            <w:pPr>
              <w:pStyle w:val="Normal"/>
              <w:rPr/>
            </w:pPr>
            <w:r>
              <w:rPr/>
              <w:t>$4,975</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pPr>
            <w:r>
              <w:rPr/>
              <w:t>LVC II</w:t>
            </w:r>
          </w:p>
          <w:p>
            <w:pPr>
              <w:pStyle w:val="Normal"/>
              <w:rPr/>
            </w:pPr>
            <w:r>
              <w:rPr/>
              <w:t>Pre-Tax NPV (1)</w:t>
            </w:r>
          </w:p>
          <w:p>
            <w:pPr>
              <w:pStyle w:val="Normal"/>
              <w:rPr/>
            </w:pPr>
            <w:r>
              <w:rPr/>
            </w:r>
          </w:p>
        </w:tc>
        <w:tc>
          <w:tcPr>
            <w:tcW w:w="178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Footer"/>
              <w:tabs>
                <w:tab w:val="clear" w:pos="4320"/>
                <w:tab w:val="clear" w:pos="8640"/>
              </w:tabs>
              <w:rPr/>
            </w:pPr>
            <w:r>
              <w:rPr/>
              <w:t>$4,663</w:t>
            </w:r>
            <w:r>
              <w:rPr>
                <w:rStyle w:val="FootnoteCharacters"/>
                <w:rStyle w:val="FootnoteReference"/>
              </w:rPr>
              <w:footnoteReference w:id="2"/>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$4,446</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$20,085</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$20,085</w:t>
            </w:r>
          </w:p>
          <w:p>
            <w:pPr>
              <w:pStyle w:val="Normal"/>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COMBINED ASSETS:</w:t>
            </w:r>
          </w:p>
          <w:p>
            <w:pPr>
              <w:pStyle w:val="Normal"/>
              <w:rPr/>
            </w:pPr>
            <w:r>
              <w:rPr/>
              <w:t>Pre-Tax NPV (ENA)</w:t>
            </w:r>
          </w:p>
        </w:tc>
        <w:tc>
          <w:tcPr>
            <w:tcW w:w="178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$4,927</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$17,121</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$29,760</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$35,010</w:t>
            </w:r>
          </w:p>
        </w:tc>
      </w:tr>
    </w:tbl>
    <w:p>
      <w:pPr>
        <w:pStyle w:val="sub"/>
        <w:rPr/>
      </w:pPr>
      <w:r>
        <w:rPr/>
      </w:r>
      <w:r>
        <w:br w:type="page"/>
      </w:r>
    </w:p>
    <w:p>
      <w:pPr>
        <w:pStyle w:val="sub"/>
        <w:rPr/>
      </w:pPr>
      <w:r>
        <w:rPr/>
      </w:r>
    </w:p>
    <w:p>
      <w:pPr>
        <w:pStyle w:val="Normal"/>
        <w:rPr>
          <w:b/>
        </w:rPr>
      </w:pPr>
      <w:r>
        <w:rPr>
          <w:b/>
        </w:rPr>
        <w:t>Contractual Structure</w:t>
      </w:r>
    </w:p>
    <w:p>
      <w:pPr>
        <w:pStyle w:val="Normal"/>
        <w:spacing w:before="0" w:after="240"/>
        <w:rPr/>
      </w:pPr>
      <w:r>
        <w:rPr/>
        <w:t>The operating contractual structure for LVCLP is summarized below:</w:t>
      </w:r>
    </w:p>
    <w:p>
      <w:pPr>
        <w:pStyle w:val="Body"/>
        <w:rPr/>
      </w:pPr>
      <w:r>
        <w:rPr/>
        <w:t>Principal Contract Summaries</w:t>
      </w:r>
    </w:p>
    <w:p>
      <w:pPr>
        <w:pStyle w:val="Body"/>
        <w:rPr>
          <w:lang w:val="en-CA"/>
        </w:rPr>
      </w:pPr>
      <w:r>
        <w:rPr>
          <w:lang w:val="en-CA"/>
        </w:rPr>
        <mc:AlternateContent>
          <mc:Choice Requires="wpg">
            <w:drawing>
              <wp:anchor behindDoc="0" distT="0" distB="0" distL="114935" distR="114935" simplePos="0" locked="0" layoutInCell="1" allowOverlap="1" relativeHeight="59">
                <wp:simplePos x="0" y="0"/>
                <wp:positionH relativeFrom="column">
                  <wp:posOffset>-137160</wp:posOffset>
                </wp:positionH>
                <wp:positionV relativeFrom="paragraph">
                  <wp:posOffset>-5080</wp:posOffset>
                </wp:positionV>
                <wp:extent cx="5944870" cy="7211060"/>
                <wp:effectExtent l="5080" t="0" r="5080" b="5080"/>
                <wp:wrapNone/>
                <wp:docPr id="2" name=""/>
                <a:graphic xmlns:a="http://schemas.openxmlformats.org/drawingml/2006/main">
                  <a:graphicData uri="http://schemas.microsoft.com/office/word/2010/wordprocessingGroup">
                    <wpg:wgp>
                      <wpg:cNvGrpSpPr/>
                      <wpg:grpSpPr>
                        <a:xfrm>
                          <a:off x="0" y="0"/>
                          <a:ext cx="5945040" cy="7211160"/>
                          <a:chOff x="0" y="0"/>
                          <a:chExt cx="5945040" cy="7211160"/>
                        </a:xfrm>
                      </wpg:grpSpPr>
                      <wps:wsp>
                        <wps:cNvSpPr txBox="1"/>
                        <wps:spPr>
                          <a:xfrm>
                            <a:off x="2031480" y="4885200"/>
                            <a:ext cx="907560" cy="639360"/>
                          </a:xfrm>
                          <a:prstGeom prst="rect">
                            <a:avLst/>
                          </a:prstGeom>
                          <a:solidFill>
                            <a:srgbClr val="ffffff"/>
                          </a:solidFill>
                          <a:ln w="0">
                            <a:noFill/>
                          </a:ln>
                        </wps:spPr>
                        <wps:txbx>
                          <w:txbxContent>
                            <w:p>
                              <w:pPr>
                                <w:overflowPunct w:val="false"/>
                                <w:bidi w:val="0"/>
                                <w:jc w:val="center"/>
                                <w:rPr/>
                              </w:pPr>
                              <w:r>
                                <w:rPr>
                                  <w:kern w:val="2"/>
                                  <w:sz w:val="24"/>
                                  <w:szCs w:val="20"/>
                                  <w:rFonts w:ascii="TimesNewRoman" w:hAnsi="TimesNewRoman" w:eastAsia="Times New Roman" w:cs="TimesNewRoman"/>
                                  <w:color w:val="auto"/>
                                  <w:lang w:val="en-US" w:eastAsia="en-US"/>
                                </w:rPr>
                                <w:t>Local Gas Transportation Agreement</w:t>
                              </w:r>
                            </w:p>
                          </w:txbxContent>
                        </wps:txbx>
                        <wps:bodyPr wrap="square" anchor="t">
                          <a:noAutofit/>
                        </wps:bodyPr>
                      </wps:wsp>
                      <wps:wsp>
                        <wps:cNvSpPr txBox="1"/>
                        <wps:spPr>
                          <a:xfrm rot="16200000">
                            <a:off x="1872000" y="303840"/>
                            <a:ext cx="1246680" cy="638640"/>
                          </a:xfrm>
                          <a:prstGeom prst="rect">
                            <a:avLst/>
                          </a:prstGeom>
                          <a:solidFill>
                            <a:srgbClr val="ffffff"/>
                          </a:solidFill>
                          <a:ln w="0">
                            <a:noFill/>
                          </a:ln>
                        </wps:spPr>
                        <wps:txbx>
                          <w:txbxContent>
                            <w:p>
                              <w:pPr>
                                <w:overflowPunct w:val="false"/>
                                <w:bidi w:val="0"/>
                                <w:jc w:val="both"/>
                                <w:rPr/>
                              </w:pPr>
                              <w:r>
                                <w:rPr>
                                  <w:kern w:val="2"/>
                                  <w:sz w:val="20"/>
                                  <w:szCs w:val="20"/>
                                  <w:rFonts w:ascii="TimesNewRoman" w:hAnsi="TimesNewRoman" w:eastAsia="Times New Roman" w:cs="TimesNewRoman"/>
                                  <w:color w:val="auto"/>
                                  <w:lang w:val="en-US" w:eastAsia="en-US"/>
                                </w:rPr>
                                <w:t>Gas Supply and Transportation Agreement</w:t>
                              </w:r>
                            </w:p>
                          </w:txbxContent>
                        </wps:txbx>
                        <wps:bodyPr wrap="square" lIns="45720" rIns="45720" tIns="91440" bIns="91440" anchor="t">
                          <a:noAutofit/>
                        </wps:bodyPr>
                      </wps:wsp>
                      <wps:wsp>
                        <wps:cNvSpPr txBox="1"/>
                        <wps:spPr>
                          <a:xfrm>
                            <a:off x="0" y="2524680"/>
                            <a:ext cx="2040120" cy="1691640"/>
                          </a:xfrm>
                          <a:prstGeom prst="rect">
                            <a:avLst/>
                          </a:prstGeom>
                          <a:solidFill>
                            <a:srgbClr val="ffffff"/>
                          </a:solidFill>
                          <a:ln w="9360">
                            <a:solidFill>
                              <a:srgbClr val="000000"/>
                            </a:solidFill>
                            <a:miter/>
                          </a:ln>
                        </wps:spPr>
                        <wps:txbx>
                          <w:txbxContent>
                            <w:p>
                              <w:pPr>
                                <w:overflowPunct w:val="false"/>
                                <w:bidi w:val="0"/>
                                <w:jc w:val="both"/>
                                <w:rPr/>
                              </w:pPr>
                              <w:r>
                                <w:rPr>
                                  <w:kern w:val="2"/>
                                  <w:sz w:val="20"/>
                                  <w:u w:val="single"/>
                                  <w:szCs w:val="20"/>
                                  <w:rFonts w:ascii="TimesNewRoman" w:hAnsi="TimesNewRoman" w:eastAsia="Times New Roman" w:cs="TimesNewRoman"/>
                                  <w:color w:val="auto"/>
                                  <w:lang w:val="en-US" w:eastAsia="en-US"/>
                                </w:rPr>
                                <w:t>Kern River Gas Transmission Co.</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Gives Duke the right to transport 50,000 Mcf of natural gas per day along the Kern River Pipeline</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Expires in Feb. 2009; renewable in 1-year increments at Duke’s option</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Long-term debt rating of A-/A2</w:t>
                              </w:r>
                            </w:p>
                          </w:txbxContent>
                        </wps:txbx>
                        <wps:bodyPr wrap="square" anchor="t">
                          <a:noAutofit/>
                        </wps:bodyPr>
                      </wps:wsp>
                      <wps:wsp>
                        <wps:cNvSpPr txBox="1"/>
                        <wps:spPr>
                          <a:xfrm>
                            <a:off x="0" y="4380840"/>
                            <a:ext cx="2040120" cy="119772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Southwest Gas Transmission</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17-year gas firm transportation from Kern River Pipeline to the facility with adequate volume</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Long-term debt rating of BBB-/Baa3</w:t>
                              </w:r>
                            </w:p>
                          </w:txbxContent>
                        </wps:txbx>
                        <wps:bodyPr wrap="square" anchor="t">
                          <a:noAutofit/>
                        </wps:bodyPr>
                      </wps:wsp>
                      <wps:wsp>
                        <wps:cNvSpPr txBox="1"/>
                        <wps:spPr>
                          <a:xfrm>
                            <a:off x="0" y="5742360"/>
                            <a:ext cx="2031480" cy="138492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Enron Power Marketing, Inc.</w:t>
                              </w:r>
                            </w:p>
                            <w:p>
                              <w:pPr>
                                <w:overflowPunct w:val="false"/>
                                <w:bidi w:val="0"/>
                                <w:jc w:val="both"/>
                                <w:rPr/>
                              </w:pPr>
                              <w:r>
                                <w:rPr>
                                  <w:kern w:val="2"/>
                                  <w:sz w:val="24"/>
                                  <w:szCs w:val="20"/>
                                  <w:rFonts w:ascii="TimesNewRoman" w:hAnsi="TimesNewRoman" w:eastAsia="Times New Roman" w:cs="TimesNewRoman"/>
                                  <w:color w:val="auto"/>
                                  <w:lang w:val="en-US" w:eastAsia="en-US"/>
                                </w:rPr>
                                <w:t>Commodity Services Agreement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Power Marketing</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Fuel Management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Other Services</w:t>
                              </w:r>
                            </w:p>
                          </w:txbxContent>
                        </wps:txbx>
                        <wps:bodyPr wrap="square" anchor="t">
                          <a:noAutofit/>
                        </wps:bodyPr>
                      </wps:wsp>
                      <wps:wsp>
                        <wps:cNvSpPr txBox="1"/>
                        <wps:spPr>
                          <a:xfrm>
                            <a:off x="2176920" y="1885320"/>
                            <a:ext cx="1591200" cy="320040"/>
                          </a:xfrm>
                          <a:prstGeom prst="rect">
                            <a:avLst/>
                          </a:prstGeom>
                          <a:solidFill>
                            <a:srgbClr val="ffffff"/>
                          </a:solidFill>
                          <a:ln w="19080">
                            <a:solidFill>
                              <a:srgbClr val="000000"/>
                            </a:solidFill>
                            <a:miter/>
                          </a:ln>
                        </wps:spPr>
                        <wps:txbx>
                          <w:txbxContent>
                            <w:p>
                              <w:pPr>
                                <w:overflowPunct w:val="false"/>
                                <w:bidi w:val="0"/>
                                <w:jc w:val="center"/>
                                <w:rPr/>
                              </w:pPr>
                              <w:r>
                                <w:rPr>
                                  <w:kern w:val="2"/>
                                  <w:sz w:val="24"/>
                                  <w:b/>
                                  <w:szCs w:val="20"/>
                                  <w:rFonts w:ascii="TimesNewRoman" w:hAnsi="TimesNewRoman" w:eastAsia="Times New Roman" w:cs="TimesNewRoman"/>
                                  <w:color w:val="auto"/>
                                  <w:lang w:val="en-US" w:eastAsia="en-US"/>
                                </w:rPr>
                                <w:t>Las Vegas Cogen, L.P.</w:t>
                              </w:r>
                            </w:p>
                          </w:txbxContent>
                        </wps:txbx>
                        <wps:bodyPr wrap="square" anchor="t">
                          <a:noAutofit/>
                        </wps:bodyPr>
                      </wps:wsp>
                      <wps:wsp>
                        <wps:cNvSpPr txBox="1"/>
                        <wps:spPr>
                          <a:xfrm>
                            <a:off x="837000" y="1778760"/>
                            <a:ext cx="1004040" cy="638280"/>
                          </a:xfrm>
                          <a:prstGeom prst="rect">
                            <a:avLst/>
                          </a:prstGeom>
                          <a:solidFill>
                            <a:srgbClr val="ffffff"/>
                          </a:solidFill>
                          <a:ln w="0">
                            <a:noFill/>
                          </a:ln>
                        </wps:spPr>
                        <wps:txbx>
                          <w:txbxContent>
                            <w:p>
                              <w:pPr>
                                <w:overflowPunct w:val="false"/>
                                <w:bidi w:val="0"/>
                                <w:jc w:val="center"/>
                                <w:rPr/>
                              </w:pPr>
                              <w:r>
                                <w:rPr>
                                  <w:kern w:val="2"/>
                                  <w:sz w:val="20"/>
                                  <w:szCs w:val="20"/>
                                  <w:rFonts w:ascii="TimesNewRoman" w:hAnsi="TimesNewRoman" w:eastAsia="Times New Roman" w:cs="TimesNewRoman"/>
                                  <w:color w:val="auto"/>
                                  <w:lang w:val="en-US" w:eastAsia="en-US"/>
                                </w:rPr>
                                <w:t>Kern River Gas Transportation Agreement</w:t>
                              </w:r>
                            </w:p>
                          </w:txbxContent>
                        </wps:txbx>
                        <wps:bodyPr wrap="square" anchor="t">
                          <a:noAutofit/>
                        </wps:bodyPr>
                      </wps:wsp>
                      <wps:wsp>
                        <wps:cNvSpPr/>
                        <wps:spPr>
                          <a:xfrm flipV="1">
                            <a:off x="837720" y="1667520"/>
                            <a:ext cx="0" cy="8564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123280" y="607680"/>
                            <a:ext cx="638640" cy="0"/>
                          </a:xfrm>
                          <a:prstGeom prst="line">
                            <a:avLst/>
                          </a:prstGeom>
                          <a:ln w="9360">
                            <a:solidFill>
                              <a:srgbClr val="000000"/>
                            </a:solidFill>
                            <a:miter/>
                          </a:ln>
                        </wps:spPr>
                        <wps:style>
                          <a:lnRef idx="0"/>
                          <a:fillRef idx="0"/>
                          <a:effectRef idx="0"/>
                          <a:fontRef idx="minor"/>
                        </wps:style>
                        <wps:bodyPr/>
                      </wps:wsp>
                      <wps:wsp>
                        <wps:cNvSpPr/>
                        <wps:spPr>
                          <a:xfrm>
                            <a:off x="2763000" y="607680"/>
                            <a:ext cx="0" cy="12769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40840" y="4885560"/>
                            <a:ext cx="794880" cy="0"/>
                          </a:xfrm>
                          <a:prstGeom prst="line">
                            <a:avLst/>
                          </a:prstGeom>
                          <a:ln w="9360">
                            <a:solidFill>
                              <a:srgbClr val="000000"/>
                            </a:solidFill>
                            <a:miter/>
                          </a:ln>
                        </wps:spPr>
                        <wps:style>
                          <a:lnRef idx="0"/>
                          <a:fillRef idx="0"/>
                          <a:effectRef idx="0"/>
                          <a:fontRef idx="minor"/>
                        </wps:style>
                        <wps:bodyPr/>
                      </wps:wsp>
                      <wps:wsp>
                        <wps:cNvSpPr/>
                        <wps:spPr>
                          <a:xfrm flipV="1">
                            <a:off x="2846880" y="2205360"/>
                            <a:ext cx="0" cy="26798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40840" y="6039360"/>
                            <a:ext cx="974160" cy="0"/>
                          </a:xfrm>
                          <a:prstGeom prst="line">
                            <a:avLst/>
                          </a:prstGeom>
                          <a:ln w="9360">
                            <a:solidFill>
                              <a:srgbClr val="000000"/>
                            </a:solidFill>
                            <a:miter/>
                          </a:ln>
                        </wps:spPr>
                        <wps:style>
                          <a:lnRef idx="0"/>
                          <a:fillRef idx="0"/>
                          <a:effectRef idx="0"/>
                          <a:fontRef idx="minor"/>
                        </wps:style>
                        <wps:bodyPr/>
                      </wps:wsp>
                      <wps:wsp>
                        <wps:cNvSpPr/>
                        <wps:spPr>
                          <a:xfrm flipV="1">
                            <a:off x="3015000" y="2204640"/>
                            <a:ext cx="0" cy="38336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832920" y="393840"/>
                            <a:ext cx="1422360" cy="53280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Sunco, L.L.C.</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Tomato Greenhouse</w:t>
                              </w:r>
                            </w:p>
                          </w:txbxContent>
                        </wps:txbx>
                        <wps:bodyPr wrap="square" anchor="t">
                          <a:noAutofit/>
                        </wps:bodyPr>
                      </wps:wsp>
                      <wpg:grpSp>
                        <wpg:cNvGrpSpPr/>
                        <wpg:grpSpPr>
                          <a:xfrm>
                            <a:off x="3432960" y="926640"/>
                            <a:ext cx="1674360" cy="957600"/>
                          </a:xfrm>
                        </wpg:grpSpPr>
                        <wps:wsp>
                          <wps:cNvSpPr txBox="1"/>
                          <wps:spPr>
                            <a:xfrm>
                              <a:off x="0" y="283680"/>
                              <a:ext cx="1087920" cy="318600"/>
                            </a:xfrm>
                            <a:prstGeom prst="rect">
                              <a:avLst/>
                            </a:prstGeom>
                            <a:solidFill>
                              <a:srgbClr val="ffffff"/>
                            </a:solidFill>
                            <a:ln w="0">
                              <a:noFill/>
                            </a:ln>
                          </wps:spPr>
                          <wps:txbx>
                            <w:txbxContent>
                              <w:p>
                                <w:pPr>
                                  <w:overflowPunct w:val="false"/>
                                  <w:bidi w:val="0"/>
                                  <w:jc w:val="both"/>
                                  <w:rPr/>
                                </w:pPr>
                                <w:r>
                                  <w:rPr>
                                    <w:kern w:val="2"/>
                                    <w:sz w:val="24"/>
                                    <w:szCs w:val="20"/>
                                    <w:rFonts w:ascii="TimesNewRoman" w:hAnsi="TimesNewRoman" w:eastAsia="Times New Roman" w:cs="TimesNewRoman"/>
                                    <w:color w:val="auto"/>
                                    <w:lang w:val="en-US" w:eastAsia="en-US"/>
                                  </w:rPr>
                                  <w:t>Greenhouse Lease</w:t>
                                </w:r>
                              </w:p>
                            </w:txbxContent>
                          </wps:txbx>
                          <wps:bodyPr wrap="square" anchor="t">
                            <a:noAutofit/>
                          </wps:bodyPr>
                        </wps:wsp>
                        <wps:wsp>
                          <wps:cNvSpPr/>
                          <wps:spPr>
                            <a:xfrm>
                              <a:off x="360" y="532080"/>
                              <a:ext cx="0" cy="4255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60" y="532080"/>
                              <a:ext cx="1674000" cy="0"/>
                            </a:xfrm>
                            <a:prstGeom prst="line">
                              <a:avLst/>
                            </a:prstGeom>
                            <a:ln w="9360">
                              <a:solidFill>
                                <a:srgbClr val="000000"/>
                              </a:solidFill>
                              <a:miter/>
                            </a:ln>
                          </wps:spPr>
                          <wps:style>
                            <a:lnRef idx="0"/>
                            <a:fillRef idx="0"/>
                            <a:effectRef idx="0"/>
                            <a:fontRef idx="minor"/>
                          </wps:style>
                          <wps:bodyPr/>
                        </wps:wsp>
                        <wps:wsp>
                          <wps:cNvSpPr/>
                          <wps:spPr>
                            <a:xfrm flipV="1">
                              <a:off x="1674360" y="0"/>
                              <a:ext cx="0" cy="53136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3832920" y="1604160"/>
                            <a:ext cx="2028240" cy="134244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Enron North America Corp.</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Operations &amp; Maintenance</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Secondary Gas and Transportation Agreement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Gas and interest rate hedge</w:t>
                              </w:r>
                            </w:p>
                          </w:txbxContent>
                        </wps:txbx>
                        <wps:bodyPr wrap="square" anchor="t">
                          <a:noAutofit/>
                        </wps:bodyPr>
                      </wps:wsp>
                      <wpg:grpSp>
                        <wpg:cNvGrpSpPr/>
                        <wpg:grpSpPr>
                          <a:xfrm>
                            <a:off x="3517200" y="2205360"/>
                            <a:ext cx="1422360" cy="1276200"/>
                          </a:xfrm>
                        </wpg:grpSpPr>
                        <wps:wsp>
                          <wps:cNvSpPr/>
                          <wps:spPr>
                            <a:xfrm>
                              <a:off x="1422360" y="740520"/>
                              <a:ext cx="0" cy="536040"/>
                            </a:xfrm>
                            <a:prstGeom prst="line">
                              <a:avLst/>
                            </a:prstGeom>
                            <a:ln w="9360">
                              <a:solidFill>
                                <a:srgbClr val="000000"/>
                              </a:solidFill>
                              <a:miter/>
                            </a:ln>
                          </wps:spPr>
                          <wps:style>
                            <a:lnRef idx="0"/>
                            <a:fillRef idx="0"/>
                            <a:effectRef idx="0"/>
                            <a:fontRef idx="minor"/>
                          </wps:style>
                          <wps:bodyPr/>
                        </wps:wsp>
                        <wps:wsp>
                          <wps:cNvSpPr/>
                          <wps:spPr>
                            <a:xfrm flipH="1">
                              <a:off x="0" y="1276200"/>
                              <a:ext cx="1422360" cy="0"/>
                            </a:xfrm>
                            <a:prstGeom prst="line">
                              <a:avLst/>
                            </a:prstGeom>
                            <a:ln w="9360">
                              <a:solidFill>
                                <a:srgbClr val="000000"/>
                              </a:solidFill>
                              <a:miter/>
                            </a:ln>
                          </wps:spPr>
                          <wps:style>
                            <a:lnRef idx="0"/>
                            <a:fillRef idx="0"/>
                            <a:effectRef idx="0"/>
                            <a:fontRef idx="minor"/>
                          </wps:style>
                          <wps:bodyPr/>
                        </wps:wsp>
                        <wps:wsp>
                          <wps:cNvSpPr/>
                          <wps:spPr>
                            <a:xfrm flipV="1">
                              <a:off x="0" y="0"/>
                              <a:ext cx="0" cy="127620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3832920" y="4279320"/>
                            <a:ext cx="2112120" cy="102672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Nevada Power Company</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PPA for 45 MW of on-peak off-take through 2024.</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Long-term debt rating of BBB/Baa2</w:t>
                              </w:r>
                            </w:p>
                          </w:txbxContent>
                        </wps:txbx>
                        <wps:bodyPr wrap="square" anchor="t">
                          <a:noAutofit/>
                        </wps:bodyPr>
                      </wps:wsp>
                      <wpg:grpSp>
                        <wpg:cNvGrpSpPr/>
                        <wpg:grpSpPr>
                          <a:xfrm>
                            <a:off x="3349800" y="2205360"/>
                            <a:ext cx="2008440" cy="2072520"/>
                          </a:xfrm>
                        </wpg:grpSpPr>
                        <wps:wsp>
                          <wps:cNvSpPr txBox="1"/>
                          <wps:spPr>
                            <a:xfrm>
                              <a:off x="51120" y="1489680"/>
                              <a:ext cx="1255320" cy="447840"/>
                            </a:xfrm>
                            <a:prstGeom prst="rect">
                              <a:avLst/>
                            </a:prstGeom>
                            <a:solidFill>
                              <a:srgbClr val="ffffff"/>
                            </a:solidFill>
                            <a:ln w="0">
                              <a:noFill/>
                            </a:ln>
                          </wps:spPr>
                          <wps:txbx>
                            <w:txbxContent>
                              <w:p>
                                <w:pPr>
                                  <w:overflowPunct w:val="false"/>
                                  <w:bidi w:val="0"/>
                                  <w:jc w:val="both"/>
                                  <w:rPr/>
                                </w:pPr>
                                <w:r>
                                  <w:rPr>
                                    <w:kern w:val="2"/>
                                    <w:sz w:val="24"/>
                                    <w:szCs w:val="20"/>
                                    <w:rFonts w:ascii="TimesNewRoman" w:hAnsi="TimesNewRoman" w:eastAsia="Times New Roman" w:cs="TimesNewRoman"/>
                                    <w:color w:val="auto"/>
                                    <w:lang w:val="en-US" w:eastAsia="en-US"/>
                                  </w:rPr>
                                  <w:t>Power Purchase Agreement</w:t>
                                </w:r>
                              </w:p>
                            </w:txbxContent>
                          </wps:txbx>
                          <wps:bodyPr wrap="square" anchor="t">
                            <a:noAutofit/>
                          </wps:bodyPr>
                        </wps:wsp>
                        <wps:wsp>
                          <wps:cNvSpPr/>
                          <wps:spPr>
                            <a:xfrm>
                              <a:off x="0" y="0"/>
                              <a:ext cx="0" cy="1702440"/>
                            </a:xfrm>
                            <a:prstGeom prst="line">
                              <a:avLst/>
                            </a:prstGeom>
                            <a:ln w="9360">
                              <a:solidFill>
                                <a:srgbClr val="000000"/>
                              </a:solidFill>
                              <a:miter/>
                            </a:ln>
                          </wps:spPr>
                          <wps:style>
                            <a:lnRef idx="0"/>
                            <a:fillRef idx="0"/>
                            <a:effectRef idx="0"/>
                            <a:fontRef idx="minor"/>
                          </wps:style>
                          <wps:bodyPr/>
                        </wps:wsp>
                        <wps:wsp>
                          <wps:cNvSpPr/>
                          <wps:spPr>
                            <a:xfrm>
                              <a:off x="0" y="1702440"/>
                              <a:ext cx="2008440" cy="0"/>
                            </a:xfrm>
                            <a:prstGeom prst="line">
                              <a:avLst/>
                            </a:prstGeom>
                            <a:ln w="9360">
                              <a:solidFill>
                                <a:srgbClr val="000000"/>
                              </a:solidFill>
                              <a:miter/>
                            </a:ln>
                          </wps:spPr>
                          <wps:style>
                            <a:lnRef idx="0"/>
                            <a:fillRef idx="0"/>
                            <a:effectRef idx="0"/>
                            <a:fontRef idx="minor"/>
                          </wps:style>
                          <wps:bodyPr/>
                        </wps:wsp>
                        <wps:wsp>
                          <wps:cNvSpPr/>
                          <wps:spPr>
                            <a:xfrm>
                              <a:off x="2008440" y="1702440"/>
                              <a:ext cx="0" cy="37008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3832920" y="5613480"/>
                            <a:ext cx="2112120" cy="159768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Nevada Power Company</w:t>
                              </w:r>
                            </w:p>
                            <w:p>
                              <w:pPr>
                                <w:overflowPunct w:val="false"/>
                                <w:bidi w:val="0"/>
                                <w:jc w:val="both"/>
                                <w:rPr/>
                              </w:pPr>
                              <w:r>
                                <w:rPr>
                                  <w:kern w:val="2"/>
                                  <w:sz w:val="24"/>
                                  <w:szCs w:val="20"/>
                                  <w:rFonts w:ascii="TimesNewRoman" w:hAnsi="TimesNewRoman" w:eastAsia="Times New Roman" w:cs="TimesNewRoman"/>
                                  <w:color w:val="auto"/>
                                  <w:lang w:val="en-US" w:eastAsia="en-US"/>
                                </w:rPr>
                                <w:t>Limited Release of applicable energy.</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Release of energy during off-peak and excess on-peak outside of 45MW obligation</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Sharing of value between NPC and LVCLP</w:t>
                              </w:r>
                            </w:p>
                          </w:txbxContent>
                        </wps:txbx>
                        <wps:bodyPr wrap="square" anchor="t">
                          <a:noAutofit/>
                        </wps:bodyPr>
                      </wps:wsp>
                      <wps:wsp>
                        <wps:cNvSpPr/>
                        <wps:spPr>
                          <a:xfrm flipH="1">
                            <a:off x="3182760" y="6039360"/>
                            <a:ext cx="650160" cy="0"/>
                          </a:xfrm>
                          <a:prstGeom prst="line">
                            <a:avLst/>
                          </a:prstGeom>
                          <a:ln w="9360">
                            <a:solidFill>
                              <a:srgbClr val="000000"/>
                            </a:solidFill>
                            <a:miter/>
                          </a:ln>
                        </wps:spPr>
                        <wps:style>
                          <a:lnRef idx="0"/>
                          <a:fillRef idx="0"/>
                          <a:effectRef idx="0"/>
                          <a:fontRef idx="minor"/>
                        </wps:style>
                        <wps:bodyPr/>
                      </wps:wsp>
                      <wps:wsp>
                        <wps:cNvSpPr/>
                        <wps:spPr>
                          <a:xfrm flipV="1">
                            <a:off x="3182760" y="2204640"/>
                            <a:ext cx="0" cy="383364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9360" y="170640"/>
                            <a:ext cx="2114640" cy="1497240"/>
                          </a:xfrm>
                          <a:prstGeom prst="rect">
                            <a:avLst/>
                          </a:prstGeom>
                          <a:solidFill>
                            <a:srgbClr val="ffffff"/>
                          </a:solidFill>
                          <a:ln w="9360">
                            <a:solidFill>
                              <a:srgbClr val="000000"/>
                            </a:solidFill>
                            <a:miter/>
                          </a:ln>
                        </wps:spPr>
                        <wps:txbx>
                          <w:txbxContent>
                            <w:p>
                              <w:pPr>
                                <w:overflowPunct w:val="false"/>
                                <w:bidi w:val="0"/>
                                <w:spacing w:before="0" w:after="120"/>
                                <w:jc w:val="both"/>
                                <w:rPr/>
                              </w:pPr>
                              <w:r>
                                <w:rPr>
                                  <w:kern w:val="2"/>
                                  <w:sz w:val="20"/>
                                  <w:u w:val="single"/>
                                  <w:szCs w:val="20"/>
                                  <w:rFonts w:ascii="TimesNewRoman" w:hAnsi="TimesNewRoman" w:eastAsia="Times New Roman" w:cs="TimesNewRoman"/>
                                  <w:color w:val="auto"/>
                                  <w:lang w:val="en-US" w:eastAsia="en-US"/>
                                </w:rPr>
                                <w:t>Duke Energy Fuels, L.P.</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17-year Primary Gas Supply and Transportation Agreement</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5,000mmBtu of gas per day = exceeds plant on-peak requirement</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Long-term debt rating A+/A1</w:t>
                              </w:r>
                            </w:p>
                          </w:txbxContent>
                        </wps:txbx>
                        <wps:bodyPr wrap="square" anchor="t">
                          <a:noAutofit/>
                        </wps:bodyPr>
                      </wps:wsp>
                    </wpg:wgp>
                  </a:graphicData>
                </a:graphic>
              </wp:anchor>
            </w:drawing>
          </mc:Choice>
          <mc:Fallback>
            <w:pict>
              <v:group id="shape_0" style="position:absolute;margin-left:-10.8pt;margin-top:13.05pt;width:468.1pt;height:554.35pt" coordorigin="-216,261" coordsize="9362,11087">
                <v:shapetype id="_x0000_t202" coordsize="21600,21600" o:spt="202" path="m,l,21600l21600,21600l21600,xe">
                  <v:stroke joinstyle="miter"/>
                  <v:path gradientshapeok="t" o:connecttype="rect"/>
                </v:shapetype>
                <v:shape id="shape_0" fillcolor="white" stroked="f" o:allowincell="f" style="position:absolute;left:2983;top:7685;width:1428;height:1006;mso-wrap-style:square;v-text-anchor:top" type="_x0000_t202">
                  <v:textbox>
                    <w:txbxContent>
                      <w:p>
                        <w:pPr>
                          <w:overflowPunct w:val="false"/>
                          <w:bidi w:val="0"/>
                          <w:jc w:val="center"/>
                          <w:rPr/>
                        </w:pPr>
                        <w:r>
                          <w:rPr>
                            <w:kern w:val="2"/>
                            <w:sz w:val="24"/>
                            <w:szCs w:val="20"/>
                            <w:rFonts w:ascii="TimesNewRoman" w:hAnsi="TimesNewRoman" w:eastAsia="Times New Roman" w:cs="TimesNewRoman"/>
                            <w:color w:val="auto"/>
                            <w:lang w:val="en-US" w:eastAsia="en-US"/>
                          </w:rPr>
                          <w:t>Local Gas Transportation Agreement</w:t>
                        </w:r>
                      </w:p>
                    </w:txbxContent>
                  </v:textbox>
                  <v:fill o:detectmouseclick="t" type="solid" color2="black"/>
                  <v:stroke color="#3465a4" joinstyle="round" endcap="flat"/>
                  <w10:wrap type="none"/>
                </v:shape>
                <v:shape id="shape_0" fillcolor="white" stroked="f" o:allowincell="f" style="position:absolute;left:2733;top:470;width:1962;height:1005;mso-wrap-style:square;v-text-anchor:top;rotation:270" type="_x0000_t202">
                  <v:textbox style="mso-layout-flow-alt:bottom-to-top">
                    <w:txbxContent>
                      <w:p>
                        <w:pPr>
                          <w:overflowPunct w:val="false"/>
                          <w:bidi w:val="0"/>
                          <w:jc w:val="both"/>
                          <w:rPr/>
                        </w:pPr>
                        <w:r>
                          <w:rPr>
                            <w:kern w:val="2"/>
                            <w:sz w:val="20"/>
                            <w:szCs w:val="20"/>
                            <w:rFonts w:ascii="TimesNewRoman" w:hAnsi="TimesNewRoman" w:eastAsia="Times New Roman" w:cs="TimesNewRoman"/>
                            <w:color w:val="auto"/>
                            <w:lang w:val="en-US" w:eastAsia="en-US"/>
                          </w:rPr>
                          <w:t>Gas Supply and Transportation Agreement</w:t>
                        </w:r>
                      </w:p>
                    </w:txbxContent>
                  </v:textbox>
                  <v:fill o:detectmouseclick="t" type="solid" color2="black"/>
                  <v:stroke color="#3465a4" joinstyle="round" endcap="flat"/>
                  <w10:wrap type="none"/>
                </v:shape>
                <v:shape id="shape_0" fillcolor="white" stroked="t" o:allowincell="f" style="position:absolute;left:-216;top:3968;width:3212;height:2663;mso-wrap-style:square;v-text-anchor:top" type="_x0000_t202">
                  <v:textbox>
                    <w:txbxContent>
                      <w:p>
                        <w:pPr>
                          <w:overflowPunct w:val="false"/>
                          <w:bidi w:val="0"/>
                          <w:jc w:val="both"/>
                          <w:rPr/>
                        </w:pPr>
                        <w:r>
                          <w:rPr>
                            <w:kern w:val="2"/>
                            <w:sz w:val="20"/>
                            <w:u w:val="single"/>
                            <w:szCs w:val="20"/>
                            <w:rFonts w:ascii="TimesNewRoman" w:hAnsi="TimesNewRoman" w:eastAsia="Times New Roman" w:cs="TimesNewRoman"/>
                            <w:color w:val="auto"/>
                            <w:lang w:val="en-US" w:eastAsia="en-US"/>
                          </w:rPr>
                          <w:t>Kern River Gas Transmission Co.</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Gives Duke the right to transport 50,000 Mcf of natural gas per day along the Kern River Pipeline</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Expires in Feb. 2009; renewable in 1-year increments at Duke’s option</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Long-term debt rating of A-/A2</w:t>
                        </w:r>
                      </w:p>
                    </w:txbxContent>
                  </v:textbox>
                  <v:fill o:detectmouseclick="t" type="solid" color2="black"/>
                  <v:stroke color="black" weight="9360" joinstyle="miter" endcap="flat"/>
                  <w10:wrap type="none"/>
                </v:shape>
                <v:shape id="shape_0" fillcolor="white" stroked="t" o:allowincell="f" style="position:absolute;left:-216;top:6891;width:3212;height:1885;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Southwest Gas Transmission</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17-year gas firm transportation from Kern River Pipeline to the facility with adequate volume</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Long-term debt rating of BBB-/Baa3</w:t>
                        </w:r>
                      </w:p>
                    </w:txbxContent>
                  </v:textbox>
                  <v:fill o:detectmouseclick="t" type="solid" color2="black"/>
                  <v:stroke color="black" weight="9360" joinstyle="miter" endcap="flat"/>
                  <w10:wrap type="none"/>
                </v:shape>
                <v:shape id="shape_0" fillcolor="white" stroked="t" o:allowincell="f" style="position:absolute;left:-216;top:9035;width:3198;height:2180;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Enron Power Marketing, Inc.</w:t>
                        </w:r>
                      </w:p>
                      <w:p>
                        <w:pPr>
                          <w:overflowPunct w:val="false"/>
                          <w:bidi w:val="0"/>
                          <w:jc w:val="both"/>
                          <w:rPr/>
                        </w:pPr>
                        <w:r>
                          <w:rPr>
                            <w:kern w:val="2"/>
                            <w:sz w:val="24"/>
                            <w:szCs w:val="20"/>
                            <w:rFonts w:ascii="TimesNewRoman" w:hAnsi="TimesNewRoman" w:eastAsia="Times New Roman" w:cs="TimesNewRoman"/>
                            <w:color w:val="auto"/>
                            <w:lang w:val="en-US" w:eastAsia="en-US"/>
                          </w:rPr>
                          <w:t>Commodity Services Agreement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Power Marketing</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Fuel Management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Other Services</w:t>
                        </w:r>
                      </w:p>
                    </w:txbxContent>
                  </v:textbox>
                  <v:fill o:detectmouseclick="t" type="solid" color2="black"/>
                  <v:stroke color="black" weight="9360" joinstyle="miter" endcap="flat"/>
                  <w10:wrap type="none"/>
                </v:shape>
                <v:shape id="shape_0" fillcolor="white" stroked="t" o:allowincell="f" style="position:absolute;left:3212;top:2961;width:2505;height:503;mso-wrap-style:square;v-text-anchor:top" type="_x0000_t202">
                  <v:textbox>
                    <w:txbxContent>
                      <w:p>
                        <w:pPr>
                          <w:overflowPunct w:val="false"/>
                          <w:bidi w:val="0"/>
                          <w:jc w:val="center"/>
                          <w:rPr/>
                        </w:pPr>
                        <w:r>
                          <w:rPr>
                            <w:kern w:val="2"/>
                            <w:sz w:val="24"/>
                            <w:b/>
                            <w:szCs w:val="20"/>
                            <w:rFonts w:ascii="TimesNewRoman" w:hAnsi="TimesNewRoman" w:eastAsia="Times New Roman" w:cs="TimesNewRoman"/>
                            <w:color w:val="auto"/>
                            <w:lang w:val="en-US" w:eastAsia="en-US"/>
                          </w:rPr>
                          <w:t>Las Vegas Cogen, L.P.</w:t>
                        </w:r>
                      </w:p>
                    </w:txbxContent>
                  </v:textbox>
                  <v:fill o:detectmouseclick="t" type="solid" color2="black"/>
                  <v:stroke color="black" weight="19080" joinstyle="miter" endcap="flat"/>
                  <w10:wrap type="none"/>
                </v:shape>
                <v:shape id="shape_0" fillcolor="white" stroked="f" o:allowincell="f" style="position:absolute;left:1102;top:2793;width:1580;height:1004;mso-wrap-style:square;v-text-anchor:top" type="_x0000_t202">
                  <v:textbox>
                    <w:txbxContent>
                      <w:p>
                        <w:pPr>
                          <w:overflowPunct w:val="false"/>
                          <w:bidi w:val="0"/>
                          <w:jc w:val="center"/>
                          <w:rPr/>
                        </w:pPr>
                        <w:r>
                          <w:rPr>
                            <w:kern w:val="2"/>
                            <w:sz w:val="20"/>
                            <w:szCs w:val="20"/>
                            <w:rFonts w:ascii="TimesNewRoman" w:hAnsi="TimesNewRoman" w:eastAsia="Times New Roman" w:cs="TimesNewRoman"/>
                            <w:color w:val="auto"/>
                            <w:lang w:val="en-US" w:eastAsia="en-US"/>
                          </w:rPr>
                          <w:t>Kern River Gas Transportation Agreement</w:t>
                        </w:r>
                      </w:p>
                    </w:txbxContent>
                  </v:textbox>
                  <v:fill o:detectmouseclick="t" type="solid" color2="black"/>
                  <v:stroke color="#3465a4" joinstyle="round" endcap="flat"/>
                  <w10:wrap type="none"/>
                </v:shape>
                <v:line id="shape_0" from="1103,2618" to="1103,3966" stroked="t" o:allowincell="f" style="position:absolute;flip:y">
                  <v:stroke color="black" weight="9360" endarrow="block" endarrowwidth="medium" endarrowlength="medium" joinstyle="miter" endcap="flat"/>
                  <v:fill o:detectmouseclick="t" on="false"/>
                  <w10:wrap type="none"/>
                </v:line>
                <v:line id="shape_0" from="3128,949" to="4133,949" stroked="t" o:allowincell="f" style="position:absolute">
                  <v:stroke color="black" weight="9360" joinstyle="miter" endcap="flat"/>
                  <v:fill o:detectmouseclick="t" on="false"/>
                  <w10:wrap type="none"/>
                </v:line>
                <v:line id="shape_0" from="4135,949" to="4135,2959" stroked="t" o:allowincell="f" style="position:absolute">
                  <v:stroke color="black" weight="9360" endarrow="block" endarrowwidth="medium" endarrowlength="medium" joinstyle="miter" endcap="flat"/>
                  <v:fill o:detectmouseclick="t" on="false"/>
                  <w10:wrap type="none"/>
                </v:line>
                <v:line id="shape_0" from="2998,7686" to="4249,7686" stroked="t" o:allowincell="f" style="position:absolute">
                  <v:stroke color="black" weight="9360" joinstyle="miter" endcap="flat"/>
                  <v:fill o:detectmouseclick="t" on="false"/>
                  <w10:wrap type="none"/>
                </v:line>
                <v:line id="shape_0" from="4267,3465" to="4267,7684" stroked="t" o:allowincell="f" style="position:absolute;flip:y">
                  <v:stroke color="black" weight="9360" endarrow="block" endarrowwidth="medium" endarrowlength="medium" joinstyle="miter" endcap="flat"/>
                  <v:fill o:detectmouseclick="t" on="false"/>
                  <w10:wrap type="none"/>
                </v:line>
                <v:line id="shape_0" from="2998,9503" to="4531,9503" stroked="t" o:allowincell="f" style="position:absolute">
                  <v:stroke color="black" weight="9360" joinstyle="miter" endcap="flat"/>
                  <v:fill o:detectmouseclick="t" on="false"/>
                  <w10:wrap type="none"/>
                </v:line>
                <v:line id="shape_0" from="4532,3464" to="4532,9500" stroked="t" o:allowincell="f" style="position:absolute;flip:y">
                  <v:stroke color="black" weight="9360" endarrow="block" endarrowwidth="medium" endarrowlength="medium" joinstyle="miter" endcap="flat"/>
                  <v:fill o:detectmouseclick="t" on="false"/>
                  <w10:wrap type="none"/>
                </v:line>
                <v:shape id="shape_0" fillcolor="white" stroked="t" o:allowincell="f" style="position:absolute;left:5820;top:612;width:2239;height:838;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Sunco, L.L.C.</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Tomato Greenhouse</w:t>
                        </w:r>
                      </w:p>
                    </w:txbxContent>
                  </v:textbox>
                  <v:fill o:detectmouseclick="t" type="solid" color2="black"/>
                  <v:stroke color="black" weight="9360" joinstyle="miter" endcap="flat"/>
                  <w10:wrap type="none"/>
                </v:shape>
                <v:group id="shape_0" style="position:absolute;left:5190;top:1451;width:2636;height:1506">
                  <v:shape id="shape_0" fillcolor="white" stroked="f" o:allowincell="f" style="position:absolute;left:5190;top:1898;width:1712;height:501;mso-wrap-style:square;v-text-anchor:top" type="_x0000_t202">
                    <v:textbox>
                      <w:txbxContent>
                        <w:p>
                          <w:pPr>
                            <w:overflowPunct w:val="false"/>
                            <w:bidi w:val="0"/>
                            <w:jc w:val="both"/>
                            <w:rPr/>
                          </w:pPr>
                          <w:r>
                            <w:rPr>
                              <w:kern w:val="2"/>
                              <w:sz w:val="24"/>
                              <w:szCs w:val="20"/>
                              <w:rFonts w:ascii="TimesNewRoman" w:hAnsi="TimesNewRoman" w:eastAsia="Times New Roman" w:cs="TimesNewRoman"/>
                              <w:color w:val="auto"/>
                              <w:lang w:val="en-US" w:eastAsia="en-US"/>
                            </w:rPr>
                            <w:t>Greenhouse Lease</w:t>
                          </w:r>
                        </w:p>
                      </w:txbxContent>
                    </v:textbox>
                    <v:fill o:detectmouseclick="t" type="solid" color2="black"/>
                    <v:stroke color="#3465a4" joinstyle="round" endcap="flat"/>
                    <w10:wrap type="none"/>
                  </v:shape>
                  <v:line id="shape_0" from="5191,2289" to="5191,2958" stroked="t" o:allowincell="f" style="position:absolute">
                    <v:stroke color="black" weight="9360" endarrow="block" endarrowwidth="medium" endarrowlength="medium" joinstyle="miter" endcap="flat"/>
                    <v:fill o:detectmouseclick="t" on="false"/>
                    <w10:wrap type="none"/>
                  </v:line>
                  <v:line id="shape_0" from="5191,2289" to="7826,2289" stroked="t" o:allowincell="f" style="position:absolute">
                    <v:stroke color="black" weight="9360" joinstyle="miter" endcap="flat"/>
                    <v:fill o:detectmouseclick="t" on="false"/>
                    <w10:wrap type="none"/>
                  </v:line>
                  <v:line id="shape_0" from="7827,1451" to="7827,2287" stroked="t" o:allowincell="f" style="position:absolute;flip:y">
                    <v:stroke color="black" weight="9360" endarrow="block" endarrowwidth="medium" endarrowlength="medium" joinstyle="miter" endcap="flat"/>
                    <v:fill o:detectmouseclick="t" on="false"/>
                    <w10:wrap type="none"/>
                  </v:line>
                </v:group>
                <v:shape id="shape_0" fillcolor="white" stroked="t" o:allowincell="f" style="position:absolute;left:5820;top:2518;width:3193;height:2113;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Enron North America Corp.</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Operations &amp; Maintenance</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Secondary Gas and Transportation Agreement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Gas and interest rate hedge</w:t>
                        </w:r>
                      </w:p>
                    </w:txbxContent>
                  </v:textbox>
                  <v:fill o:detectmouseclick="t" type="solid" color2="black"/>
                  <v:stroke color="black" weight="9360" joinstyle="miter" endcap="flat"/>
                  <w10:wrap type="none"/>
                </v:shape>
                <v:group id="shape_0" style="position:absolute;left:5323;top:3465;width:2239;height:2009">
                  <v:line id="shape_0" from="7563,4631" to="7563,5474" stroked="t" o:allowincell="f" style="position:absolute">
                    <v:stroke color="black" weight="9360" joinstyle="miter" endcap="flat"/>
                    <v:fill o:detectmouseclick="t" on="false"/>
                    <w10:wrap type="none"/>
                  </v:line>
                  <v:line id="shape_0" from="5323,5475" to="7562,5475" stroked="t" o:allowincell="f" style="position:absolute;flip:x">
                    <v:stroke color="black" weight="9360" joinstyle="miter" endcap="flat"/>
                    <v:fill o:detectmouseclick="t" on="false"/>
                    <w10:wrap type="none"/>
                  </v:line>
                  <v:line id="shape_0" from="5323,3465" to="5323,5474" stroked="t" o:allowincell="f" style="position:absolute;flip:y">
                    <v:stroke color="black" weight="9360" endarrow="block" endarrowwidth="medium" endarrowlength="medium" joinstyle="miter" endcap="flat"/>
                    <v:fill o:detectmouseclick="t" on="false"/>
                    <w10:wrap type="none"/>
                  </v:line>
                </v:group>
                <v:shape id="shape_0" fillcolor="white" stroked="t" o:allowincell="f" style="position:absolute;left:5820;top:6731;width:3325;height:1616;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Nevada Power Company</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PPA for 45 MW of on-peak off-take through 2024.</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Long-term debt rating of BBB/Baa2</w:t>
                        </w:r>
                      </w:p>
                    </w:txbxContent>
                  </v:textbox>
                  <v:fill o:detectmouseclick="t" type="solid" color2="black"/>
                  <v:stroke color="black" weight="9360" joinstyle="miter" endcap="flat"/>
                  <w10:wrap type="none"/>
                </v:shape>
                <v:group id="shape_0" style="position:absolute;left:5059;top:3465;width:3162;height:3263">
                  <v:shape id="shape_0" fillcolor="white" stroked="f" o:allowincell="f" style="position:absolute;left:5140;top:5811;width:1976;height:704;mso-wrap-style:square;v-text-anchor:top" type="_x0000_t202">
                    <v:textbox>
                      <w:txbxContent>
                        <w:p>
                          <w:pPr>
                            <w:overflowPunct w:val="false"/>
                            <w:bidi w:val="0"/>
                            <w:jc w:val="both"/>
                            <w:rPr/>
                          </w:pPr>
                          <w:r>
                            <w:rPr>
                              <w:kern w:val="2"/>
                              <w:sz w:val="24"/>
                              <w:szCs w:val="20"/>
                              <w:rFonts w:ascii="TimesNewRoman" w:hAnsi="TimesNewRoman" w:eastAsia="Times New Roman" w:cs="TimesNewRoman"/>
                              <w:color w:val="auto"/>
                              <w:lang w:val="en-US" w:eastAsia="en-US"/>
                            </w:rPr>
                            <w:t>Power Purchase Agreement</w:t>
                          </w:r>
                        </w:p>
                      </w:txbxContent>
                    </v:textbox>
                    <v:fill o:detectmouseclick="t" type="solid" color2="black"/>
                    <v:stroke color="#3465a4" joinstyle="round" endcap="flat"/>
                    <w10:wrap type="none"/>
                  </v:shape>
                  <v:line id="shape_0" from="5059,3465" to="5059,6145" stroked="t" o:allowincell="f" style="position:absolute">
                    <v:stroke color="black" weight="9360" joinstyle="miter" endcap="flat"/>
                    <v:fill o:detectmouseclick="t" on="false"/>
                    <w10:wrap type="none"/>
                  </v:line>
                  <v:line id="shape_0" from="5059,6146" to="8221,6146" stroked="t" o:allowincell="f" style="position:absolute">
                    <v:stroke color="black" weight="9360" joinstyle="miter" endcap="flat"/>
                    <v:fill o:detectmouseclick="t" on="false"/>
                    <w10:wrap type="none"/>
                  </v:line>
                  <v:line id="shape_0" from="8222,6146" to="8222,6728" stroked="t" o:allowincell="f" style="position:absolute">
                    <v:stroke color="black" weight="9360" endarrow="block" endarrowwidth="medium" endarrowlength="medium" joinstyle="miter" endcap="flat"/>
                    <v:fill o:detectmouseclick="t" on="false"/>
                    <w10:wrap type="none"/>
                  </v:line>
                </v:group>
                <v:shape id="shape_0" fillcolor="white" stroked="t" o:allowincell="f" style="position:absolute;left:5820;top:8832;width:3325;height:2515;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Nevada Power Company</w:t>
                        </w:r>
                      </w:p>
                      <w:p>
                        <w:pPr>
                          <w:overflowPunct w:val="false"/>
                          <w:bidi w:val="0"/>
                          <w:jc w:val="both"/>
                          <w:rPr/>
                        </w:pPr>
                        <w:r>
                          <w:rPr>
                            <w:kern w:val="2"/>
                            <w:sz w:val="24"/>
                            <w:szCs w:val="20"/>
                            <w:rFonts w:ascii="TimesNewRoman" w:hAnsi="TimesNewRoman" w:eastAsia="Times New Roman" w:cs="TimesNewRoman"/>
                            <w:color w:val="auto"/>
                            <w:lang w:val="en-US" w:eastAsia="en-US"/>
                          </w:rPr>
                          <w:t>Limited Release of applicable energy.</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Release of energy during off-peak and excess on-peak outside of 45MW obligation</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Sharing of value between NPC and LVCLP</w:t>
                        </w:r>
                      </w:p>
                    </w:txbxContent>
                  </v:textbox>
                  <v:fill o:detectmouseclick="t" type="solid" color2="black"/>
                  <v:stroke color="black" weight="9360" joinstyle="miter" endcap="flat"/>
                  <w10:wrap type="none"/>
                </v:shape>
                <v:line id="shape_0" from="4796,9503" to="5819,9503" stroked="t" o:allowincell="f" style="position:absolute;flip:x">
                  <v:stroke color="black" weight="9360" joinstyle="miter" endcap="flat"/>
                  <v:fill o:detectmouseclick="t" on="false"/>
                  <w10:wrap type="none"/>
                </v:line>
                <v:line id="shape_0" from="4796,3464" to="4796,9500" stroked="t" o:allowincell="f" style="position:absolute;flip:y">
                  <v:stroke color="black" weight="9360" endarrow="block" endarrowwidth="medium" endarrowlength="medium" joinstyle="miter" endcap="flat"/>
                  <v:fill o:detectmouseclick="t" on="false"/>
                  <w10:wrap type="none"/>
                </v:line>
                <v:shape id="shape_0" fillcolor="white" stroked="t" o:allowincell="f" style="position:absolute;left:-201;top:261;width:3329;height:2357;mso-wrap-style:square;v-text-anchor:top" type="_x0000_t202">
                  <v:textbox>
                    <w:txbxContent>
                      <w:p>
                        <w:pPr>
                          <w:overflowPunct w:val="false"/>
                          <w:bidi w:val="0"/>
                          <w:spacing w:before="0" w:after="120"/>
                          <w:jc w:val="both"/>
                          <w:rPr/>
                        </w:pPr>
                        <w:r>
                          <w:rPr>
                            <w:kern w:val="2"/>
                            <w:sz w:val="20"/>
                            <w:u w:val="single"/>
                            <w:szCs w:val="20"/>
                            <w:rFonts w:ascii="TimesNewRoman" w:hAnsi="TimesNewRoman" w:eastAsia="Times New Roman" w:cs="TimesNewRoman"/>
                            <w:color w:val="auto"/>
                            <w:lang w:val="en-US" w:eastAsia="en-US"/>
                          </w:rPr>
                          <w:t>Duke Energy Fuels, L.P.</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17-year Primary Gas Supply and Transportation Agreement</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5,000mmBtu of gas per day = exceeds plant on-peak requirement</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Long-term debt rating A+/A1</w:t>
                        </w:r>
                      </w:p>
                    </w:txbxContent>
                  </v:textbox>
                  <v:fill o:detectmouseclick="t" type="solid" color2="black"/>
                  <v:stroke color="black" weight="9360" joinstyle="miter" endcap="flat"/>
                  <w10:wrap type="none"/>
                </v:shape>
              </v:group>
            </w:pict>
          </mc:Fallback>
        </mc:AlternateContent>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Heading1"/>
        <w:ind w:hanging="0" w:start="0"/>
        <w:rPr/>
      </w:pPr>
      <w:bookmarkStart w:id="1" w:name="__RefHeading___Toc482880100"/>
      <w:r>
        <w:rPr/>
        <w:t>Market Analysis</w:t>
      </w:r>
      <w:bookmarkEnd w:id="1"/>
      <w:r>
        <w:rPr/>
        <w:t xml:space="preserve"> </w:t>
      </w:r>
    </w:p>
    <w:p>
      <w:pPr>
        <w:pStyle w:val="Heading2"/>
        <w:spacing w:before="0" w:after="240"/>
        <w:ind w:hanging="0" w:start="0"/>
        <w:rPr>
          <w:rFonts w:ascii="Times New Roman" w:hAnsi="Times New Roman" w:cs="Times New Roman"/>
        </w:rPr>
      </w:pPr>
      <w:bookmarkStart w:id="2" w:name="__RefHeading___Toc482880101"/>
      <w:bookmarkEnd w:id="2"/>
      <w:r>
        <w:rPr>
          <w:rFonts w:cs="Times New Roman" w:ascii="Times New Roman" w:hAnsi="Times New Roman"/>
        </w:rPr>
        <w:t>Industry Overview</w:t>
      </w:r>
    </w:p>
    <w:p>
      <w:pPr>
        <w:pStyle w:val="BodyText"/>
        <w:spacing w:before="0" w:after="240"/>
        <w:rPr/>
      </w:pPr>
      <w:r>
        <w:rPr/>
        <w:t>Since the passage of federal legislation in 1992, the Federal Energy Regulatory Commission (“FERC”) has implemented measures to facilitate competition in the wholesale power marketing arena.  Deregulation of the power markets in Nevada and California, and the shift from regulated pricing toward pricing based on market principles, has fundamentally changed the structure of the energy industry in these states.  New gas-fired resources will be well placed to benefit from their lower cost and increased operations flexibility over older, less efficient power plants.  The continued load growth projected to occur in the western U.S. willcreate robust demand for electricity and provide enormous opportunities for cost-efficient, flexible, gas-fired generators.</w:t>
      </w:r>
    </w:p>
    <w:p>
      <w:pPr>
        <w:pStyle w:val="Heading2"/>
        <w:ind w:hanging="0" w:start="0"/>
        <w:rPr>
          <w:rFonts w:ascii="Times New Roman" w:hAnsi="Times New Roman" w:cs="Times New Roman"/>
        </w:rPr>
      </w:pPr>
      <w:bookmarkStart w:id="3" w:name="__RefHeading___Toc482880102"/>
      <w:bookmarkEnd w:id="3"/>
      <w:r>
        <w:rPr>
          <w:rFonts w:cs="Times New Roman" w:ascii="Times New Roman" w:hAnsi="Times New Roman"/>
        </w:rPr>
        <w:t>Western Systems Coordination Council</w:t>
      </w:r>
    </w:p>
    <w:p>
      <w:pPr>
        <w:pStyle w:val="BodyText"/>
        <w:spacing w:before="0" w:after="240"/>
        <w:rPr/>
      </w:pPr>
      <w:r>
        <w:rPr/>
        <w:t>The WSCC region covers an area of nearly 1.8 million square miles.  It represents the electric power systems serving all or part of the 14 western U.S. states, as well as the provinces of Alberta and British Colombia in Canada and the northern portion of Baja California in Mexico.  The WSCC’s 86 members and 22 affiliate members provide electric service to approximately 65 million people throughout the region.</w:t>
      </w:r>
    </w:p>
    <w:p>
      <w:pPr>
        <w:pStyle w:val="BodyText"/>
        <w:spacing w:before="0" w:after="240"/>
        <w:rPr/>
      </w:pPr>
      <w:r>
        <w:rPr/>
        <w:t xml:space="preserve">Nevada and California are located in the Western Systems Coordination Council (“WSCC”), which promotes electric service reliability in the western portion of North America. The WSCC develops and monitors planning and operating criteria for the interconnected transmission system.  Membership in WSCC is voluntary and open to major transmission utilities, transmission dependent utilities, and independent power producers/marketers. </w:t>
      </w:r>
    </w:p>
    <w:p>
      <w:pPr>
        <w:pStyle w:val="BodyText"/>
        <w:spacing w:before="0" w:after="240"/>
        <w:rPr/>
      </w:pPr>
      <w:r>
        <w:rPr/>
        <w:t>The plant will be an interconnected facility within the WSCC enabling wholesale power sales to other parts of the region, particularly southern California.  Because of the WSCC’s size and geographical diversity, the region is divided into four reporting areas.</w:t>
      </w:r>
    </w:p>
    <w:p>
      <w:pPr>
        <w:pStyle w:val="BodyText"/>
        <w:spacing w:before="0" w:after="240"/>
        <w:rPr/>
      </w:pPr>
      <w:r>
        <w:rPr/>
        <w:t>The</w:t>
      </w:r>
      <w:r>
        <w:rPr>
          <w:i/>
        </w:rPr>
        <w:t xml:space="preserve"> Northwest Power Pool (“NWPP”)</w:t>
      </w:r>
      <w:r>
        <w:rPr/>
        <w:t xml:space="preserve"> Area is comprised of the states of Washington, Oregon, Idaho, and Utah; the Canadian provinces of British Columbia and Alberta; and portions of Montana, Wyoming, Nevada, and California.  Over the period from 1998 through 2008, peak demand and annual energy requirements are projected to grow at respective annual compound rates of 1.1% and 1.6%.  Resource capacity margins for this winter peaking area range between 11.3% and 15.7% of firm peak demand for the next ten years. </w:t>
      </w:r>
    </w:p>
    <w:p>
      <w:pPr>
        <w:pStyle w:val="BodyText"/>
        <w:spacing w:before="0" w:after="240"/>
        <w:rPr/>
      </w:pPr>
      <w:r>
        <w:rPr/>
        <w:t xml:space="preserve">The </w:t>
      </w:r>
      <w:r>
        <w:rPr>
          <w:i/>
        </w:rPr>
        <w:t>Rocky Mountain Power Area (“RMPA”)</w:t>
      </w:r>
      <w:r>
        <w:rPr/>
        <w:t xml:space="preserve"> consists of Colorado, eastern Wyoming, and portions of western Nebraska and South Dakota. The RMPA may experience its annual peak demand in either the summer or winter season due to variations in weather. Over the period from 1998 through 2008, peak demand and annual energy requirements are projected to grow at respective annual compound rates of 2.2% and 2.4%. Summer resource capacity margins range between 17.1% and 22.5% of firm peak demand for the next ten years.</w:t>
      </w:r>
    </w:p>
    <w:p>
      <w:pPr>
        <w:pStyle w:val="BodyText"/>
        <w:spacing w:before="0" w:after="240"/>
        <w:rPr/>
      </w:pPr>
      <w:r>
        <w:rPr/>
        <w:t xml:space="preserve">The </w:t>
      </w:r>
      <w:r>
        <w:rPr>
          <w:i/>
        </w:rPr>
        <w:t xml:space="preserve">Arizona-New Mexico-Southern Nevada Power Area </w:t>
      </w:r>
      <w:r>
        <w:rPr/>
        <w:t>consists of Arizona, most of New Mexico, the westernmost part of Texas, southern Nevada, and a portion of southeastern California. Over the period from 1998 through 2008, peak demand and annual energy requirements are projected to grow at a 2.5% annual compound rate. Resource capacity margins for this summer peaking area range between 9.4% and 10.6% of firm peak demand for the next ten years.</w:t>
      </w:r>
    </w:p>
    <w:p>
      <w:pPr>
        <w:pStyle w:val="BodyText"/>
        <w:spacing w:before="0" w:after="240"/>
        <w:rPr/>
      </w:pPr>
      <w:r>
        <w:rPr/>
        <w:t xml:space="preserve">The </w:t>
      </w:r>
      <w:r>
        <w:rPr>
          <w:i/>
        </w:rPr>
        <w:t>California-Mexico Power Area</w:t>
      </w:r>
      <w:r>
        <w:rPr/>
        <w:t xml:space="preserve"> encompasses most of California and the northern portion of Baja California, Mexico. Restructuring of the electric industry in California in 1998 and beyond adds much uncertainty to future adequacy projections of generating capacity, energy production by independent power producers, and effects of customer energy efficiency/demand-side management programs. Recognizing that future forecast uncertainty exists, peak demands and annual energy requirements are currently projected to grow at respective annual compound rates of 1.3% and 1.8% from 1998 through 2008. Projected resource capacity margins range between 10.7% and 12.1% of firm peak demand for the next ten years.</w:t>
      </w:r>
    </w:p>
    <w:p>
      <w:pPr>
        <w:pStyle w:val="BodyText"/>
        <w:spacing w:before="0" w:after="240"/>
        <w:rPr/>
      </w:pPr>
      <w:r>
        <w:rPr/>
        <w:t>The aggregate load supply and demand and reserve margin situation within the WSCC is described in the graph below.</w:t>
      </w:r>
    </w:p>
    <w:p>
      <w:pPr>
        <w:pStyle w:val="BodyText"/>
        <w:rPr>
          <w:lang w:val="en-CA" w:eastAsia="en-CA"/>
        </w:rPr>
      </w:pPr>
      <w:r>
        <w:rPr>
          <w:lang w:val="en-CA" w:eastAsia="en-CA"/>
        </w:rPr>
        <w:object w:dxaOrig="8960" w:dyaOrig="435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4.5pt;margin-top:1.05pt;width:422.25pt;height:220.4pt;mso-wrap-distance-left:9.05pt;mso-wrap-distance-right:9.05pt;mso-position-horizontal-relative:text;mso-position-vertical-relative:text" filled="f" o:ole="">
            <v:imagedata r:id="rId4" o:title=""/>
            <w10:wrap type="topAndBottom"/>
          </v:shape>
          <o:OLEObject Type="Embed" ProgID="Excel.Sheet.12" ShapeID="ole_rId3" DrawAspect="Content" ObjectID="_1006157275" r:id="rId3"/>
        </w:object>
      </w:r>
    </w:p>
    <w:p>
      <w:pPr>
        <w:pStyle w:val="BodyText"/>
        <w:spacing w:before="0" w:after="240"/>
        <w:rPr/>
      </w:pPr>
      <w:r>
        <w:rPr/>
        <w:t>Clearly, it is expected that the region as a whole will experience a tighter electricity market over the next several years.  Given this supply and demand dynamic, most industry participants have concluded that the WSCC is facing a fundamental long-term shortage of generation.  Moreover, first-mover advantages and dearly on-line dates create exponential opportunities to capture margin and market share during this time of capacity shortage. The table below contains a list of the projects currently underway that are most likely to be completed.</w:t>
      </w:r>
    </w:p>
    <w:tbl>
      <w:tblPr>
        <w:tblW w:w="9526" w:type="dxa"/>
        <w:jc w:val="start"/>
        <w:tblInd w:w="0" w:type="dxa"/>
        <w:tblLayout w:type="fixed"/>
        <w:tblCellMar>
          <w:top w:w="0" w:type="dxa"/>
          <w:start w:w="30" w:type="dxa"/>
          <w:bottom w:w="0" w:type="dxa"/>
          <w:end w:w="30" w:type="dxa"/>
        </w:tblCellMar>
      </w:tblPr>
      <w:tblGrid>
        <w:gridCol w:w="3170"/>
        <w:gridCol w:w="1467"/>
        <w:gridCol w:w="1418"/>
        <w:gridCol w:w="1735"/>
        <w:gridCol w:w="1736"/>
      </w:tblGrid>
      <w:tr>
        <w:trPr/>
        <w:tc>
          <w:tcPr>
            <w:tcW w:w="9526" w:type="dxa"/>
            <w:gridSpan w:val="5"/>
            <w:tcBorders/>
          </w:tcPr>
          <w:p>
            <w:pPr>
              <w:pStyle w:val="Normal"/>
              <w:rPr>
                <w:color w:val="000000"/>
              </w:rPr>
            </w:pPr>
            <w:r>
              <w:rPr>
                <w:b/>
                <w:color w:val="000000"/>
              </w:rPr>
              <w:t>High Probability WSCC Projects</w:t>
            </w:r>
          </w:p>
        </w:tc>
      </w:tr>
      <w:tr>
        <w:trPr/>
        <w:tc>
          <w:tcPr>
            <w:tcW w:w="3170" w:type="dxa"/>
            <w:tcBorders>
              <w:bottom w:val="single" w:sz="12" w:space="0" w:color="000000"/>
            </w:tcBorders>
          </w:tcPr>
          <w:p>
            <w:pPr>
              <w:pStyle w:val="Normal"/>
              <w:spacing w:before="20" w:after="20"/>
              <w:rPr>
                <w:b/>
                <w:color w:val="000000"/>
                <w:sz w:val="22"/>
              </w:rPr>
            </w:pPr>
            <w:r>
              <w:rPr>
                <w:b/>
                <w:color w:val="000000"/>
                <w:sz w:val="22"/>
              </w:rPr>
              <w:t>Project</w:t>
            </w:r>
          </w:p>
        </w:tc>
        <w:tc>
          <w:tcPr>
            <w:tcW w:w="1467" w:type="dxa"/>
            <w:tcBorders>
              <w:bottom w:val="single" w:sz="12" w:space="0" w:color="000000"/>
            </w:tcBorders>
          </w:tcPr>
          <w:p>
            <w:pPr>
              <w:pStyle w:val="Normal"/>
              <w:spacing w:before="20" w:after="20"/>
              <w:rPr>
                <w:b/>
                <w:color w:val="000000"/>
                <w:sz w:val="22"/>
              </w:rPr>
            </w:pPr>
            <w:r>
              <w:rPr>
                <w:b/>
                <w:color w:val="000000"/>
                <w:sz w:val="22"/>
              </w:rPr>
              <w:t>State</w:t>
            </w:r>
          </w:p>
        </w:tc>
        <w:tc>
          <w:tcPr>
            <w:tcW w:w="1418" w:type="dxa"/>
            <w:tcBorders>
              <w:bottom w:val="single" w:sz="12" w:space="0" w:color="000000"/>
            </w:tcBorders>
          </w:tcPr>
          <w:p>
            <w:pPr>
              <w:pStyle w:val="Normal"/>
              <w:spacing w:before="20" w:after="20"/>
              <w:rPr>
                <w:b/>
                <w:color w:val="000000"/>
                <w:sz w:val="22"/>
              </w:rPr>
            </w:pPr>
            <w:r>
              <w:rPr>
                <w:b/>
                <w:color w:val="000000"/>
                <w:sz w:val="22"/>
              </w:rPr>
              <w:t>On-Line Date</w:t>
            </w:r>
          </w:p>
        </w:tc>
        <w:tc>
          <w:tcPr>
            <w:tcW w:w="1735" w:type="dxa"/>
            <w:tcBorders>
              <w:bottom w:val="single" w:sz="12" w:space="0" w:color="000000"/>
            </w:tcBorders>
          </w:tcPr>
          <w:p>
            <w:pPr>
              <w:pStyle w:val="Normal"/>
              <w:spacing w:before="20" w:after="20"/>
              <w:rPr>
                <w:b/>
                <w:color w:val="000000"/>
                <w:sz w:val="22"/>
              </w:rPr>
            </w:pPr>
            <w:r>
              <w:rPr>
                <w:b/>
                <w:color w:val="000000"/>
                <w:sz w:val="22"/>
              </w:rPr>
              <w:t>Capacity</w:t>
            </w:r>
          </w:p>
        </w:tc>
        <w:tc>
          <w:tcPr>
            <w:tcW w:w="1736" w:type="dxa"/>
            <w:tcBorders>
              <w:bottom w:val="single" w:sz="12" w:space="0" w:color="000000"/>
            </w:tcBorders>
          </w:tcPr>
          <w:p>
            <w:pPr>
              <w:pStyle w:val="Normal"/>
              <w:spacing w:before="20" w:after="20"/>
              <w:rPr>
                <w:b/>
                <w:color w:val="000000"/>
                <w:sz w:val="22"/>
              </w:rPr>
            </w:pPr>
            <w:r>
              <w:rPr>
                <w:b/>
                <w:color w:val="000000"/>
                <w:sz w:val="22"/>
              </w:rPr>
              <w:t>Cumulative Capacity</w:t>
            </w:r>
          </w:p>
        </w:tc>
      </w:tr>
      <w:tr>
        <w:trPr/>
        <w:tc>
          <w:tcPr>
            <w:tcW w:w="3170" w:type="dxa"/>
            <w:tcBorders/>
          </w:tcPr>
          <w:p>
            <w:pPr>
              <w:pStyle w:val="Normal"/>
              <w:spacing w:before="20" w:after="20"/>
              <w:rPr>
                <w:color w:val="000000"/>
                <w:sz w:val="22"/>
              </w:rPr>
            </w:pPr>
            <w:r>
              <w:rPr>
                <w:color w:val="000000"/>
                <w:sz w:val="22"/>
              </w:rPr>
              <w:t>Colorado Springs Nixon</w:t>
            </w:r>
          </w:p>
        </w:tc>
        <w:tc>
          <w:tcPr>
            <w:tcW w:w="1467" w:type="dxa"/>
            <w:tcBorders/>
          </w:tcPr>
          <w:p>
            <w:pPr>
              <w:pStyle w:val="Normal"/>
              <w:spacing w:before="20" w:after="20"/>
              <w:rPr>
                <w:color w:val="000000"/>
                <w:sz w:val="22"/>
              </w:rPr>
            </w:pPr>
            <w:r>
              <w:rPr>
                <w:color w:val="000000"/>
                <w:sz w:val="22"/>
              </w:rPr>
              <w:t>CO</w:t>
            </w:r>
          </w:p>
        </w:tc>
        <w:tc>
          <w:tcPr>
            <w:tcW w:w="1418" w:type="dxa"/>
            <w:tcBorders/>
          </w:tcPr>
          <w:p>
            <w:pPr>
              <w:pStyle w:val="Normal"/>
              <w:spacing w:before="20" w:after="20"/>
              <w:rPr>
                <w:color w:val="000000"/>
                <w:sz w:val="22"/>
              </w:rPr>
            </w:pPr>
            <w:r>
              <w:rPr>
                <w:color w:val="000000"/>
                <w:sz w:val="22"/>
              </w:rPr>
              <w:t>10/1/1999</w:t>
            </w:r>
          </w:p>
        </w:tc>
        <w:tc>
          <w:tcPr>
            <w:tcW w:w="1735" w:type="dxa"/>
            <w:tcBorders/>
          </w:tcPr>
          <w:p>
            <w:pPr>
              <w:pStyle w:val="Normal"/>
              <w:spacing w:before="20" w:after="20"/>
              <w:rPr>
                <w:color w:val="000000"/>
                <w:sz w:val="22"/>
              </w:rPr>
            </w:pPr>
            <w:r>
              <w:rPr>
                <w:color w:val="000000"/>
                <w:sz w:val="22"/>
              </w:rPr>
              <w:t>70</w:t>
            </w:r>
          </w:p>
        </w:tc>
        <w:tc>
          <w:tcPr>
            <w:tcW w:w="1736" w:type="dxa"/>
            <w:tcBorders/>
          </w:tcPr>
          <w:p>
            <w:pPr>
              <w:pStyle w:val="Normal"/>
              <w:spacing w:before="20" w:after="20"/>
              <w:rPr>
                <w:color w:val="000000"/>
                <w:sz w:val="22"/>
              </w:rPr>
            </w:pPr>
            <w:r>
              <w:rPr>
                <w:color w:val="000000"/>
                <w:sz w:val="22"/>
              </w:rPr>
              <w:t>70</w:t>
            </w:r>
          </w:p>
        </w:tc>
      </w:tr>
      <w:tr>
        <w:trPr/>
        <w:tc>
          <w:tcPr>
            <w:tcW w:w="3170" w:type="dxa"/>
            <w:tcBorders/>
          </w:tcPr>
          <w:p>
            <w:pPr>
              <w:pStyle w:val="Normal"/>
              <w:spacing w:before="20" w:after="20"/>
              <w:rPr>
                <w:color w:val="000000"/>
                <w:sz w:val="22"/>
              </w:rPr>
            </w:pPr>
            <w:r>
              <w:rPr>
                <w:color w:val="000000"/>
                <w:sz w:val="22"/>
              </w:rPr>
              <w:t>Deming</w:t>
            </w:r>
          </w:p>
        </w:tc>
        <w:tc>
          <w:tcPr>
            <w:tcW w:w="1467" w:type="dxa"/>
            <w:tcBorders/>
          </w:tcPr>
          <w:p>
            <w:pPr>
              <w:pStyle w:val="Normal"/>
              <w:spacing w:before="20" w:after="20"/>
              <w:rPr>
                <w:color w:val="000000"/>
                <w:sz w:val="22"/>
              </w:rPr>
            </w:pPr>
            <w:r>
              <w:rPr>
                <w:color w:val="000000"/>
                <w:sz w:val="22"/>
              </w:rPr>
              <w:t>NM</w:t>
            </w:r>
          </w:p>
        </w:tc>
        <w:tc>
          <w:tcPr>
            <w:tcW w:w="1418" w:type="dxa"/>
            <w:tcBorders/>
          </w:tcPr>
          <w:p>
            <w:pPr>
              <w:pStyle w:val="Normal"/>
              <w:spacing w:before="20" w:after="20"/>
              <w:rPr>
                <w:color w:val="000000"/>
                <w:sz w:val="22"/>
              </w:rPr>
            </w:pPr>
            <w:r>
              <w:rPr>
                <w:color w:val="000000"/>
                <w:sz w:val="22"/>
              </w:rPr>
              <w:t>11/1/1999</w:t>
            </w:r>
          </w:p>
        </w:tc>
        <w:tc>
          <w:tcPr>
            <w:tcW w:w="1735" w:type="dxa"/>
            <w:tcBorders/>
          </w:tcPr>
          <w:p>
            <w:pPr>
              <w:pStyle w:val="Normal"/>
              <w:spacing w:before="20" w:after="20"/>
              <w:rPr>
                <w:color w:val="000000"/>
                <w:sz w:val="22"/>
              </w:rPr>
            </w:pPr>
            <w:r>
              <w:rPr>
                <w:color w:val="000000"/>
                <w:sz w:val="22"/>
              </w:rPr>
              <w:t>250</w:t>
            </w:r>
          </w:p>
        </w:tc>
        <w:tc>
          <w:tcPr>
            <w:tcW w:w="1736" w:type="dxa"/>
            <w:tcBorders/>
          </w:tcPr>
          <w:p>
            <w:pPr>
              <w:pStyle w:val="Normal"/>
              <w:spacing w:before="20" w:after="20"/>
              <w:rPr>
                <w:color w:val="000000"/>
                <w:sz w:val="22"/>
              </w:rPr>
            </w:pPr>
            <w:r>
              <w:rPr>
                <w:color w:val="000000"/>
                <w:sz w:val="22"/>
              </w:rPr>
              <w:t>320</w:t>
            </w:r>
          </w:p>
        </w:tc>
      </w:tr>
      <w:tr>
        <w:trPr/>
        <w:tc>
          <w:tcPr>
            <w:tcW w:w="3170" w:type="dxa"/>
            <w:tcBorders/>
          </w:tcPr>
          <w:p>
            <w:pPr>
              <w:pStyle w:val="Normal"/>
              <w:spacing w:before="20" w:after="20"/>
              <w:rPr>
                <w:color w:val="000000"/>
                <w:sz w:val="22"/>
              </w:rPr>
            </w:pPr>
            <w:r>
              <w:rPr>
                <w:color w:val="000000"/>
                <w:sz w:val="22"/>
              </w:rPr>
              <w:t>Priscilla</w:t>
            </w:r>
          </w:p>
        </w:tc>
        <w:tc>
          <w:tcPr>
            <w:tcW w:w="1467" w:type="dxa"/>
            <w:tcBorders/>
          </w:tcPr>
          <w:p>
            <w:pPr>
              <w:pStyle w:val="Normal"/>
              <w:spacing w:before="20" w:after="20"/>
              <w:rPr>
                <w:color w:val="000000"/>
                <w:sz w:val="22"/>
              </w:rPr>
            </w:pPr>
            <w:r>
              <w:rPr>
                <w:color w:val="000000"/>
                <w:sz w:val="22"/>
              </w:rPr>
              <w:t>NV</w:t>
            </w:r>
          </w:p>
        </w:tc>
        <w:tc>
          <w:tcPr>
            <w:tcW w:w="1418" w:type="dxa"/>
            <w:tcBorders/>
          </w:tcPr>
          <w:p>
            <w:pPr>
              <w:pStyle w:val="Normal"/>
              <w:spacing w:before="20" w:after="20"/>
              <w:rPr>
                <w:color w:val="000000"/>
                <w:sz w:val="22"/>
              </w:rPr>
            </w:pPr>
            <w:r>
              <w:rPr>
                <w:color w:val="000000"/>
                <w:sz w:val="22"/>
              </w:rPr>
              <w:t>3/1/2000</w:t>
            </w:r>
          </w:p>
        </w:tc>
        <w:tc>
          <w:tcPr>
            <w:tcW w:w="1735" w:type="dxa"/>
            <w:tcBorders/>
          </w:tcPr>
          <w:p>
            <w:pPr>
              <w:pStyle w:val="Normal"/>
              <w:spacing w:before="20" w:after="20"/>
              <w:rPr>
                <w:color w:val="000000"/>
                <w:sz w:val="22"/>
              </w:rPr>
            </w:pPr>
            <w:r>
              <w:rPr>
                <w:color w:val="000000"/>
                <w:sz w:val="22"/>
              </w:rPr>
              <w:t>216</w:t>
            </w:r>
          </w:p>
        </w:tc>
        <w:tc>
          <w:tcPr>
            <w:tcW w:w="1736" w:type="dxa"/>
            <w:tcBorders/>
          </w:tcPr>
          <w:p>
            <w:pPr>
              <w:pStyle w:val="Normal"/>
              <w:spacing w:before="20" w:after="20"/>
              <w:rPr>
                <w:color w:val="000000"/>
                <w:sz w:val="22"/>
              </w:rPr>
            </w:pPr>
            <w:r>
              <w:rPr>
                <w:color w:val="000000"/>
                <w:sz w:val="22"/>
              </w:rPr>
              <w:t>536</w:t>
            </w:r>
          </w:p>
        </w:tc>
      </w:tr>
      <w:tr>
        <w:trPr/>
        <w:tc>
          <w:tcPr>
            <w:tcW w:w="3170" w:type="dxa"/>
            <w:tcBorders/>
          </w:tcPr>
          <w:p>
            <w:pPr>
              <w:pStyle w:val="Normal"/>
              <w:spacing w:before="20" w:after="20"/>
              <w:rPr>
                <w:color w:val="000000"/>
                <w:sz w:val="22"/>
              </w:rPr>
            </w:pPr>
            <w:r>
              <w:rPr>
                <w:color w:val="000000"/>
                <w:sz w:val="22"/>
              </w:rPr>
              <w:t>El Dorado</w:t>
            </w:r>
          </w:p>
        </w:tc>
        <w:tc>
          <w:tcPr>
            <w:tcW w:w="1467" w:type="dxa"/>
            <w:tcBorders/>
          </w:tcPr>
          <w:p>
            <w:pPr>
              <w:pStyle w:val="Normal"/>
              <w:spacing w:before="20" w:after="20"/>
              <w:rPr>
                <w:color w:val="000000"/>
                <w:sz w:val="22"/>
              </w:rPr>
            </w:pPr>
            <w:r>
              <w:rPr>
                <w:color w:val="000000"/>
                <w:sz w:val="22"/>
              </w:rPr>
              <w:t>NV</w:t>
            </w:r>
          </w:p>
        </w:tc>
        <w:tc>
          <w:tcPr>
            <w:tcW w:w="1418" w:type="dxa"/>
            <w:tcBorders/>
          </w:tcPr>
          <w:p>
            <w:pPr>
              <w:pStyle w:val="Normal"/>
              <w:spacing w:before="20" w:after="20"/>
              <w:rPr>
                <w:color w:val="000000"/>
                <w:sz w:val="22"/>
              </w:rPr>
            </w:pPr>
            <w:r>
              <w:rPr>
                <w:color w:val="000000"/>
                <w:sz w:val="22"/>
              </w:rPr>
              <w:t>5/1/2000</w:t>
            </w:r>
          </w:p>
        </w:tc>
        <w:tc>
          <w:tcPr>
            <w:tcW w:w="1735" w:type="dxa"/>
            <w:tcBorders/>
          </w:tcPr>
          <w:p>
            <w:pPr>
              <w:pStyle w:val="Normal"/>
              <w:spacing w:before="20" w:after="20"/>
              <w:rPr>
                <w:color w:val="000000"/>
                <w:sz w:val="22"/>
              </w:rPr>
            </w:pPr>
            <w:r>
              <w:rPr>
                <w:color w:val="000000"/>
                <w:sz w:val="22"/>
              </w:rPr>
              <w:t>492</w:t>
            </w:r>
          </w:p>
        </w:tc>
        <w:tc>
          <w:tcPr>
            <w:tcW w:w="1736" w:type="dxa"/>
            <w:tcBorders/>
          </w:tcPr>
          <w:p>
            <w:pPr>
              <w:pStyle w:val="Normal"/>
              <w:spacing w:before="20" w:after="20"/>
              <w:rPr>
                <w:color w:val="000000"/>
                <w:sz w:val="22"/>
              </w:rPr>
            </w:pPr>
            <w:r>
              <w:rPr>
                <w:color w:val="000000"/>
                <w:sz w:val="22"/>
              </w:rPr>
              <w:t>1,028</w:t>
            </w:r>
          </w:p>
        </w:tc>
      </w:tr>
      <w:tr>
        <w:trPr/>
        <w:tc>
          <w:tcPr>
            <w:tcW w:w="3170" w:type="dxa"/>
            <w:tcBorders/>
          </w:tcPr>
          <w:p>
            <w:pPr>
              <w:pStyle w:val="Normal"/>
              <w:spacing w:before="20" w:after="20"/>
              <w:rPr>
                <w:color w:val="000000"/>
                <w:sz w:val="22"/>
              </w:rPr>
            </w:pPr>
            <w:r>
              <w:rPr>
                <w:color w:val="000000"/>
                <w:sz w:val="22"/>
              </w:rPr>
              <w:t>Person</w:t>
            </w:r>
          </w:p>
        </w:tc>
        <w:tc>
          <w:tcPr>
            <w:tcW w:w="1467" w:type="dxa"/>
            <w:tcBorders/>
          </w:tcPr>
          <w:p>
            <w:pPr>
              <w:pStyle w:val="Normal"/>
              <w:spacing w:before="20" w:after="20"/>
              <w:rPr>
                <w:color w:val="000000"/>
                <w:sz w:val="22"/>
              </w:rPr>
            </w:pPr>
            <w:r>
              <w:rPr>
                <w:color w:val="000000"/>
                <w:sz w:val="22"/>
              </w:rPr>
              <w:t>NM</w:t>
            </w:r>
          </w:p>
        </w:tc>
        <w:tc>
          <w:tcPr>
            <w:tcW w:w="1418" w:type="dxa"/>
            <w:tcBorders/>
          </w:tcPr>
          <w:p>
            <w:pPr>
              <w:pStyle w:val="Normal"/>
              <w:spacing w:before="20" w:after="20"/>
              <w:rPr>
                <w:color w:val="000000"/>
                <w:sz w:val="22"/>
              </w:rPr>
            </w:pPr>
            <w:r>
              <w:rPr>
                <w:color w:val="000000"/>
                <w:sz w:val="22"/>
              </w:rPr>
              <w:t>5/1/2000</w:t>
            </w:r>
          </w:p>
        </w:tc>
        <w:tc>
          <w:tcPr>
            <w:tcW w:w="1735" w:type="dxa"/>
            <w:tcBorders/>
          </w:tcPr>
          <w:p>
            <w:pPr>
              <w:pStyle w:val="Normal"/>
              <w:spacing w:before="20" w:after="20"/>
              <w:rPr>
                <w:color w:val="000000"/>
                <w:sz w:val="22"/>
              </w:rPr>
            </w:pPr>
            <w:r>
              <w:rPr>
                <w:color w:val="000000"/>
                <w:sz w:val="22"/>
              </w:rPr>
              <w:t>140</w:t>
            </w:r>
          </w:p>
        </w:tc>
        <w:tc>
          <w:tcPr>
            <w:tcW w:w="1736" w:type="dxa"/>
            <w:tcBorders/>
          </w:tcPr>
          <w:p>
            <w:pPr>
              <w:pStyle w:val="Normal"/>
              <w:spacing w:before="20" w:after="20"/>
              <w:rPr>
                <w:color w:val="000000"/>
                <w:sz w:val="22"/>
              </w:rPr>
            </w:pPr>
            <w:r>
              <w:rPr>
                <w:color w:val="000000"/>
                <w:sz w:val="22"/>
              </w:rPr>
              <w:t>1,168</w:t>
            </w:r>
          </w:p>
        </w:tc>
      </w:tr>
      <w:tr>
        <w:trPr/>
        <w:tc>
          <w:tcPr>
            <w:tcW w:w="3170" w:type="dxa"/>
            <w:tcBorders/>
          </w:tcPr>
          <w:p>
            <w:pPr>
              <w:pStyle w:val="Normal"/>
              <w:spacing w:before="20" w:after="20"/>
              <w:rPr>
                <w:color w:val="000000"/>
                <w:sz w:val="22"/>
              </w:rPr>
            </w:pPr>
            <w:r>
              <w:rPr>
                <w:color w:val="000000"/>
                <w:sz w:val="22"/>
              </w:rPr>
              <w:t>Manchief (Brush)</w:t>
            </w:r>
          </w:p>
        </w:tc>
        <w:tc>
          <w:tcPr>
            <w:tcW w:w="1467" w:type="dxa"/>
            <w:tcBorders/>
          </w:tcPr>
          <w:p>
            <w:pPr>
              <w:pStyle w:val="Normal"/>
              <w:spacing w:before="20" w:after="20"/>
              <w:rPr>
                <w:color w:val="000000"/>
                <w:sz w:val="22"/>
              </w:rPr>
            </w:pPr>
            <w:r>
              <w:rPr>
                <w:color w:val="000000"/>
                <w:sz w:val="22"/>
              </w:rPr>
              <w:t>CO</w:t>
            </w:r>
          </w:p>
        </w:tc>
        <w:tc>
          <w:tcPr>
            <w:tcW w:w="1418" w:type="dxa"/>
            <w:tcBorders/>
          </w:tcPr>
          <w:p>
            <w:pPr>
              <w:pStyle w:val="Normal"/>
              <w:spacing w:before="20" w:after="20"/>
              <w:rPr>
                <w:color w:val="000000"/>
                <w:sz w:val="22"/>
              </w:rPr>
            </w:pPr>
            <w:r>
              <w:rPr>
                <w:color w:val="000000"/>
                <w:sz w:val="22"/>
              </w:rPr>
              <w:t>6/1/2000</w:t>
            </w:r>
          </w:p>
        </w:tc>
        <w:tc>
          <w:tcPr>
            <w:tcW w:w="1735" w:type="dxa"/>
            <w:tcBorders/>
          </w:tcPr>
          <w:p>
            <w:pPr>
              <w:pStyle w:val="Normal"/>
              <w:spacing w:before="20" w:after="20"/>
              <w:rPr>
                <w:color w:val="000000"/>
                <w:sz w:val="22"/>
              </w:rPr>
            </w:pPr>
            <w:r>
              <w:rPr>
                <w:color w:val="000000"/>
                <w:sz w:val="22"/>
              </w:rPr>
              <w:t>265</w:t>
            </w:r>
          </w:p>
        </w:tc>
        <w:tc>
          <w:tcPr>
            <w:tcW w:w="1736" w:type="dxa"/>
            <w:tcBorders/>
          </w:tcPr>
          <w:p>
            <w:pPr>
              <w:pStyle w:val="Normal"/>
              <w:spacing w:before="20" w:after="20"/>
              <w:rPr>
                <w:color w:val="000000"/>
                <w:sz w:val="22"/>
              </w:rPr>
            </w:pPr>
            <w:r>
              <w:rPr>
                <w:color w:val="000000"/>
                <w:sz w:val="22"/>
              </w:rPr>
              <w:t>1,433</w:t>
            </w:r>
          </w:p>
        </w:tc>
      </w:tr>
      <w:tr>
        <w:trPr/>
        <w:tc>
          <w:tcPr>
            <w:tcW w:w="3170" w:type="dxa"/>
            <w:tcBorders/>
          </w:tcPr>
          <w:p>
            <w:pPr>
              <w:pStyle w:val="Normal"/>
              <w:spacing w:before="20" w:after="20"/>
              <w:rPr>
                <w:color w:val="000000"/>
                <w:sz w:val="22"/>
              </w:rPr>
            </w:pPr>
            <w:r>
              <w:rPr>
                <w:color w:val="000000"/>
                <w:sz w:val="22"/>
              </w:rPr>
              <w:t>Valmont Repowering</w:t>
            </w:r>
          </w:p>
        </w:tc>
        <w:tc>
          <w:tcPr>
            <w:tcW w:w="1467" w:type="dxa"/>
            <w:tcBorders/>
          </w:tcPr>
          <w:p>
            <w:pPr>
              <w:pStyle w:val="Normal"/>
              <w:spacing w:before="20" w:after="20"/>
              <w:rPr>
                <w:color w:val="000000"/>
                <w:sz w:val="22"/>
              </w:rPr>
            </w:pPr>
            <w:r>
              <w:rPr>
                <w:color w:val="000000"/>
                <w:sz w:val="22"/>
              </w:rPr>
              <w:t>CO</w:t>
            </w:r>
          </w:p>
        </w:tc>
        <w:tc>
          <w:tcPr>
            <w:tcW w:w="1418" w:type="dxa"/>
            <w:tcBorders/>
          </w:tcPr>
          <w:p>
            <w:pPr>
              <w:pStyle w:val="Normal"/>
              <w:spacing w:before="20" w:after="20"/>
              <w:rPr>
                <w:color w:val="000000"/>
                <w:sz w:val="22"/>
              </w:rPr>
            </w:pPr>
            <w:r>
              <w:rPr>
                <w:color w:val="000000"/>
                <w:sz w:val="22"/>
              </w:rPr>
              <w:t>12/1/2000</w:t>
            </w:r>
          </w:p>
        </w:tc>
        <w:tc>
          <w:tcPr>
            <w:tcW w:w="1735" w:type="dxa"/>
            <w:tcBorders/>
          </w:tcPr>
          <w:p>
            <w:pPr>
              <w:pStyle w:val="Normal"/>
              <w:spacing w:before="20" w:after="20"/>
              <w:rPr>
                <w:color w:val="000000"/>
                <w:sz w:val="22"/>
              </w:rPr>
            </w:pPr>
            <w:r>
              <w:rPr>
                <w:color w:val="000000"/>
                <w:sz w:val="22"/>
              </w:rPr>
              <w:t>11</w:t>
            </w:r>
          </w:p>
        </w:tc>
        <w:tc>
          <w:tcPr>
            <w:tcW w:w="1736" w:type="dxa"/>
            <w:tcBorders/>
          </w:tcPr>
          <w:p>
            <w:pPr>
              <w:pStyle w:val="Normal"/>
              <w:spacing w:before="20" w:after="20"/>
              <w:rPr>
                <w:color w:val="000000"/>
                <w:sz w:val="22"/>
              </w:rPr>
            </w:pPr>
            <w:r>
              <w:rPr>
                <w:color w:val="000000"/>
                <w:sz w:val="22"/>
              </w:rPr>
              <w:t>1,444</w:t>
            </w:r>
          </w:p>
        </w:tc>
      </w:tr>
      <w:tr>
        <w:trPr/>
        <w:tc>
          <w:tcPr>
            <w:tcW w:w="3170" w:type="dxa"/>
            <w:tcBorders/>
          </w:tcPr>
          <w:p>
            <w:pPr>
              <w:pStyle w:val="Normal"/>
              <w:spacing w:before="20" w:after="20"/>
              <w:rPr>
                <w:color w:val="000000"/>
                <w:sz w:val="22"/>
              </w:rPr>
            </w:pPr>
            <w:r>
              <w:rPr>
                <w:color w:val="000000"/>
                <w:sz w:val="22"/>
              </w:rPr>
              <w:t>Vestas (100MW Wind)</w:t>
            </w:r>
          </w:p>
        </w:tc>
        <w:tc>
          <w:tcPr>
            <w:tcW w:w="1467" w:type="dxa"/>
            <w:tcBorders/>
          </w:tcPr>
          <w:p>
            <w:pPr>
              <w:pStyle w:val="Normal"/>
              <w:spacing w:before="20" w:after="20"/>
              <w:rPr>
                <w:color w:val="000000"/>
                <w:sz w:val="22"/>
              </w:rPr>
            </w:pPr>
            <w:r>
              <w:rPr>
                <w:color w:val="000000"/>
                <w:sz w:val="22"/>
              </w:rPr>
              <w:t>OR</w:t>
            </w:r>
          </w:p>
        </w:tc>
        <w:tc>
          <w:tcPr>
            <w:tcW w:w="1418" w:type="dxa"/>
            <w:tcBorders/>
          </w:tcPr>
          <w:p>
            <w:pPr>
              <w:pStyle w:val="Normal"/>
              <w:spacing w:before="20" w:after="20"/>
              <w:rPr>
                <w:color w:val="000000"/>
                <w:sz w:val="22"/>
              </w:rPr>
            </w:pPr>
            <w:r>
              <w:rPr>
                <w:color w:val="000000"/>
                <w:sz w:val="22"/>
              </w:rPr>
              <w:t>1/1/2001</w:t>
            </w:r>
          </w:p>
        </w:tc>
        <w:tc>
          <w:tcPr>
            <w:tcW w:w="1735" w:type="dxa"/>
            <w:tcBorders/>
          </w:tcPr>
          <w:p>
            <w:pPr>
              <w:pStyle w:val="Normal"/>
              <w:spacing w:before="20" w:after="20"/>
              <w:rPr>
                <w:color w:val="000000"/>
                <w:sz w:val="22"/>
              </w:rPr>
            </w:pPr>
            <w:r>
              <w:rPr>
                <w:color w:val="000000"/>
                <w:sz w:val="22"/>
              </w:rPr>
              <w:t>25</w:t>
            </w:r>
          </w:p>
        </w:tc>
        <w:tc>
          <w:tcPr>
            <w:tcW w:w="1736" w:type="dxa"/>
            <w:tcBorders/>
          </w:tcPr>
          <w:p>
            <w:pPr>
              <w:pStyle w:val="Normal"/>
              <w:spacing w:before="20" w:after="20"/>
              <w:rPr>
                <w:color w:val="000000"/>
                <w:sz w:val="22"/>
              </w:rPr>
            </w:pPr>
            <w:r>
              <w:rPr>
                <w:color w:val="000000"/>
                <w:sz w:val="22"/>
              </w:rPr>
              <w:t>1,469</w:t>
            </w:r>
          </w:p>
        </w:tc>
      </w:tr>
      <w:tr>
        <w:trPr/>
        <w:tc>
          <w:tcPr>
            <w:tcW w:w="3170" w:type="dxa"/>
            <w:tcBorders/>
          </w:tcPr>
          <w:p>
            <w:pPr>
              <w:pStyle w:val="Normal"/>
              <w:spacing w:before="20" w:after="20"/>
              <w:rPr>
                <w:color w:val="000000"/>
                <w:sz w:val="22"/>
              </w:rPr>
            </w:pPr>
            <w:r>
              <w:rPr>
                <w:color w:val="000000"/>
                <w:sz w:val="22"/>
              </w:rPr>
              <w:t>South Point Power Plant [Mojave]</w:t>
            </w:r>
          </w:p>
        </w:tc>
        <w:tc>
          <w:tcPr>
            <w:tcW w:w="1467" w:type="dxa"/>
            <w:tcBorders/>
          </w:tcPr>
          <w:p>
            <w:pPr>
              <w:pStyle w:val="Normal"/>
              <w:spacing w:before="20" w:after="20"/>
              <w:rPr>
                <w:color w:val="000000"/>
                <w:sz w:val="22"/>
              </w:rPr>
            </w:pPr>
            <w:r>
              <w:rPr>
                <w:color w:val="000000"/>
                <w:sz w:val="22"/>
              </w:rPr>
              <w:t>AZ</w:t>
            </w:r>
          </w:p>
        </w:tc>
        <w:tc>
          <w:tcPr>
            <w:tcW w:w="1418" w:type="dxa"/>
            <w:tcBorders/>
          </w:tcPr>
          <w:p>
            <w:pPr>
              <w:pStyle w:val="Normal"/>
              <w:spacing w:before="20" w:after="20"/>
              <w:rPr>
                <w:color w:val="000000"/>
                <w:sz w:val="22"/>
              </w:rPr>
            </w:pPr>
            <w:r>
              <w:rPr>
                <w:color w:val="000000"/>
                <w:sz w:val="22"/>
              </w:rPr>
              <w:t>5/1/2001</w:t>
            </w:r>
          </w:p>
        </w:tc>
        <w:tc>
          <w:tcPr>
            <w:tcW w:w="1735" w:type="dxa"/>
            <w:tcBorders/>
          </w:tcPr>
          <w:p>
            <w:pPr>
              <w:pStyle w:val="Normal"/>
              <w:spacing w:before="20" w:after="20"/>
              <w:rPr>
                <w:color w:val="000000"/>
                <w:sz w:val="22"/>
              </w:rPr>
            </w:pPr>
            <w:r>
              <w:rPr>
                <w:color w:val="000000"/>
                <w:sz w:val="22"/>
              </w:rPr>
              <w:t>545</w:t>
            </w:r>
          </w:p>
        </w:tc>
        <w:tc>
          <w:tcPr>
            <w:tcW w:w="1736" w:type="dxa"/>
            <w:tcBorders/>
          </w:tcPr>
          <w:p>
            <w:pPr>
              <w:pStyle w:val="Normal"/>
              <w:spacing w:before="20" w:after="20"/>
              <w:rPr>
                <w:color w:val="000000"/>
                <w:sz w:val="22"/>
              </w:rPr>
            </w:pPr>
            <w:r>
              <w:rPr>
                <w:color w:val="000000"/>
                <w:sz w:val="22"/>
              </w:rPr>
              <w:t>2,014</w:t>
            </w:r>
          </w:p>
        </w:tc>
      </w:tr>
      <w:tr>
        <w:trPr/>
        <w:tc>
          <w:tcPr>
            <w:tcW w:w="3170" w:type="dxa"/>
            <w:tcBorders/>
          </w:tcPr>
          <w:p>
            <w:pPr>
              <w:pStyle w:val="Normal"/>
              <w:spacing w:before="20" w:after="20"/>
              <w:rPr>
                <w:color w:val="000000"/>
                <w:sz w:val="22"/>
              </w:rPr>
            </w:pPr>
            <w:r>
              <w:rPr>
                <w:color w:val="000000"/>
                <w:sz w:val="22"/>
              </w:rPr>
              <w:t>Griffith Energy Project</w:t>
            </w:r>
          </w:p>
        </w:tc>
        <w:tc>
          <w:tcPr>
            <w:tcW w:w="1467" w:type="dxa"/>
            <w:tcBorders/>
          </w:tcPr>
          <w:p>
            <w:pPr>
              <w:pStyle w:val="Normal"/>
              <w:spacing w:before="20" w:after="20"/>
              <w:rPr>
                <w:color w:val="000000"/>
                <w:sz w:val="22"/>
              </w:rPr>
            </w:pPr>
            <w:r>
              <w:rPr>
                <w:color w:val="000000"/>
                <w:sz w:val="22"/>
              </w:rPr>
              <w:t>AZ</w:t>
            </w:r>
          </w:p>
        </w:tc>
        <w:tc>
          <w:tcPr>
            <w:tcW w:w="1418" w:type="dxa"/>
            <w:tcBorders/>
          </w:tcPr>
          <w:p>
            <w:pPr>
              <w:pStyle w:val="Normal"/>
              <w:spacing w:before="20" w:after="20"/>
              <w:rPr>
                <w:color w:val="000000"/>
                <w:sz w:val="22"/>
              </w:rPr>
            </w:pPr>
            <w:r>
              <w:rPr>
                <w:color w:val="000000"/>
                <w:sz w:val="22"/>
              </w:rPr>
              <w:t>5/1/2001</w:t>
            </w:r>
          </w:p>
        </w:tc>
        <w:tc>
          <w:tcPr>
            <w:tcW w:w="1735" w:type="dxa"/>
            <w:tcBorders/>
          </w:tcPr>
          <w:p>
            <w:pPr>
              <w:pStyle w:val="Normal"/>
              <w:spacing w:before="20" w:after="20"/>
              <w:rPr>
                <w:color w:val="000000"/>
                <w:sz w:val="22"/>
              </w:rPr>
            </w:pPr>
            <w:r>
              <w:rPr>
                <w:color w:val="000000"/>
                <w:sz w:val="22"/>
              </w:rPr>
              <w:t>520</w:t>
            </w:r>
          </w:p>
        </w:tc>
        <w:tc>
          <w:tcPr>
            <w:tcW w:w="1736" w:type="dxa"/>
            <w:tcBorders/>
          </w:tcPr>
          <w:p>
            <w:pPr>
              <w:pStyle w:val="Normal"/>
              <w:spacing w:before="20" w:after="20"/>
              <w:rPr>
                <w:color w:val="000000"/>
                <w:sz w:val="22"/>
              </w:rPr>
            </w:pPr>
            <w:r>
              <w:rPr>
                <w:color w:val="000000"/>
                <w:sz w:val="22"/>
              </w:rPr>
              <w:t>2,534</w:t>
            </w:r>
          </w:p>
        </w:tc>
      </w:tr>
      <w:tr>
        <w:trPr/>
        <w:tc>
          <w:tcPr>
            <w:tcW w:w="3170" w:type="dxa"/>
            <w:tcBorders/>
          </w:tcPr>
          <w:p>
            <w:pPr>
              <w:pStyle w:val="Normal"/>
              <w:spacing w:before="20" w:after="20"/>
              <w:rPr>
                <w:color w:val="000000"/>
                <w:sz w:val="22"/>
              </w:rPr>
            </w:pPr>
            <w:r>
              <w:rPr>
                <w:color w:val="000000"/>
                <w:sz w:val="22"/>
              </w:rPr>
              <w:t>Desert Basin Gnrtng</w:t>
            </w:r>
          </w:p>
        </w:tc>
        <w:tc>
          <w:tcPr>
            <w:tcW w:w="1467" w:type="dxa"/>
            <w:tcBorders/>
          </w:tcPr>
          <w:p>
            <w:pPr>
              <w:pStyle w:val="Normal"/>
              <w:spacing w:before="20" w:after="20"/>
              <w:rPr>
                <w:color w:val="000000"/>
                <w:sz w:val="22"/>
              </w:rPr>
            </w:pPr>
            <w:r>
              <w:rPr>
                <w:color w:val="000000"/>
                <w:sz w:val="22"/>
              </w:rPr>
              <w:t>AZ</w:t>
            </w:r>
          </w:p>
        </w:tc>
        <w:tc>
          <w:tcPr>
            <w:tcW w:w="1418" w:type="dxa"/>
            <w:tcBorders/>
          </w:tcPr>
          <w:p>
            <w:pPr>
              <w:pStyle w:val="Normal"/>
              <w:spacing w:before="20" w:after="20"/>
              <w:rPr>
                <w:color w:val="000000"/>
                <w:sz w:val="22"/>
              </w:rPr>
            </w:pPr>
            <w:r>
              <w:rPr>
                <w:color w:val="000000"/>
                <w:sz w:val="22"/>
              </w:rPr>
              <w:t>6/1/2001</w:t>
            </w:r>
          </w:p>
        </w:tc>
        <w:tc>
          <w:tcPr>
            <w:tcW w:w="1735" w:type="dxa"/>
            <w:tcBorders/>
          </w:tcPr>
          <w:p>
            <w:pPr>
              <w:pStyle w:val="Normal"/>
              <w:spacing w:before="20" w:after="20"/>
              <w:rPr>
                <w:color w:val="000000"/>
                <w:sz w:val="22"/>
              </w:rPr>
            </w:pPr>
            <w:r>
              <w:rPr>
                <w:color w:val="000000"/>
                <w:sz w:val="22"/>
              </w:rPr>
              <w:t>600</w:t>
            </w:r>
          </w:p>
        </w:tc>
        <w:tc>
          <w:tcPr>
            <w:tcW w:w="1736" w:type="dxa"/>
            <w:tcBorders/>
          </w:tcPr>
          <w:p>
            <w:pPr>
              <w:pStyle w:val="Normal"/>
              <w:spacing w:before="20" w:after="20"/>
              <w:rPr>
                <w:color w:val="000000"/>
                <w:sz w:val="22"/>
              </w:rPr>
            </w:pPr>
            <w:r>
              <w:rPr>
                <w:color w:val="000000"/>
                <w:sz w:val="22"/>
              </w:rPr>
              <w:t>3,134</w:t>
            </w:r>
          </w:p>
        </w:tc>
      </w:tr>
      <w:tr>
        <w:trPr/>
        <w:tc>
          <w:tcPr>
            <w:tcW w:w="3170" w:type="dxa"/>
            <w:tcBorders/>
          </w:tcPr>
          <w:p>
            <w:pPr>
              <w:pStyle w:val="Normal"/>
              <w:spacing w:before="20" w:after="20"/>
              <w:rPr>
                <w:color w:val="000000"/>
                <w:sz w:val="22"/>
              </w:rPr>
            </w:pPr>
            <w:r>
              <w:rPr>
                <w:color w:val="000000"/>
                <w:sz w:val="22"/>
              </w:rPr>
              <w:t>Sutter</w:t>
            </w:r>
          </w:p>
        </w:tc>
        <w:tc>
          <w:tcPr>
            <w:tcW w:w="1467" w:type="dxa"/>
            <w:tcBorders/>
          </w:tcPr>
          <w:p>
            <w:pPr>
              <w:pStyle w:val="Normal"/>
              <w:spacing w:before="20" w:after="20"/>
              <w:rPr>
                <w:color w:val="000000"/>
                <w:sz w:val="22"/>
              </w:rPr>
            </w:pPr>
            <w:r>
              <w:rPr>
                <w:color w:val="000000"/>
                <w:sz w:val="22"/>
              </w:rPr>
              <w:t>CA</w:t>
            </w:r>
          </w:p>
        </w:tc>
        <w:tc>
          <w:tcPr>
            <w:tcW w:w="1418" w:type="dxa"/>
            <w:tcBorders/>
          </w:tcPr>
          <w:p>
            <w:pPr>
              <w:pStyle w:val="Normal"/>
              <w:spacing w:before="20" w:after="20"/>
              <w:rPr>
                <w:color w:val="000000"/>
                <w:sz w:val="22"/>
              </w:rPr>
            </w:pPr>
            <w:r>
              <w:rPr>
                <w:color w:val="000000"/>
                <w:sz w:val="22"/>
              </w:rPr>
              <w:t>7/1/2001</w:t>
            </w:r>
          </w:p>
        </w:tc>
        <w:tc>
          <w:tcPr>
            <w:tcW w:w="1735" w:type="dxa"/>
            <w:tcBorders/>
          </w:tcPr>
          <w:p>
            <w:pPr>
              <w:pStyle w:val="Normal"/>
              <w:spacing w:before="20" w:after="20"/>
              <w:rPr>
                <w:color w:val="000000"/>
                <w:sz w:val="22"/>
              </w:rPr>
            </w:pPr>
            <w:r>
              <w:rPr>
                <w:color w:val="000000"/>
                <w:sz w:val="22"/>
              </w:rPr>
              <w:t>500</w:t>
            </w:r>
          </w:p>
        </w:tc>
        <w:tc>
          <w:tcPr>
            <w:tcW w:w="1736" w:type="dxa"/>
            <w:tcBorders/>
          </w:tcPr>
          <w:p>
            <w:pPr>
              <w:pStyle w:val="Normal"/>
              <w:spacing w:before="20" w:after="20"/>
              <w:rPr>
                <w:color w:val="000000"/>
                <w:sz w:val="22"/>
              </w:rPr>
            </w:pPr>
            <w:r>
              <w:rPr>
                <w:color w:val="000000"/>
                <w:sz w:val="22"/>
              </w:rPr>
              <w:t>3,634</w:t>
            </w:r>
          </w:p>
        </w:tc>
      </w:tr>
      <w:tr>
        <w:trPr/>
        <w:tc>
          <w:tcPr>
            <w:tcW w:w="3170" w:type="dxa"/>
            <w:tcBorders/>
          </w:tcPr>
          <w:p>
            <w:pPr>
              <w:pStyle w:val="Normal"/>
              <w:spacing w:before="20" w:after="20"/>
              <w:rPr>
                <w:color w:val="000000"/>
                <w:sz w:val="22"/>
              </w:rPr>
            </w:pPr>
            <w:r>
              <w:rPr>
                <w:color w:val="000000"/>
                <w:sz w:val="22"/>
              </w:rPr>
              <w:t>Klamath Cogen</w:t>
            </w:r>
          </w:p>
        </w:tc>
        <w:tc>
          <w:tcPr>
            <w:tcW w:w="1467" w:type="dxa"/>
            <w:tcBorders/>
          </w:tcPr>
          <w:p>
            <w:pPr>
              <w:pStyle w:val="Normal"/>
              <w:spacing w:before="20" w:after="20"/>
              <w:rPr>
                <w:color w:val="000000"/>
                <w:sz w:val="22"/>
              </w:rPr>
            </w:pPr>
            <w:r>
              <w:rPr>
                <w:color w:val="000000"/>
                <w:sz w:val="22"/>
              </w:rPr>
              <w:t>OR</w:t>
            </w:r>
          </w:p>
        </w:tc>
        <w:tc>
          <w:tcPr>
            <w:tcW w:w="1418" w:type="dxa"/>
            <w:tcBorders/>
          </w:tcPr>
          <w:p>
            <w:pPr>
              <w:pStyle w:val="Normal"/>
              <w:spacing w:before="20" w:after="20"/>
              <w:rPr>
                <w:color w:val="000000"/>
                <w:sz w:val="22"/>
              </w:rPr>
            </w:pPr>
            <w:r>
              <w:rPr>
                <w:color w:val="000000"/>
                <w:sz w:val="22"/>
              </w:rPr>
              <w:t>7/1/2001</w:t>
            </w:r>
          </w:p>
        </w:tc>
        <w:tc>
          <w:tcPr>
            <w:tcW w:w="1735" w:type="dxa"/>
            <w:tcBorders/>
          </w:tcPr>
          <w:p>
            <w:pPr>
              <w:pStyle w:val="Normal"/>
              <w:spacing w:before="20" w:after="20"/>
              <w:rPr>
                <w:color w:val="000000"/>
                <w:sz w:val="22"/>
              </w:rPr>
            </w:pPr>
            <w:r>
              <w:rPr>
                <w:color w:val="000000"/>
                <w:sz w:val="22"/>
              </w:rPr>
              <w:t>500</w:t>
            </w:r>
          </w:p>
        </w:tc>
        <w:tc>
          <w:tcPr>
            <w:tcW w:w="1736" w:type="dxa"/>
            <w:tcBorders/>
          </w:tcPr>
          <w:p>
            <w:pPr>
              <w:pStyle w:val="Normal"/>
              <w:spacing w:before="20" w:after="20"/>
              <w:rPr>
                <w:color w:val="000000"/>
                <w:sz w:val="22"/>
              </w:rPr>
            </w:pPr>
            <w:r>
              <w:rPr>
                <w:color w:val="000000"/>
                <w:sz w:val="22"/>
              </w:rPr>
              <w:t>4,134</w:t>
            </w:r>
          </w:p>
        </w:tc>
      </w:tr>
      <w:tr>
        <w:trPr/>
        <w:tc>
          <w:tcPr>
            <w:tcW w:w="3170" w:type="dxa"/>
            <w:tcBorders/>
          </w:tcPr>
          <w:p>
            <w:pPr>
              <w:pStyle w:val="Normal"/>
              <w:spacing w:before="20" w:after="20"/>
              <w:rPr>
                <w:color w:val="000000"/>
                <w:sz w:val="22"/>
              </w:rPr>
            </w:pPr>
            <w:r>
              <w:rPr>
                <w:color w:val="000000"/>
                <w:sz w:val="22"/>
              </w:rPr>
              <w:t>43rd Avenue Plant Repower</w:t>
            </w:r>
          </w:p>
        </w:tc>
        <w:tc>
          <w:tcPr>
            <w:tcW w:w="1467" w:type="dxa"/>
            <w:tcBorders/>
          </w:tcPr>
          <w:p>
            <w:pPr>
              <w:pStyle w:val="Normal"/>
              <w:spacing w:before="20" w:after="20"/>
              <w:rPr>
                <w:color w:val="000000"/>
                <w:sz w:val="22"/>
              </w:rPr>
            </w:pPr>
            <w:r>
              <w:rPr>
                <w:color w:val="000000"/>
                <w:sz w:val="22"/>
              </w:rPr>
              <w:t>AZ</w:t>
            </w:r>
          </w:p>
        </w:tc>
        <w:tc>
          <w:tcPr>
            <w:tcW w:w="1418" w:type="dxa"/>
            <w:tcBorders/>
          </w:tcPr>
          <w:p>
            <w:pPr>
              <w:pStyle w:val="Normal"/>
              <w:spacing w:before="20" w:after="20"/>
              <w:rPr>
                <w:color w:val="000000"/>
                <w:sz w:val="22"/>
              </w:rPr>
            </w:pPr>
            <w:r>
              <w:rPr>
                <w:color w:val="000000"/>
                <w:sz w:val="22"/>
              </w:rPr>
              <w:t>8/1/2001</w:t>
            </w:r>
          </w:p>
        </w:tc>
        <w:tc>
          <w:tcPr>
            <w:tcW w:w="1735" w:type="dxa"/>
            <w:tcBorders/>
          </w:tcPr>
          <w:p>
            <w:pPr>
              <w:pStyle w:val="Normal"/>
              <w:spacing w:before="20" w:after="20"/>
              <w:rPr>
                <w:color w:val="000000"/>
                <w:sz w:val="22"/>
              </w:rPr>
            </w:pPr>
            <w:r>
              <w:rPr>
                <w:color w:val="000000"/>
                <w:sz w:val="22"/>
              </w:rPr>
              <w:t>70</w:t>
            </w:r>
          </w:p>
        </w:tc>
        <w:tc>
          <w:tcPr>
            <w:tcW w:w="1736" w:type="dxa"/>
            <w:tcBorders/>
          </w:tcPr>
          <w:p>
            <w:pPr>
              <w:pStyle w:val="Normal"/>
              <w:spacing w:before="20" w:after="20"/>
              <w:rPr>
                <w:color w:val="000000"/>
                <w:sz w:val="22"/>
              </w:rPr>
            </w:pPr>
            <w:r>
              <w:rPr>
                <w:color w:val="000000"/>
                <w:sz w:val="22"/>
              </w:rPr>
              <w:t>4,204</w:t>
            </w:r>
          </w:p>
        </w:tc>
      </w:tr>
      <w:tr>
        <w:trPr/>
        <w:tc>
          <w:tcPr>
            <w:tcW w:w="3170" w:type="dxa"/>
            <w:tcBorders/>
          </w:tcPr>
          <w:p>
            <w:pPr>
              <w:pStyle w:val="Normal"/>
              <w:spacing w:before="20" w:after="20"/>
              <w:rPr>
                <w:color w:val="000000"/>
                <w:sz w:val="22"/>
              </w:rPr>
            </w:pPr>
            <w:r>
              <w:rPr>
                <w:color w:val="000000"/>
                <w:sz w:val="22"/>
              </w:rPr>
              <w:t>Los Medanos (Pittsburg)</w:t>
            </w:r>
          </w:p>
        </w:tc>
        <w:tc>
          <w:tcPr>
            <w:tcW w:w="1467" w:type="dxa"/>
            <w:tcBorders/>
          </w:tcPr>
          <w:p>
            <w:pPr>
              <w:pStyle w:val="Normal"/>
              <w:spacing w:before="20" w:after="20"/>
              <w:rPr>
                <w:color w:val="000000"/>
                <w:sz w:val="22"/>
              </w:rPr>
            </w:pPr>
            <w:r>
              <w:rPr>
                <w:color w:val="000000"/>
                <w:sz w:val="22"/>
              </w:rPr>
              <w:t>CA</w:t>
            </w:r>
          </w:p>
        </w:tc>
        <w:tc>
          <w:tcPr>
            <w:tcW w:w="1418" w:type="dxa"/>
            <w:tcBorders/>
          </w:tcPr>
          <w:p>
            <w:pPr>
              <w:pStyle w:val="Normal"/>
              <w:spacing w:before="20" w:after="20"/>
              <w:rPr>
                <w:color w:val="000000"/>
                <w:sz w:val="22"/>
              </w:rPr>
            </w:pPr>
            <w:r>
              <w:rPr>
                <w:color w:val="000000"/>
                <w:sz w:val="22"/>
              </w:rPr>
              <w:t>8/1/2001</w:t>
            </w:r>
          </w:p>
        </w:tc>
        <w:tc>
          <w:tcPr>
            <w:tcW w:w="1735" w:type="dxa"/>
            <w:tcBorders/>
          </w:tcPr>
          <w:p>
            <w:pPr>
              <w:pStyle w:val="Normal"/>
              <w:spacing w:before="20" w:after="20"/>
              <w:rPr>
                <w:color w:val="000000"/>
                <w:sz w:val="22"/>
              </w:rPr>
            </w:pPr>
            <w:r>
              <w:rPr>
                <w:color w:val="000000"/>
                <w:sz w:val="22"/>
              </w:rPr>
              <w:t>500</w:t>
            </w:r>
          </w:p>
        </w:tc>
        <w:tc>
          <w:tcPr>
            <w:tcW w:w="1736" w:type="dxa"/>
            <w:tcBorders/>
          </w:tcPr>
          <w:p>
            <w:pPr>
              <w:pStyle w:val="Normal"/>
              <w:spacing w:before="20" w:after="20"/>
              <w:rPr>
                <w:color w:val="000000"/>
                <w:sz w:val="22"/>
              </w:rPr>
            </w:pPr>
            <w:r>
              <w:rPr>
                <w:color w:val="000000"/>
                <w:sz w:val="22"/>
              </w:rPr>
              <w:t>4,704</w:t>
            </w:r>
          </w:p>
        </w:tc>
      </w:tr>
      <w:tr>
        <w:trPr/>
        <w:tc>
          <w:tcPr>
            <w:tcW w:w="3170" w:type="dxa"/>
            <w:tcBorders/>
          </w:tcPr>
          <w:p>
            <w:pPr>
              <w:pStyle w:val="Normal"/>
              <w:spacing w:before="20" w:after="20"/>
              <w:rPr>
                <w:color w:val="000000"/>
                <w:sz w:val="22"/>
              </w:rPr>
            </w:pPr>
            <w:r>
              <w:rPr>
                <w:color w:val="000000"/>
                <w:sz w:val="22"/>
              </w:rPr>
              <w:t>La Paloma</w:t>
            </w:r>
          </w:p>
        </w:tc>
        <w:tc>
          <w:tcPr>
            <w:tcW w:w="1467" w:type="dxa"/>
            <w:tcBorders/>
          </w:tcPr>
          <w:p>
            <w:pPr>
              <w:pStyle w:val="Normal"/>
              <w:spacing w:before="20" w:after="20"/>
              <w:rPr>
                <w:color w:val="000000"/>
                <w:sz w:val="22"/>
              </w:rPr>
            </w:pPr>
            <w:r>
              <w:rPr>
                <w:color w:val="000000"/>
                <w:sz w:val="22"/>
              </w:rPr>
              <w:t>CA</w:t>
            </w:r>
          </w:p>
        </w:tc>
        <w:tc>
          <w:tcPr>
            <w:tcW w:w="1418" w:type="dxa"/>
            <w:tcBorders/>
          </w:tcPr>
          <w:p>
            <w:pPr>
              <w:pStyle w:val="Normal"/>
              <w:spacing w:before="20" w:after="20"/>
              <w:rPr>
                <w:color w:val="000000"/>
                <w:sz w:val="22"/>
              </w:rPr>
            </w:pPr>
            <w:r>
              <w:rPr>
                <w:color w:val="000000"/>
                <w:sz w:val="22"/>
              </w:rPr>
              <w:t>9/1/2001</w:t>
            </w:r>
          </w:p>
        </w:tc>
        <w:tc>
          <w:tcPr>
            <w:tcW w:w="1735" w:type="dxa"/>
            <w:tcBorders/>
          </w:tcPr>
          <w:p>
            <w:pPr>
              <w:pStyle w:val="Normal"/>
              <w:spacing w:before="20" w:after="20"/>
              <w:rPr>
                <w:color w:val="000000"/>
                <w:sz w:val="22"/>
              </w:rPr>
            </w:pPr>
            <w:r>
              <w:rPr>
                <w:color w:val="000000"/>
                <w:sz w:val="22"/>
              </w:rPr>
              <w:t>1,048</w:t>
            </w:r>
          </w:p>
        </w:tc>
        <w:tc>
          <w:tcPr>
            <w:tcW w:w="1736" w:type="dxa"/>
            <w:tcBorders/>
          </w:tcPr>
          <w:p>
            <w:pPr>
              <w:pStyle w:val="Normal"/>
              <w:spacing w:before="20" w:after="20"/>
              <w:rPr>
                <w:color w:val="000000"/>
                <w:sz w:val="22"/>
              </w:rPr>
            </w:pPr>
            <w:r>
              <w:rPr>
                <w:color w:val="000000"/>
                <w:sz w:val="22"/>
              </w:rPr>
              <w:t>5,752</w:t>
            </w:r>
          </w:p>
        </w:tc>
      </w:tr>
      <w:tr>
        <w:trPr/>
        <w:tc>
          <w:tcPr>
            <w:tcW w:w="3170" w:type="dxa"/>
            <w:tcBorders/>
          </w:tcPr>
          <w:p>
            <w:pPr>
              <w:pStyle w:val="Normal"/>
              <w:spacing w:before="20" w:after="20"/>
              <w:rPr>
                <w:color w:val="000000"/>
                <w:sz w:val="22"/>
              </w:rPr>
            </w:pPr>
            <w:r>
              <w:rPr>
                <w:color w:val="000000"/>
                <w:sz w:val="22"/>
              </w:rPr>
              <w:t>Rathdrum</w:t>
            </w:r>
          </w:p>
        </w:tc>
        <w:tc>
          <w:tcPr>
            <w:tcW w:w="1467" w:type="dxa"/>
            <w:tcBorders/>
          </w:tcPr>
          <w:p>
            <w:pPr>
              <w:pStyle w:val="Normal"/>
              <w:spacing w:before="20" w:after="20"/>
              <w:rPr>
                <w:color w:val="000000"/>
                <w:sz w:val="22"/>
              </w:rPr>
            </w:pPr>
            <w:r>
              <w:rPr>
                <w:color w:val="000000"/>
                <w:sz w:val="22"/>
              </w:rPr>
              <w:t>ID</w:t>
            </w:r>
          </w:p>
        </w:tc>
        <w:tc>
          <w:tcPr>
            <w:tcW w:w="1418" w:type="dxa"/>
            <w:tcBorders/>
          </w:tcPr>
          <w:p>
            <w:pPr>
              <w:pStyle w:val="Normal"/>
              <w:spacing w:before="20" w:after="20"/>
              <w:rPr>
                <w:color w:val="000000"/>
                <w:sz w:val="22"/>
              </w:rPr>
            </w:pPr>
            <w:r>
              <w:rPr>
                <w:color w:val="000000"/>
                <w:sz w:val="22"/>
              </w:rPr>
              <w:t>9/1/2001</w:t>
            </w:r>
          </w:p>
        </w:tc>
        <w:tc>
          <w:tcPr>
            <w:tcW w:w="1735" w:type="dxa"/>
            <w:tcBorders/>
          </w:tcPr>
          <w:p>
            <w:pPr>
              <w:pStyle w:val="Normal"/>
              <w:spacing w:before="20" w:after="20"/>
              <w:rPr>
                <w:color w:val="000000"/>
                <w:sz w:val="22"/>
              </w:rPr>
            </w:pPr>
            <w:r>
              <w:rPr>
                <w:color w:val="000000"/>
                <w:sz w:val="22"/>
              </w:rPr>
              <w:t>270</w:t>
            </w:r>
          </w:p>
        </w:tc>
        <w:tc>
          <w:tcPr>
            <w:tcW w:w="1736" w:type="dxa"/>
            <w:tcBorders/>
          </w:tcPr>
          <w:p>
            <w:pPr>
              <w:pStyle w:val="Normal"/>
              <w:spacing w:before="20" w:after="20"/>
              <w:rPr>
                <w:color w:val="000000"/>
                <w:sz w:val="22"/>
              </w:rPr>
            </w:pPr>
            <w:r>
              <w:rPr>
                <w:color w:val="000000"/>
                <w:sz w:val="22"/>
              </w:rPr>
              <w:t>6,022</w:t>
            </w:r>
          </w:p>
        </w:tc>
      </w:tr>
      <w:tr>
        <w:trPr/>
        <w:tc>
          <w:tcPr>
            <w:tcW w:w="3170" w:type="dxa"/>
            <w:tcBorders/>
          </w:tcPr>
          <w:p>
            <w:pPr>
              <w:pStyle w:val="Normal"/>
              <w:spacing w:before="20" w:after="20"/>
              <w:rPr>
                <w:color w:val="000000"/>
                <w:sz w:val="22"/>
              </w:rPr>
            </w:pPr>
            <w:r>
              <w:rPr>
                <w:color w:val="000000"/>
                <w:sz w:val="22"/>
              </w:rPr>
              <w:t>43rd Avenue Phase 2 Repower</w:t>
            </w:r>
          </w:p>
        </w:tc>
        <w:tc>
          <w:tcPr>
            <w:tcW w:w="1467" w:type="dxa"/>
            <w:tcBorders/>
          </w:tcPr>
          <w:p>
            <w:pPr>
              <w:pStyle w:val="Normal"/>
              <w:spacing w:before="20" w:after="20"/>
              <w:rPr>
                <w:color w:val="000000"/>
                <w:sz w:val="22"/>
              </w:rPr>
            </w:pPr>
            <w:r>
              <w:rPr>
                <w:color w:val="000000"/>
                <w:sz w:val="22"/>
              </w:rPr>
              <w:t>AZ</w:t>
            </w:r>
          </w:p>
        </w:tc>
        <w:tc>
          <w:tcPr>
            <w:tcW w:w="1418" w:type="dxa"/>
            <w:tcBorders/>
          </w:tcPr>
          <w:p>
            <w:pPr>
              <w:pStyle w:val="Normal"/>
              <w:spacing w:before="20" w:after="20"/>
              <w:rPr>
                <w:color w:val="000000"/>
                <w:sz w:val="22"/>
              </w:rPr>
            </w:pPr>
            <w:r>
              <w:rPr>
                <w:color w:val="000000"/>
                <w:sz w:val="22"/>
              </w:rPr>
              <w:t>12/1/2001</w:t>
            </w:r>
          </w:p>
        </w:tc>
        <w:tc>
          <w:tcPr>
            <w:tcW w:w="1735" w:type="dxa"/>
            <w:tcBorders/>
          </w:tcPr>
          <w:p>
            <w:pPr>
              <w:pStyle w:val="Normal"/>
              <w:spacing w:before="20" w:after="20"/>
              <w:rPr>
                <w:color w:val="000000"/>
                <w:sz w:val="22"/>
              </w:rPr>
            </w:pPr>
            <w:r>
              <w:rPr>
                <w:color w:val="000000"/>
                <w:sz w:val="22"/>
              </w:rPr>
              <w:t>70</w:t>
            </w:r>
          </w:p>
        </w:tc>
        <w:tc>
          <w:tcPr>
            <w:tcW w:w="1736" w:type="dxa"/>
            <w:tcBorders/>
          </w:tcPr>
          <w:p>
            <w:pPr>
              <w:pStyle w:val="Normal"/>
              <w:spacing w:before="20" w:after="20"/>
              <w:rPr>
                <w:color w:val="000000"/>
                <w:sz w:val="22"/>
              </w:rPr>
            </w:pPr>
            <w:r>
              <w:rPr>
                <w:color w:val="000000"/>
                <w:sz w:val="22"/>
              </w:rPr>
              <w:t>6,092</w:t>
            </w:r>
          </w:p>
        </w:tc>
      </w:tr>
      <w:tr>
        <w:trPr/>
        <w:tc>
          <w:tcPr>
            <w:tcW w:w="3170" w:type="dxa"/>
            <w:tcBorders/>
          </w:tcPr>
          <w:p>
            <w:pPr>
              <w:pStyle w:val="Normal"/>
              <w:spacing w:before="20" w:after="20"/>
              <w:rPr>
                <w:color w:val="000000"/>
                <w:sz w:val="22"/>
              </w:rPr>
            </w:pPr>
            <w:r>
              <w:rPr>
                <w:color w:val="000000"/>
                <w:sz w:val="22"/>
              </w:rPr>
              <w:t>Everett Delta</w:t>
            </w:r>
          </w:p>
        </w:tc>
        <w:tc>
          <w:tcPr>
            <w:tcW w:w="1467" w:type="dxa"/>
            <w:tcBorders/>
          </w:tcPr>
          <w:p>
            <w:pPr>
              <w:pStyle w:val="Normal"/>
              <w:spacing w:before="20" w:after="20"/>
              <w:rPr>
                <w:color w:val="000000"/>
                <w:sz w:val="22"/>
              </w:rPr>
            </w:pPr>
            <w:r>
              <w:rPr>
                <w:color w:val="000000"/>
                <w:sz w:val="22"/>
              </w:rPr>
              <w:t>WA</w:t>
            </w:r>
          </w:p>
        </w:tc>
        <w:tc>
          <w:tcPr>
            <w:tcW w:w="1418" w:type="dxa"/>
            <w:tcBorders/>
          </w:tcPr>
          <w:p>
            <w:pPr>
              <w:pStyle w:val="Normal"/>
              <w:spacing w:before="20" w:after="20"/>
              <w:rPr>
                <w:color w:val="000000"/>
                <w:sz w:val="22"/>
              </w:rPr>
            </w:pPr>
            <w:r>
              <w:rPr>
                <w:color w:val="000000"/>
                <w:sz w:val="22"/>
              </w:rPr>
              <w:t>12/1/2001</w:t>
            </w:r>
          </w:p>
        </w:tc>
        <w:tc>
          <w:tcPr>
            <w:tcW w:w="1735" w:type="dxa"/>
            <w:tcBorders/>
          </w:tcPr>
          <w:p>
            <w:pPr>
              <w:pStyle w:val="Normal"/>
              <w:spacing w:before="20" w:after="20"/>
              <w:rPr>
                <w:color w:val="000000"/>
                <w:sz w:val="22"/>
              </w:rPr>
            </w:pPr>
            <w:r>
              <w:rPr>
                <w:color w:val="000000"/>
                <w:sz w:val="22"/>
              </w:rPr>
              <w:t>248</w:t>
            </w:r>
          </w:p>
        </w:tc>
        <w:tc>
          <w:tcPr>
            <w:tcW w:w="1736" w:type="dxa"/>
            <w:tcBorders/>
          </w:tcPr>
          <w:p>
            <w:pPr>
              <w:pStyle w:val="Normal"/>
              <w:spacing w:before="20" w:after="20"/>
              <w:rPr>
                <w:color w:val="000000"/>
                <w:sz w:val="22"/>
              </w:rPr>
            </w:pPr>
            <w:r>
              <w:rPr>
                <w:color w:val="000000"/>
                <w:sz w:val="22"/>
              </w:rPr>
              <w:t>6,340</w:t>
            </w:r>
          </w:p>
        </w:tc>
      </w:tr>
      <w:tr>
        <w:trPr/>
        <w:tc>
          <w:tcPr>
            <w:tcW w:w="3170" w:type="dxa"/>
            <w:tcBorders/>
          </w:tcPr>
          <w:p>
            <w:pPr>
              <w:pStyle w:val="Normal"/>
              <w:spacing w:before="20" w:after="20"/>
              <w:rPr>
                <w:color w:val="000000"/>
                <w:sz w:val="22"/>
              </w:rPr>
            </w:pPr>
            <w:r>
              <w:rPr>
                <w:color w:val="000000"/>
                <w:sz w:val="22"/>
              </w:rPr>
              <w:t>Coyote Springs Phase 2</w:t>
            </w:r>
          </w:p>
        </w:tc>
        <w:tc>
          <w:tcPr>
            <w:tcW w:w="1467" w:type="dxa"/>
            <w:tcBorders/>
          </w:tcPr>
          <w:p>
            <w:pPr>
              <w:pStyle w:val="Normal"/>
              <w:spacing w:before="20" w:after="20"/>
              <w:rPr>
                <w:color w:val="000000"/>
                <w:sz w:val="22"/>
              </w:rPr>
            </w:pPr>
            <w:r>
              <w:rPr>
                <w:color w:val="000000"/>
                <w:sz w:val="22"/>
              </w:rPr>
              <w:t>OR</w:t>
            </w:r>
          </w:p>
        </w:tc>
        <w:tc>
          <w:tcPr>
            <w:tcW w:w="1418" w:type="dxa"/>
            <w:tcBorders/>
          </w:tcPr>
          <w:p>
            <w:pPr>
              <w:pStyle w:val="Normal"/>
              <w:spacing w:before="20" w:after="20"/>
              <w:rPr>
                <w:color w:val="000000"/>
                <w:sz w:val="22"/>
              </w:rPr>
            </w:pPr>
            <w:r>
              <w:rPr>
                <w:color w:val="000000"/>
                <w:sz w:val="22"/>
              </w:rPr>
              <w:t>3/1/2002</w:t>
            </w:r>
          </w:p>
        </w:tc>
        <w:tc>
          <w:tcPr>
            <w:tcW w:w="1735" w:type="dxa"/>
            <w:tcBorders/>
          </w:tcPr>
          <w:p>
            <w:pPr>
              <w:pStyle w:val="Normal"/>
              <w:spacing w:before="20" w:after="20"/>
              <w:rPr>
                <w:color w:val="000000"/>
                <w:sz w:val="22"/>
              </w:rPr>
            </w:pPr>
            <w:r>
              <w:rPr>
                <w:color w:val="000000"/>
                <w:sz w:val="22"/>
              </w:rPr>
              <w:t>280</w:t>
            </w:r>
          </w:p>
        </w:tc>
        <w:tc>
          <w:tcPr>
            <w:tcW w:w="1736" w:type="dxa"/>
            <w:tcBorders/>
          </w:tcPr>
          <w:p>
            <w:pPr>
              <w:pStyle w:val="Normal"/>
              <w:spacing w:before="20" w:after="20"/>
              <w:rPr>
                <w:color w:val="000000"/>
                <w:sz w:val="22"/>
              </w:rPr>
            </w:pPr>
            <w:r>
              <w:rPr>
                <w:color w:val="000000"/>
                <w:sz w:val="22"/>
              </w:rPr>
              <w:t>6,620</w:t>
            </w:r>
          </w:p>
        </w:tc>
      </w:tr>
      <w:tr>
        <w:trPr/>
        <w:tc>
          <w:tcPr>
            <w:tcW w:w="3170" w:type="dxa"/>
            <w:tcBorders/>
          </w:tcPr>
          <w:p>
            <w:pPr>
              <w:pStyle w:val="Normal"/>
              <w:spacing w:before="20" w:after="20"/>
              <w:rPr>
                <w:color w:val="000000"/>
                <w:sz w:val="22"/>
              </w:rPr>
            </w:pPr>
            <w:r>
              <w:rPr>
                <w:color w:val="000000"/>
                <w:sz w:val="22"/>
              </w:rPr>
              <w:t>Delta Energy</w:t>
            </w:r>
          </w:p>
        </w:tc>
        <w:tc>
          <w:tcPr>
            <w:tcW w:w="1467" w:type="dxa"/>
            <w:tcBorders/>
          </w:tcPr>
          <w:p>
            <w:pPr>
              <w:pStyle w:val="Normal"/>
              <w:spacing w:before="20" w:after="20"/>
              <w:rPr>
                <w:color w:val="000000"/>
                <w:sz w:val="22"/>
              </w:rPr>
            </w:pPr>
            <w:r>
              <w:rPr>
                <w:color w:val="000000"/>
                <w:sz w:val="22"/>
              </w:rPr>
              <w:t>CA</w:t>
            </w:r>
          </w:p>
        </w:tc>
        <w:tc>
          <w:tcPr>
            <w:tcW w:w="1418" w:type="dxa"/>
            <w:tcBorders/>
          </w:tcPr>
          <w:p>
            <w:pPr>
              <w:pStyle w:val="Normal"/>
              <w:spacing w:before="20" w:after="20"/>
              <w:rPr>
                <w:color w:val="000000"/>
                <w:sz w:val="22"/>
              </w:rPr>
            </w:pPr>
            <w:r>
              <w:rPr>
                <w:color w:val="000000"/>
                <w:sz w:val="22"/>
              </w:rPr>
              <w:t>4/1/2002</w:t>
            </w:r>
          </w:p>
        </w:tc>
        <w:tc>
          <w:tcPr>
            <w:tcW w:w="1735" w:type="dxa"/>
            <w:tcBorders/>
          </w:tcPr>
          <w:p>
            <w:pPr>
              <w:pStyle w:val="Normal"/>
              <w:spacing w:before="20" w:after="20"/>
              <w:rPr>
                <w:color w:val="000000"/>
                <w:sz w:val="22"/>
              </w:rPr>
            </w:pPr>
            <w:r>
              <w:rPr>
                <w:color w:val="000000"/>
                <w:sz w:val="22"/>
              </w:rPr>
              <w:t>880</w:t>
            </w:r>
          </w:p>
        </w:tc>
        <w:tc>
          <w:tcPr>
            <w:tcW w:w="1736" w:type="dxa"/>
            <w:tcBorders/>
          </w:tcPr>
          <w:p>
            <w:pPr>
              <w:pStyle w:val="Normal"/>
              <w:spacing w:before="20" w:after="20"/>
              <w:rPr>
                <w:color w:val="000000"/>
                <w:sz w:val="22"/>
              </w:rPr>
            </w:pPr>
            <w:r>
              <w:rPr>
                <w:color w:val="000000"/>
                <w:sz w:val="22"/>
              </w:rPr>
              <w:t>7,500</w:t>
            </w:r>
          </w:p>
        </w:tc>
      </w:tr>
      <w:tr>
        <w:trPr/>
        <w:tc>
          <w:tcPr>
            <w:tcW w:w="3170" w:type="dxa"/>
            <w:tcBorders/>
          </w:tcPr>
          <w:p>
            <w:pPr>
              <w:pStyle w:val="Normal"/>
              <w:spacing w:before="20" w:after="20"/>
              <w:rPr>
                <w:color w:val="000000"/>
                <w:sz w:val="22"/>
              </w:rPr>
            </w:pPr>
            <w:r>
              <w:rPr>
                <w:color w:val="000000"/>
                <w:sz w:val="22"/>
              </w:rPr>
              <w:t>Powhatan 48</w:t>
            </w:r>
          </w:p>
        </w:tc>
        <w:tc>
          <w:tcPr>
            <w:tcW w:w="1467" w:type="dxa"/>
            <w:tcBorders/>
          </w:tcPr>
          <w:p>
            <w:pPr>
              <w:pStyle w:val="Normal"/>
              <w:spacing w:before="20" w:after="20"/>
              <w:rPr>
                <w:color w:val="000000"/>
                <w:sz w:val="22"/>
              </w:rPr>
            </w:pPr>
            <w:r>
              <w:rPr>
                <w:color w:val="000000"/>
                <w:sz w:val="22"/>
              </w:rPr>
              <w:t>CO</w:t>
            </w:r>
          </w:p>
        </w:tc>
        <w:tc>
          <w:tcPr>
            <w:tcW w:w="1418" w:type="dxa"/>
            <w:tcBorders/>
          </w:tcPr>
          <w:p>
            <w:pPr>
              <w:pStyle w:val="Normal"/>
              <w:spacing w:before="20" w:after="20"/>
              <w:rPr>
                <w:color w:val="000000"/>
                <w:sz w:val="22"/>
              </w:rPr>
            </w:pPr>
            <w:r>
              <w:rPr>
                <w:color w:val="000000"/>
                <w:sz w:val="22"/>
              </w:rPr>
              <w:t>5/1/2002</w:t>
            </w:r>
          </w:p>
        </w:tc>
        <w:tc>
          <w:tcPr>
            <w:tcW w:w="1735" w:type="dxa"/>
            <w:tcBorders/>
          </w:tcPr>
          <w:p>
            <w:pPr>
              <w:pStyle w:val="Normal"/>
              <w:spacing w:before="20" w:after="20"/>
              <w:rPr>
                <w:color w:val="000000"/>
                <w:sz w:val="22"/>
              </w:rPr>
            </w:pPr>
            <w:r>
              <w:rPr>
                <w:color w:val="000000"/>
                <w:sz w:val="22"/>
              </w:rPr>
              <w:t>150</w:t>
            </w:r>
          </w:p>
        </w:tc>
        <w:tc>
          <w:tcPr>
            <w:tcW w:w="1736" w:type="dxa"/>
            <w:tcBorders/>
          </w:tcPr>
          <w:p>
            <w:pPr>
              <w:pStyle w:val="Normal"/>
              <w:spacing w:before="20" w:after="20"/>
              <w:rPr>
                <w:color w:val="000000"/>
                <w:sz w:val="22"/>
              </w:rPr>
            </w:pPr>
            <w:r>
              <w:rPr>
                <w:color w:val="000000"/>
                <w:sz w:val="22"/>
              </w:rPr>
              <w:t>7,650</w:t>
            </w:r>
          </w:p>
        </w:tc>
      </w:tr>
      <w:tr>
        <w:trPr/>
        <w:tc>
          <w:tcPr>
            <w:tcW w:w="3170" w:type="dxa"/>
            <w:tcBorders/>
          </w:tcPr>
          <w:p>
            <w:pPr>
              <w:pStyle w:val="Normal"/>
              <w:spacing w:before="20" w:after="20"/>
              <w:rPr>
                <w:color w:val="000000"/>
                <w:sz w:val="22"/>
              </w:rPr>
            </w:pPr>
            <w:r>
              <w:rPr>
                <w:color w:val="000000"/>
                <w:sz w:val="22"/>
              </w:rPr>
              <w:t>Hermiston</w:t>
            </w:r>
          </w:p>
        </w:tc>
        <w:tc>
          <w:tcPr>
            <w:tcW w:w="1467" w:type="dxa"/>
            <w:tcBorders/>
          </w:tcPr>
          <w:p>
            <w:pPr>
              <w:pStyle w:val="Normal"/>
              <w:spacing w:before="20" w:after="20"/>
              <w:rPr>
                <w:color w:val="000000"/>
                <w:sz w:val="22"/>
              </w:rPr>
            </w:pPr>
            <w:r>
              <w:rPr>
                <w:color w:val="000000"/>
                <w:sz w:val="22"/>
              </w:rPr>
              <w:t>OR</w:t>
            </w:r>
          </w:p>
        </w:tc>
        <w:tc>
          <w:tcPr>
            <w:tcW w:w="1418" w:type="dxa"/>
            <w:tcBorders/>
          </w:tcPr>
          <w:p>
            <w:pPr>
              <w:pStyle w:val="Normal"/>
              <w:spacing w:before="20" w:after="20"/>
              <w:rPr>
                <w:color w:val="000000"/>
                <w:sz w:val="22"/>
              </w:rPr>
            </w:pPr>
            <w:r>
              <w:rPr>
                <w:color w:val="000000"/>
                <w:sz w:val="22"/>
              </w:rPr>
              <w:t>5/1/2002</w:t>
            </w:r>
          </w:p>
        </w:tc>
        <w:tc>
          <w:tcPr>
            <w:tcW w:w="1735" w:type="dxa"/>
            <w:tcBorders/>
          </w:tcPr>
          <w:p>
            <w:pPr>
              <w:pStyle w:val="Normal"/>
              <w:spacing w:before="20" w:after="20"/>
              <w:rPr>
                <w:color w:val="000000"/>
                <w:sz w:val="22"/>
              </w:rPr>
            </w:pPr>
            <w:r>
              <w:rPr>
                <w:color w:val="000000"/>
                <w:sz w:val="22"/>
              </w:rPr>
              <w:t>536</w:t>
            </w:r>
          </w:p>
        </w:tc>
        <w:tc>
          <w:tcPr>
            <w:tcW w:w="1736" w:type="dxa"/>
            <w:tcBorders/>
          </w:tcPr>
          <w:p>
            <w:pPr>
              <w:pStyle w:val="Normal"/>
              <w:spacing w:before="20" w:after="20"/>
              <w:rPr>
                <w:color w:val="000000"/>
                <w:sz w:val="22"/>
              </w:rPr>
            </w:pPr>
            <w:r>
              <w:rPr>
                <w:color w:val="000000"/>
                <w:sz w:val="22"/>
              </w:rPr>
              <w:t>8,186</w:t>
            </w:r>
          </w:p>
        </w:tc>
      </w:tr>
    </w:tbl>
    <w:p>
      <w:pPr>
        <w:pStyle w:val="BodyText"/>
        <w:rPr/>
      </w:pPr>
      <w:r>
        <w:rPr/>
      </w:r>
    </w:p>
    <w:p>
      <w:pPr>
        <w:pStyle w:val="BodyText"/>
        <w:rPr/>
      </w:pPr>
      <w:r>
        <w:rPr/>
        <w:t>The current generation stack for the WSCC is depicted in the graph below.  Given LV Cogen’s 7760 heat rate, it will be highly competitive relative to existing generation.</w:t>
      </w:r>
    </w:p>
    <w:p>
      <w:pPr>
        <w:pStyle w:val="BodyText"/>
        <w:rPr/>
      </w:pPr>
      <w:bookmarkStart w:id="4" w:name="_1019719580"/>
      <w:bookmarkStart w:id="5" w:name="_1019719533"/>
      <w:bookmarkStart w:id="6" w:name="_1019719521"/>
      <w:bookmarkEnd w:id="4"/>
      <w:bookmarkEnd w:id="5"/>
      <w:bookmarkEnd w:id="6"/>
      <w:r>
        <w:rPr/>
        <w:object w:dxaOrig="12801" w:dyaOrig="614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475.8pt;height:285.7pt" filled="f" o:ole="">
            <v:imagedata r:id="rId6" o:title=""/>
          </v:shape>
          <o:OLEObject Type="Embed" ProgID="Excel.Sheet.12" ShapeID="ole_rId5" DrawAspect="Content" ObjectID="_59590840" r:id="rId5"/>
        </w:object>
      </w:r>
    </w:p>
    <w:p>
      <w:pPr>
        <w:pStyle w:val="Heading2"/>
        <w:ind w:hanging="0" w:start="0"/>
        <w:rPr>
          <w:rFonts w:ascii="Times New Roman" w:hAnsi="Times New Roman" w:cs="Times New Roman"/>
        </w:rPr>
      </w:pPr>
      <w:bookmarkStart w:id="7" w:name="__RefHeading___Toc482880103"/>
      <w:bookmarkEnd w:id="7"/>
      <w:r>
        <w:rPr>
          <w:rFonts w:cs="Times New Roman" w:ascii="Times New Roman" w:hAnsi="Times New Roman"/>
        </w:rPr>
        <w:t>Nevada and California Markets</w:t>
      </w:r>
    </w:p>
    <w:p>
      <w:pPr>
        <w:pStyle w:val="sub"/>
        <w:spacing w:before="120" w:after="240"/>
        <w:rPr/>
      </w:pPr>
      <w:r>
        <w:rPr/>
        <w:t>Deregulation</w:t>
      </w:r>
    </w:p>
    <w:p>
      <w:pPr>
        <w:pStyle w:val="BodyText"/>
        <w:spacing w:before="0" w:after="240"/>
        <w:rPr/>
      </w:pPr>
      <w:r>
        <w:rPr/>
        <w:t>Nevada enacted a restructuring statute in 1997 that was subsequently amended in 1999.  The date of restructuring was most recently set for March 2000, but has been delayed.  The effect of restructuring when it occurs will be, among other things, to:</w:t>
      </w:r>
    </w:p>
    <w:p>
      <w:pPr>
        <w:pStyle w:val="BodyText"/>
        <w:numPr>
          <w:ilvl w:val="0"/>
          <w:numId w:val="14"/>
        </w:numPr>
        <w:tabs>
          <w:tab w:val="clear" w:pos="360"/>
          <w:tab w:val="left" w:pos="720" w:leader="none"/>
        </w:tabs>
        <w:spacing w:before="0" w:after="240"/>
        <w:ind w:hanging="0" w:start="0" w:end="0"/>
        <w:rPr/>
      </w:pPr>
      <w:r>
        <w:rPr/>
        <w:t>Open the retail market to competition</w:t>
      </w:r>
    </w:p>
    <w:p>
      <w:pPr>
        <w:pStyle w:val="BodyText"/>
        <w:numPr>
          <w:ilvl w:val="0"/>
          <w:numId w:val="14"/>
        </w:numPr>
        <w:tabs>
          <w:tab w:val="clear" w:pos="360"/>
          <w:tab w:val="left" w:pos="720" w:leader="none"/>
        </w:tabs>
        <w:spacing w:before="0" w:after="240"/>
        <w:ind w:hanging="0" w:start="0" w:end="0"/>
        <w:rPr/>
      </w:pPr>
      <w:r>
        <w:rPr/>
        <w:t>Introduce competition to generation services, metering, billing, and customer service</w:t>
      </w:r>
    </w:p>
    <w:p>
      <w:pPr>
        <w:pStyle w:val="BodyText"/>
        <w:numPr>
          <w:ilvl w:val="0"/>
          <w:numId w:val="14"/>
        </w:numPr>
        <w:tabs>
          <w:tab w:val="clear" w:pos="360"/>
          <w:tab w:val="left" w:pos="720" w:leader="none"/>
        </w:tabs>
        <w:spacing w:before="0" w:after="240"/>
        <w:ind w:hanging="0" w:start="0" w:end="0"/>
        <w:rPr/>
      </w:pPr>
      <w:r>
        <w:rPr/>
        <w:t>Allows other competitors to bid on being the provider of last resort (“PLR”) in Nevada.  Sierra Pacific, the incumbent utility, has already begun the divestiture of all its generating assets and will not be the default provider of electric service in the future.</w:t>
      </w:r>
    </w:p>
    <w:p>
      <w:pPr>
        <w:pStyle w:val="BodyText"/>
        <w:spacing w:before="0" w:after="240"/>
        <w:rPr/>
      </w:pPr>
      <w:r>
        <w:rPr/>
        <w:t xml:space="preserve">ENA believes that it is possible that restructuring will ultimately be delayed into 2001. </w:t>
      </w:r>
    </w:p>
    <w:p>
      <w:pPr>
        <w:pStyle w:val="BodyText"/>
        <w:spacing w:before="0" w:after="240"/>
        <w:rPr/>
      </w:pPr>
      <w:r>
        <w:rPr/>
        <w:t>Fundamentally, ENA’s view is that the Nevada market, when deregulated, will be substantially influenced by the much larger, more mature, California market.  ENA believes that Nevada power prices will be directly influenced by California Power Exchange prices for southern California (see below).  The graph below demonstrates, using appropriate proxies, historical and forward prices for the Nevada power market.</w:t>
      </w:r>
    </w:p>
    <w:p>
      <w:pPr>
        <w:pStyle w:val="BodyText"/>
        <w:rPr>
          <w:lang w:val="en-CA" w:eastAsia="en-CA"/>
        </w:rPr>
      </w:pPr>
      <w:r>
        <w:rPr>
          <w:lang w:val="en-CA" w:eastAsia="en-CA"/>
        </w:rPr>
        <w:object w:dxaOrig="7681" w:dyaOrig="384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6.75pt;margin-top:3.6pt;width:413.3pt;height:195.75pt;mso-wrap-distance-left:9.05pt;mso-wrap-distance-right:9.05pt;mso-position-horizontal-relative:text;mso-position-vertical-relative:text" filled="f" o:ole="">
            <v:imagedata r:id="rId8" o:title=""/>
            <w10:wrap type="topAndBottom"/>
          </v:shape>
          <o:OLEObject Type="Embed" ProgID="Excel.Sheet.12" ShapeID="ole_rId7" DrawAspect="Content" ObjectID="_1585086187" r:id="rId7"/>
        </w:object>
      </w:r>
    </w:p>
    <w:tbl>
      <w:tblPr>
        <w:tblW w:w="3630" w:type="dxa"/>
        <w:jc w:val="start"/>
        <w:tblInd w:w="1020" w:type="dxa"/>
        <w:tblLayout w:type="fixed"/>
        <w:tblCellMar>
          <w:top w:w="0" w:type="dxa"/>
          <w:start w:w="30" w:type="dxa"/>
          <w:bottom w:w="0" w:type="dxa"/>
          <w:end w:w="30" w:type="dxa"/>
        </w:tblCellMar>
      </w:tblPr>
      <w:tblGrid>
        <w:gridCol w:w="2280"/>
        <w:gridCol w:w="1350"/>
      </w:tblGrid>
      <w:tr>
        <w:trPr>
          <w:trHeight w:val="322" w:hRule="atLeast"/>
        </w:trPr>
        <w:tc>
          <w:tcPr>
            <w:tcW w:w="3630" w:type="dxa"/>
            <w:gridSpan w:val="2"/>
            <w:tcBorders/>
          </w:tcPr>
          <w:p>
            <w:pPr>
              <w:pStyle w:val="Normal"/>
              <w:rPr>
                <w:b/>
                <w:color w:val="000000"/>
                <w:sz w:val="28"/>
              </w:rPr>
            </w:pPr>
            <w:r>
              <w:rPr>
                <w:b/>
                <w:color w:val="000000"/>
                <w:sz w:val="28"/>
              </w:rPr>
              <w:t>Average Nevada Peak Prices</w:t>
            </w:r>
          </w:p>
        </w:tc>
        <w:tc>
          <w:tcPr>
            <w:tcW w:w="0" w:type="dxa"/>
            <w:vMerge w:val="continue"/>
            <w:tcBorders/>
          </w:tcPr>
          <w:p>
            <w:pPr>
              <w:pStyle w:val="Normal"/>
              <w:snapToGrid w:val="false"/>
              <w:rPr>
                <w:b/>
                <w:color w:val="000000"/>
                <w:sz w:val="28"/>
              </w:rPr>
            </w:pPr>
            <w:r>
              <w:rPr>
                <w:b/>
                <w:color w:val="000000"/>
                <w:sz w:val="28"/>
              </w:rPr>
            </w:r>
          </w:p>
        </w:tc>
      </w:tr>
      <w:tr>
        <w:trPr>
          <w:trHeight w:val="276" w:hRule="atLeast"/>
        </w:trPr>
        <w:tc>
          <w:tcPr>
            <w:tcW w:w="2280" w:type="dxa"/>
            <w:tcBorders>
              <w:bottom w:val="single" w:sz="12" w:space="0" w:color="000000"/>
            </w:tcBorders>
          </w:tcPr>
          <w:p>
            <w:pPr>
              <w:pStyle w:val="Normal"/>
              <w:rPr>
                <w:b/>
                <w:color w:val="000000"/>
              </w:rPr>
            </w:pPr>
            <w:r>
              <w:rPr>
                <w:b/>
                <w:color w:val="000000"/>
              </w:rPr>
              <w:t>April to March</w:t>
            </w:r>
          </w:p>
        </w:tc>
        <w:tc>
          <w:tcPr>
            <w:tcW w:w="1350" w:type="dxa"/>
            <w:tcBorders>
              <w:bottom w:val="single" w:sz="12" w:space="0" w:color="000000"/>
            </w:tcBorders>
          </w:tcPr>
          <w:p>
            <w:pPr>
              <w:pStyle w:val="Normal"/>
              <w:rPr>
                <w:b/>
                <w:color w:val="000000"/>
              </w:rPr>
            </w:pPr>
            <w:r>
              <w:rPr>
                <w:b/>
                <w:color w:val="000000"/>
              </w:rPr>
              <w:t>$/MWh</w:t>
            </w:r>
          </w:p>
        </w:tc>
      </w:tr>
      <w:tr>
        <w:trPr>
          <w:trHeight w:val="262" w:hRule="atLeast"/>
        </w:trPr>
        <w:tc>
          <w:tcPr>
            <w:tcW w:w="2280" w:type="dxa"/>
            <w:tcBorders>
              <w:top w:val="single" w:sz="12" w:space="0" w:color="000000"/>
            </w:tcBorders>
          </w:tcPr>
          <w:p>
            <w:pPr>
              <w:pStyle w:val="Normal"/>
              <w:spacing w:before="20" w:after="20"/>
              <w:rPr>
                <w:color w:val="000000"/>
                <w:sz w:val="22"/>
              </w:rPr>
            </w:pPr>
            <w:r>
              <w:rPr>
                <w:color w:val="000000"/>
                <w:sz w:val="22"/>
              </w:rPr>
              <w:t>1996 - 1997</w:t>
            </w:r>
          </w:p>
        </w:tc>
        <w:tc>
          <w:tcPr>
            <w:tcW w:w="1350" w:type="dxa"/>
            <w:tcBorders>
              <w:top w:val="single" w:sz="12" w:space="0" w:color="000000"/>
            </w:tcBorders>
          </w:tcPr>
          <w:p>
            <w:pPr>
              <w:pStyle w:val="Normal"/>
              <w:spacing w:before="20" w:after="20"/>
              <w:rPr>
                <w:color w:val="000000"/>
                <w:sz w:val="22"/>
              </w:rPr>
            </w:pPr>
            <w:r>
              <w:rPr>
                <w:color w:val="000000"/>
                <w:sz w:val="22"/>
              </w:rPr>
              <w:t>17.85</w:t>
            </w:r>
          </w:p>
        </w:tc>
      </w:tr>
      <w:tr>
        <w:trPr>
          <w:trHeight w:val="262" w:hRule="atLeast"/>
        </w:trPr>
        <w:tc>
          <w:tcPr>
            <w:tcW w:w="2280" w:type="dxa"/>
            <w:tcBorders/>
          </w:tcPr>
          <w:p>
            <w:pPr>
              <w:pStyle w:val="Normal"/>
              <w:spacing w:before="20" w:after="20"/>
              <w:rPr>
                <w:color w:val="000000"/>
                <w:sz w:val="22"/>
              </w:rPr>
            </w:pPr>
            <w:r>
              <w:rPr>
                <w:color w:val="000000"/>
                <w:sz w:val="22"/>
              </w:rPr>
              <w:t>1997 - 1998</w:t>
            </w:r>
          </w:p>
        </w:tc>
        <w:tc>
          <w:tcPr>
            <w:tcW w:w="1350" w:type="dxa"/>
            <w:tcBorders/>
          </w:tcPr>
          <w:p>
            <w:pPr>
              <w:pStyle w:val="Normal"/>
              <w:spacing w:before="20" w:after="20"/>
              <w:rPr>
                <w:color w:val="000000"/>
                <w:sz w:val="22"/>
              </w:rPr>
            </w:pPr>
            <w:r>
              <w:rPr>
                <w:color w:val="000000"/>
                <w:sz w:val="22"/>
              </w:rPr>
              <w:t>26.66</w:t>
            </w:r>
          </w:p>
        </w:tc>
      </w:tr>
      <w:tr>
        <w:trPr>
          <w:trHeight w:val="262" w:hRule="atLeast"/>
        </w:trPr>
        <w:tc>
          <w:tcPr>
            <w:tcW w:w="2280" w:type="dxa"/>
            <w:tcBorders/>
          </w:tcPr>
          <w:p>
            <w:pPr>
              <w:pStyle w:val="Normal"/>
              <w:spacing w:before="20" w:after="20"/>
              <w:rPr>
                <w:color w:val="000000"/>
                <w:sz w:val="22"/>
              </w:rPr>
            </w:pPr>
            <w:r>
              <w:rPr>
                <w:color w:val="000000"/>
                <w:sz w:val="22"/>
              </w:rPr>
              <w:t>1998 - 1999</w:t>
            </w:r>
          </w:p>
        </w:tc>
        <w:tc>
          <w:tcPr>
            <w:tcW w:w="1350" w:type="dxa"/>
            <w:tcBorders/>
          </w:tcPr>
          <w:p>
            <w:pPr>
              <w:pStyle w:val="Normal"/>
              <w:spacing w:before="20" w:after="20"/>
              <w:rPr>
                <w:color w:val="000000"/>
                <w:sz w:val="22"/>
              </w:rPr>
            </w:pPr>
            <w:r>
              <w:rPr>
                <w:color w:val="000000"/>
                <w:sz w:val="22"/>
              </w:rPr>
              <w:t>29.07</w:t>
            </w:r>
          </w:p>
        </w:tc>
      </w:tr>
      <w:tr>
        <w:trPr>
          <w:trHeight w:val="262" w:hRule="atLeast"/>
        </w:trPr>
        <w:tc>
          <w:tcPr>
            <w:tcW w:w="2280" w:type="dxa"/>
            <w:tcBorders/>
          </w:tcPr>
          <w:p>
            <w:pPr>
              <w:pStyle w:val="Normal"/>
              <w:spacing w:before="20" w:after="20"/>
              <w:rPr>
                <w:color w:val="000000"/>
                <w:sz w:val="22"/>
              </w:rPr>
            </w:pPr>
            <w:r>
              <w:rPr>
                <w:color w:val="000000"/>
                <w:sz w:val="22"/>
              </w:rPr>
              <w:t>1999 - 2000</w:t>
            </w:r>
          </w:p>
        </w:tc>
        <w:tc>
          <w:tcPr>
            <w:tcW w:w="1350" w:type="dxa"/>
            <w:tcBorders/>
          </w:tcPr>
          <w:p>
            <w:pPr>
              <w:pStyle w:val="Normal"/>
              <w:spacing w:before="20" w:after="20"/>
              <w:rPr>
                <w:color w:val="000000"/>
                <w:sz w:val="22"/>
              </w:rPr>
            </w:pPr>
            <w:r>
              <w:rPr>
                <w:color w:val="000000"/>
                <w:sz w:val="22"/>
              </w:rPr>
              <w:t>33.37</w:t>
            </w:r>
          </w:p>
        </w:tc>
      </w:tr>
      <w:tr>
        <w:trPr>
          <w:trHeight w:val="262" w:hRule="atLeast"/>
        </w:trPr>
        <w:tc>
          <w:tcPr>
            <w:tcW w:w="2280" w:type="dxa"/>
            <w:tcBorders/>
          </w:tcPr>
          <w:p>
            <w:pPr>
              <w:pStyle w:val="Normal"/>
              <w:spacing w:before="20" w:after="20"/>
              <w:rPr>
                <w:color w:val="000000"/>
                <w:sz w:val="22"/>
              </w:rPr>
            </w:pPr>
            <w:r>
              <w:rPr>
                <w:color w:val="000000"/>
                <w:sz w:val="22"/>
              </w:rPr>
              <w:t>2000 - 2001</w:t>
            </w:r>
          </w:p>
        </w:tc>
        <w:tc>
          <w:tcPr>
            <w:tcW w:w="1350" w:type="dxa"/>
            <w:tcBorders/>
          </w:tcPr>
          <w:p>
            <w:pPr>
              <w:pStyle w:val="Normal"/>
              <w:spacing w:before="20" w:after="20"/>
              <w:rPr>
                <w:color w:val="000000"/>
                <w:sz w:val="22"/>
              </w:rPr>
            </w:pPr>
            <w:r>
              <w:rPr>
                <w:color w:val="000000"/>
                <w:sz w:val="22"/>
              </w:rPr>
              <w:t>49.43</w:t>
            </w:r>
          </w:p>
        </w:tc>
      </w:tr>
      <w:tr>
        <w:trPr>
          <w:trHeight w:val="262" w:hRule="atLeast"/>
        </w:trPr>
        <w:tc>
          <w:tcPr>
            <w:tcW w:w="2280" w:type="dxa"/>
            <w:tcBorders/>
          </w:tcPr>
          <w:p>
            <w:pPr>
              <w:pStyle w:val="Normal"/>
              <w:spacing w:before="20" w:after="20"/>
              <w:rPr>
                <w:color w:val="000000"/>
                <w:sz w:val="22"/>
              </w:rPr>
            </w:pPr>
            <w:r>
              <w:rPr>
                <w:color w:val="000000"/>
                <w:sz w:val="22"/>
              </w:rPr>
              <w:t>2001 - 2002</w:t>
            </w:r>
          </w:p>
        </w:tc>
        <w:tc>
          <w:tcPr>
            <w:tcW w:w="1350" w:type="dxa"/>
            <w:tcBorders/>
          </w:tcPr>
          <w:p>
            <w:pPr>
              <w:pStyle w:val="Normal"/>
              <w:spacing w:before="20" w:after="20"/>
              <w:rPr>
                <w:color w:val="000000"/>
                <w:sz w:val="22"/>
              </w:rPr>
            </w:pPr>
            <w:r>
              <w:rPr>
                <w:color w:val="000000"/>
                <w:sz w:val="22"/>
              </w:rPr>
              <w:t>47.05</w:t>
            </w:r>
          </w:p>
        </w:tc>
      </w:tr>
      <w:tr>
        <w:trPr>
          <w:trHeight w:val="262" w:hRule="atLeast"/>
        </w:trPr>
        <w:tc>
          <w:tcPr>
            <w:tcW w:w="2280" w:type="dxa"/>
            <w:tcBorders/>
          </w:tcPr>
          <w:p>
            <w:pPr>
              <w:pStyle w:val="Normal"/>
              <w:spacing w:before="20" w:after="20"/>
              <w:rPr>
                <w:color w:val="000000"/>
                <w:sz w:val="22"/>
              </w:rPr>
            </w:pPr>
            <w:r>
              <w:rPr>
                <w:color w:val="000000"/>
                <w:sz w:val="22"/>
              </w:rPr>
              <w:t>2002 - 2003</w:t>
            </w:r>
          </w:p>
        </w:tc>
        <w:tc>
          <w:tcPr>
            <w:tcW w:w="1350" w:type="dxa"/>
            <w:tcBorders/>
          </w:tcPr>
          <w:p>
            <w:pPr>
              <w:pStyle w:val="Normal"/>
              <w:spacing w:before="20" w:after="20"/>
              <w:rPr>
                <w:color w:val="000000"/>
                <w:sz w:val="22"/>
              </w:rPr>
            </w:pPr>
            <w:r>
              <w:rPr>
                <w:color w:val="000000"/>
                <w:sz w:val="22"/>
              </w:rPr>
              <w:t>45.56</w:t>
            </w:r>
          </w:p>
        </w:tc>
      </w:tr>
    </w:tbl>
    <w:p>
      <w:pPr>
        <w:pStyle w:val="BodyText"/>
        <w:rPr/>
      </w:pPr>
      <w:r>
        <w:rPr/>
      </w:r>
    </w:p>
    <w:p>
      <w:pPr>
        <w:pStyle w:val="BodyText"/>
        <w:spacing w:before="0" w:after="240"/>
        <w:rPr/>
      </w:pPr>
      <w:r>
        <w:rPr/>
        <w:t>California opened to competition on April 1, 1998 when electricity consumers in the territories of Pacific Gas &amp; Electric Company (“PG&amp;E”), Southern California Edison Company (“SCE”) and San Diego Gas and Electric Company (“SDG&amp;E”) were allowed to choose their electricity supplier directly.   The load of these three utilities accounts for approximately 70% to 75% of the total California electricity market.  It is anticipated that the in-state municipal entities, which account for 20%–25% of California’s electrical load, will eventually open their systems to direct access.</w:t>
      </w:r>
    </w:p>
    <w:p>
      <w:pPr>
        <w:pStyle w:val="BodyText"/>
        <w:spacing w:before="0" w:after="240"/>
        <w:rPr/>
      </w:pPr>
      <w:r>
        <w:rPr/>
        <w:t>PG&amp;E, SCE and SDG&amp;E customers were allowed to choose their electricity supplier.  In addition to energy sales, generators were able to obtain revenues for, among other services, the following:</w:t>
      </w:r>
    </w:p>
    <w:p>
      <w:pPr>
        <w:pStyle w:val="BodyText"/>
        <w:numPr>
          <w:ilvl w:val="0"/>
          <w:numId w:val="9"/>
        </w:numPr>
        <w:tabs>
          <w:tab w:val="clear" w:pos="360"/>
        </w:tabs>
        <w:spacing w:before="0" w:after="240"/>
        <w:ind w:hanging="0" w:start="0" w:end="0"/>
        <w:rPr/>
      </w:pPr>
      <w:r>
        <w:rPr/>
        <w:t>Capacity, option or fuel tolling agreements with power marketers; and/or</w:t>
      </w:r>
    </w:p>
    <w:p>
      <w:pPr>
        <w:pStyle w:val="BodyText"/>
        <w:numPr>
          <w:ilvl w:val="0"/>
          <w:numId w:val="9"/>
        </w:numPr>
        <w:tabs>
          <w:tab w:val="clear" w:pos="360"/>
        </w:tabs>
        <w:spacing w:before="0" w:after="240"/>
        <w:ind w:hanging="0" w:start="0" w:end="0"/>
        <w:rPr/>
      </w:pPr>
      <w:r>
        <w:rPr/>
        <w:t>Sales of ancillary services to the ISO including sale of reserves, voltage support and black start capability; and/or</w:t>
      </w:r>
    </w:p>
    <w:p>
      <w:pPr>
        <w:pStyle w:val="BodyText"/>
        <w:numPr>
          <w:ilvl w:val="0"/>
          <w:numId w:val="9"/>
        </w:numPr>
        <w:tabs>
          <w:tab w:val="clear" w:pos="360"/>
        </w:tabs>
        <w:spacing w:before="0" w:after="240"/>
        <w:ind w:hanging="0" w:start="0" w:end="0"/>
        <w:rPr/>
      </w:pPr>
      <w:r>
        <w:rPr/>
        <w:t>Must-run and other local reliability services with the ISO</w:t>
      </w:r>
    </w:p>
    <w:p>
      <w:pPr>
        <w:pStyle w:val="sub"/>
        <w:spacing w:before="120" w:after="240"/>
        <w:rPr/>
      </w:pPr>
      <w:r>
        <w:rPr/>
        <w:t>Resources</w:t>
      </w:r>
    </w:p>
    <w:p>
      <w:pPr>
        <w:pStyle w:val="BodyText"/>
        <w:spacing w:before="0" w:after="240"/>
        <w:rPr/>
      </w:pPr>
      <w:r>
        <w:rPr/>
        <w:t>Nevada relies on a mix of all major types of energy resources except nuclear power. It depends most heavily on petroleum, coal, and natural gas, but also draws on hydroelectricity and other renewable forms of energy. Coal supplies 70 percent of Nevada’s electric utility output, natural gas 20 percent, and hydroelectric power 9 percent. Nevada’s average use of energy per person is close to the national average: 359 million Btu per person in Nevada versus 352 million Btu per person for the entire country.</w:t>
      </w:r>
    </w:p>
    <w:p>
      <w:pPr>
        <w:pStyle w:val="BodyText"/>
        <w:spacing w:before="0" w:after="240"/>
        <w:rPr/>
      </w:pPr>
      <w:r>
        <w:rPr/>
        <w:t xml:space="preserve">The California region contains a variety of generation resources including fossil, nuclear, hydroelectric, geothermal, cogeneration and renewable resources.  Total production for the region of 211,655 GWhs was substantially below consumption due to a heavy reliance upon net imports to serve the California market.  According to the CEC, California imported 51,185 GWhs of electric energy in 1997.   </w:t>
      </w:r>
    </w:p>
    <w:p>
      <w:pPr>
        <w:pStyle w:val="BodyText"/>
        <w:spacing w:before="0" w:after="240"/>
        <w:rPr/>
      </w:pPr>
      <w:r>
        <w:rPr/>
        <w:t>The large level of reliance placed by California on energy imports supports the California Energy Commission (“CEC”) determination, made in it’s ER-96 Report, that there is currently a “</w:t>
      </w:r>
      <w:r>
        <w:rPr>
          <w:i/>
        </w:rPr>
        <w:t>shortfall of energy supply to meet the reliability requirements of the California market</w:t>
      </w:r>
      <w:r>
        <w:rPr/>
        <w:t>.”</w:t>
      </w:r>
    </w:p>
    <w:p>
      <w:pPr>
        <w:pStyle w:val="sub"/>
        <w:spacing w:before="120" w:after="240"/>
        <w:rPr/>
      </w:pPr>
      <w:r>
        <w:rPr/>
        <w:t>California Power Exchange (“PX”)</w:t>
      </w:r>
    </w:p>
    <w:p>
      <w:pPr>
        <w:pStyle w:val="BodyText"/>
        <w:spacing w:before="0" w:after="240"/>
        <w:rPr/>
      </w:pPr>
      <w:r>
        <w:rPr/>
        <w:t>The PX is a FERC-jurisdictional wholesale electric market.  The PX is a multi-faceted pool designed to serve both as a physical delivery mechanism and as a spot market.  The PX provides a competitive auction for day-ahead and hour-ahead market prices for electricity with the objective of ensuring that adequate generating resources are available for physical delivery to meet PX loads.  Generators submit supply bids by hour, which are matched with demand bids from energy purchasers.  The PX determines a Market Clearing Price (“MCP”) for each hour and determines demand and supply schedules, which are submitted to the ISO for integration with non-PX generation and load schedules.</w:t>
      </w:r>
    </w:p>
    <w:p>
      <w:pPr>
        <w:pStyle w:val="BodyText"/>
        <w:spacing w:before="0" w:after="240"/>
        <w:rPr/>
      </w:pPr>
      <w:r>
        <w:rPr/>
        <w:t>Through 2001, PG&amp;E, SCE and SDG&amp;E must bid their non-nuclear generation into the PX and obtain electricity from the PX to serve their load.  These restrictions do not apply to non-utility owners of divested assets or to owners of new merchant generation.  However, the load of these three utilities accounts for approximately 70% to 75% of the total California electricity market on a energy consumption basis so the current trading volumes in the PX are substantial. More than 80% by volume of all California electricity transactions are conducted through the PX</w:t>
      </w:r>
    </w:p>
    <w:p>
      <w:pPr>
        <w:pStyle w:val="sub"/>
        <w:spacing w:before="120" w:after="240"/>
        <w:rPr/>
      </w:pPr>
      <w:r>
        <w:rPr/>
        <w:t>Independent System Operator (“ISO”)</w:t>
      </w:r>
    </w:p>
    <w:p>
      <w:pPr>
        <w:pStyle w:val="BodyText"/>
        <w:spacing w:before="0" w:after="240"/>
        <w:rPr/>
      </w:pPr>
      <w:r>
        <w:rPr/>
        <w:t>While nationwide ownership of transmission systems may remain with the electric utilities, many utilities are preparing to transfer control of their transmission systems to newly formed ISOs.  Federal regulations require ISOs to ensure that all participants have equal and fair access to the transmission system and that high levels of system reliability are maintained.  Once power is scheduled for delivery, it is the ISO’s responsibility to get the power to the distribution company and the distribution company’s responsibility to deliver power to the end user.</w:t>
      </w:r>
    </w:p>
    <w:p>
      <w:pPr>
        <w:pStyle w:val="BodyText"/>
        <w:spacing w:before="0" w:after="240"/>
        <w:rPr/>
      </w:pPr>
      <w:r>
        <w:rPr/>
        <w:t xml:space="preserve">The California ISO assumed operational control of the transmission grid of the three California investor-owned utilities on March 31, 1998.  The CISO is responsible for several functions including: providing nondiscriminatory, open access to the transmission grid; controlling dispatch and maintaining reliability of the transmission grid; procuring and providing ancillary services; coordinating day-ahead and hour-ahead power scheduling and real-time power balancing; performing settlement function for unscheduled transactions and ancillary services; administering congestion management protocols; and billing. </w:t>
      </w:r>
    </w:p>
    <w:p>
      <w:pPr>
        <w:pStyle w:val="BodyText"/>
        <w:spacing w:before="0" w:after="240"/>
        <w:rPr/>
      </w:pPr>
      <w:r>
        <w:rPr/>
        <w:t>The overall electric utility industry restructuring has also seen the utilities in the Southwest investigating the feasibility of an ISO to be called Desert STAR (Desert Southwest Transmission and Reliability Operator). The main goals of Desert STAR are to provide electrical system security and reliability in accordance with WSCC and NERC policies and to provide nondiscriminatory open access to the transmission system. The Desert STAR initial feasibility evaluation was completed in September 1997. A development agreement has been entered into by more than 30 entities to further define the role and responsibilities of the proposed ISO.  ENA expects that, as Nevada restructuring accelerates and becomes more closely joined to the markets in southern California, all or part of Desert STAR will be merged with the California ISO.</w:t>
      </w:r>
    </w:p>
    <w:p>
      <w:pPr>
        <w:pStyle w:val="sub"/>
        <w:spacing w:before="120" w:after="240"/>
        <w:rPr/>
      </w:pPr>
      <w:r>
        <w:rPr/>
        <w:t>Fixed Transmission into California</w:t>
      </w:r>
    </w:p>
    <w:p>
      <w:pPr>
        <w:pStyle w:val="BodyText"/>
        <w:spacing w:before="0" w:after="240"/>
        <w:rPr/>
      </w:pPr>
      <w:r>
        <w:rPr/>
        <w:t>As illustrated below, the transmission capacity supporting the importing of power into California from other WSCC load/transmission zones, including Nevada, is currently rated at 20,116 MW.  However, operating practices and simultaneous constraints currently limit the simultaneous import capability to California to substantially less than the rated 20,116 MW.</w:t>
      </w:r>
    </w:p>
    <w:p>
      <w:pPr>
        <w:pStyle w:val="FinancialTableMainHd"/>
        <w:spacing w:before="120" w:after="0"/>
        <w:jc w:val="both"/>
        <w:rPr>
          <w:rFonts w:ascii="Times New Roman" w:hAnsi="Times New Roman" w:cs="Times New Roman"/>
          <w:sz w:val="20"/>
        </w:rPr>
      </w:pPr>
      <w:r>
        <w:rPr>
          <w:rFonts w:cs="Times New Roman" w:ascii="Times New Roman" w:hAnsi="Times New Roman"/>
          <w:sz w:val="20"/>
        </w:rPr>
        <w:t>transmission capacity into california (MW)</w:t>
      </w:r>
    </w:p>
    <w:p>
      <w:pPr>
        <w:pStyle w:val="ExcelChart"/>
        <w:spacing w:before="0" w:after="240"/>
        <w:ind w:start="360" w:end="0"/>
        <w:jc w:val="both"/>
        <w:rPr/>
      </w:pPr>
      <w:r>
        <w:fldChar w:fldCharType="begin"/>
      </w:r>
      <w:r>
        <w:rPr/>
        <w:instrText xml:space="preserve"> QUOTE </w:instrText>
      </w:r>
      <w:r>
        <w:rPr/>
      </w:r>
      <w:r>
        <w:rPr/>
        <w:fldChar w:fldCharType="separate"/>
      </w:r>
      <w:r>
        <w:rPr/>
      </w:r>
      <w:r>
        <w:rPr/>
        <w:drawing>
          <wp:inline distT="0" distB="0" distL="0" distR="0">
            <wp:extent cx="5537835" cy="22733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9"/>
                    <a:srcRect l="9105" t="19584" r="2852" b="16611"/>
                    <a:stretch>
                      <a:fillRect/>
                    </a:stretch>
                  </pic:blipFill>
                  <pic:spPr bwMode="auto">
                    <a:xfrm>
                      <a:off x="0" y="0"/>
                      <a:ext cx="5537835" cy="2273300"/>
                    </a:xfrm>
                    <a:prstGeom prst="rect">
                      <a:avLst/>
                    </a:prstGeom>
                    <a:noFill/>
                  </pic:spPr>
                </pic:pic>
              </a:graphicData>
            </a:graphic>
          </wp:inline>
        </w:drawing>
      </w:r>
      <w:r>
        <w:rPr/>
      </w:r>
      <w:r>
        <w:rPr/>
        <w:fldChar w:fldCharType="end"/>
      </w:r>
      <w:r>
        <w:rPr>
          <w:sz w:val="18"/>
        </w:rPr>
        <w:t>Source: Western Systems Coordinating Council</w:t>
      </w:r>
    </w:p>
    <w:p>
      <w:pPr>
        <w:pStyle w:val="BodyText"/>
        <w:spacing w:before="0" w:after="240"/>
        <w:rPr/>
      </w:pPr>
      <w:r>
        <w:rPr/>
        <w:t>Currently, the majority of imports into California originate from the West of River (WOR/EPR) system, which includes southern Nevada.</w:t>
      </w:r>
    </w:p>
    <w:p>
      <w:pPr>
        <w:pStyle w:val="BodyText"/>
        <w:rPr/>
      </w:pPr>
      <w:r>
        <w:rPr/>
        <w:t>These transmission constraints severely limit the ability of imports to satisfy current and projected supply shortfalls.</w:t>
      </w:r>
    </w:p>
    <w:p>
      <w:pPr>
        <w:pStyle w:val="Heading1"/>
        <w:spacing w:before="240" w:after="240"/>
        <w:ind w:hanging="0" w:start="0"/>
        <w:rPr>
          <w:rFonts w:ascii="Times New Roman" w:hAnsi="Times New Roman" w:cs="Times New Roman"/>
        </w:rPr>
      </w:pPr>
      <w:bookmarkStart w:id="8" w:name="__RefHeading___Toc482880104"/>
      <w:r>
        <w:rPr>
          <w:rFonts w:cs="Times New Roman" w:ascii="Times New Roman" w:hAnsi="Times New Roman"/>
        </w:rPr>
        <w:t>Las Vegas Cogeneration, Limited Partnership</w:t>
      </w:r>
      <w:bookmarkEnd w:id="8"/>
      <w:r>
        <w:rPr>
          <w:rFonts w:cs="Times New Roman" w:ascii="Times New Roman" w:hAnsi="Times New Roman"/>
        </w:rPr>
        <w:t xml:space="preserve"> </w:t>
      </w:r>
    </w:p>
    <w:p>
      <w:pPr>
        <w:pStyle w:val="Heading2"/>
        <w:ind w:hanging="0" w:start="0"/>
        <w:rPr>
          <w:rFonts w:ascii="Times New Roman" w:hAnsi="Times New Roman" w:cs="Times New Roman"/>
        </w:rPr>
      </w:pPr>
      <w:bookmarkStart w:id="9" w:name="__RefHeading___Toc482880105"/>
      <w:bookmarkEnd w:id="9"/>
      <w:r>
        <w:rPr>
          <w:rFonts w:cs="Times New Roman" w:ascii="Times New Roman" w:hAnsi="Times New Roman"/>
        </w:rPr>
        <w:t>Project Description</w:t>
      </w:r>
    </w:p>
    <w:p>
      <w:pPr>
        <w:pStyle w:val="Heading3"/>
        <w:tabs>
          <w:tab w:val="clear" w:pos="360"/>
          <w:tab w:val="left" w:pos="720" w:leader="none"/>
        </w:tabs>
        <w:spacing w:before="240" w:after="240"/>
        <w:ind w:hanging="0" w:start="0"/>
        <w:rPr>
          <w:rFonts w:ascii="Times New Roman" w:hAnsi="Times New Roman" w:cs="Times New Roman"/>
        </w:rPr>
      </w:pPr>
      <w:bookmarkStart w:id="10" w:name="__RefHeading___Toc482880106"/>
      <w:bookmarkEnd w:id="10"/>
      <w:r>
        <w:rPr>
          <w:rFonts w:cs="Times New Roman" w:ascii="Times New Roman" w:hAnsi="Times New Roman"/>
        </w:rPr>
        <w:t>Location and Project Site</w:t>
      </w:r>
    </w:p>
    <w:p>
      <w:pPr>
        <w:pStyle w:val="BodyText2"/>
        <w:spacing w:before="0" w:after="240"/>
        <w:rPr>
          <w:rFonts w:ascii="Times New Roman" w:hAnsi="Times New Roman" w:cs="Times New Roman"/>
          <w:lang w:val="en-US"/>
        </w:rPr>
      </w:pPr>
      <w:r>
        <w:rPr>
          <w:rFonts w:cs="Times New Roman" w:ascii="Times New Roman" w:hAnsi="Times New Roman"/>
          <w:lang w:val="en-US"/>
        </w:rPr>
        <w:t xml:space="preserve">The power plant site occupies approximately 15 acres, and is located in an industrial park setting in the city of North Las Vegas, which is approximately 5 miles north of the center of Las Vegas, Nevada.  Interconnections with the local gas transportation company (Southwest Gas Corporation), the power purchaser (Nevada Power Company) and the water supplier (the City of Las Vegas) are all located at the boundaries of the Project site.  Adjacent to the cogeneration plant is a 12-acre tomato greenhouse operated by Sunco, L.L.C., which leases land and purchases process steam and hot water from the Project.  The greenhouse business is an integral part of the Project, and is owned 100% by Southwest Power, L.L.C. </w:t>
      </w:r>
    </w:p>
    <w:p>
      <w:pPr>
        <w:pStyle w:val="Heading3"/>
        <w:tabs>
          <w:tab w:val="clear" w:pos="360"/>
          <w:tab w:val="left" w:pos="720" w:leader="none"/>
        </w:tabs>
        <w:spacing w:before="240" w:after="240"/>
        <w:ind w:hanging="0" w:start="0"/>
        <w:rPr>
          <w:rFonts w:ascii="Times New Roman" w:hAnsi="Times New Roman" w:cs="Times New Roman"/>
        </w:rPr>
      </w:pPr>
      <w:bookmarkStart w:id="11" w:name="__RefHeading___Toc482880107"/>
      <w:bookmarkEnd w:id="11"/>
      <w:r>
        <w:rPr>
          <w:rFonts w:cs="Times New Roman" w:ascii="Times New Roman" w:hAnsi="Times New Roman"/>
        </w:rPr>
        <w:t>Technical Description</w:t>
      </w:r>
    </w:p>
    <w:p>
      <w:pPr>
        <w:pStyle w:val="Heading4"/>
        <w:tabs>
          <w:tab w:val="clear" w:pos="360"/>
          <w:tab w:val="left" w:pos="720" w:leader="none"/>
        </w:tabs>
        <w:spacing w:before="120" w:after="240"/>
        <w:ind w:hanging="0" w:start="0"/>
        <w:rPr>
          <w:rFonts w:ascii="Times New Roman" w:hAnsi="Times New Roman" w:cs="Times New Roman"/>
        </w:rPr>
      </w:pPr>
      <w:bookmarkStart w:id="12" w:name="__RefHeading___Toc482880108"/>
      <w:bookmarkEnd w:id="12"/>
      <w:r>
        <w:rPr>
          <w:rFonts w:cs="Times New Roman" w:ascii="Times New Roman" w:hAnsi="Times New Roman"/>
        </w:rPr>
        <w:t>Equipment</w:t>
      </w:r>
    </w:p>
    <w:p>
      <w:pPr>
        <w:pStyle w:val="BodyText"/>
        <w:spacing w:before="0" w:after="240"/>
        <w:ind w:hanging="360" w:start="720" w:end="0"/>
        <w:rPr/>
      </w:pPr>
      <w:r>
        <w:rPr/>
        <w:t>The Las Vegas Cogeneration facility is comprised of the following major equipment:</w:t>
      </w:r>
    </w:p>
    <w:p>
      <w:pPr>
        <w:pStyle w:val="ListBullet"/>
        <w:numPr>
          <w:ilvl w:val="0"/>
          <w:numId w:val="11"/>
        </w:numPr>
        <w:ind w:hanging="360" w:start="720" w:end="0"/>
        <w:rPr/>
      </w:pPr>
      <w:r>
        <w:rPr/>
        <w:t>General Electric (“GE”) LM 6000 PC aeroderivative combustion gas turbine (“GT”) and generator, rated at 44 MW;</w:t>
      </w:r>
    </w:p>
    <w:p>
      <w:pPr>
        <w:pStyle w:val="ListBullet"/>
        <w:numPr>
          <w:ilvl w:val="0"/>
          <w:numId w:val="11"/>
        </w:numPr>
        <w:ind w:hanging="360" w:start="720" w:end="0"/>
        <w:rPr/>
      </w:pPr>
      <w:r>
        <w:rPr/>
        <w:t>Foster Wheeler triple pressure Heat Recovery Steam Generator (“HRSG”); and</w:t>
      </w:r>
    </w:p>
    <w:p>
      <w:pPr>
        <w:pStyle w:val="ListBullet"/>
        <w:numPr>
          <w:ilvl w:val="0"/>
          <w:numId w:val="11"/>
        </w:numPr>
        <w:ind w:hanging="360" w:start="720" w:end="0"/>
        <w:rPr/>
      </w:pPr>
      <w:r>
        <w:rPr/>
        <w:t>Dresser-Rand high/intermediate pressure steam turbine (“ST”), driving a net 10 MW generator.</w:t>
      </w:r>
    </w:p>
    <w:p>
      <w:pPr>
        <w:pStyle w:val="BodyText"/>
        <w:rPr/>
      </w:pPr>
      <w:r>
        <w:rPr>
          <w:b/>
          <w:i/>
        </w:rPr>
        <w:t>Gas turbine</w:t>
      </w:r>
      <w:r>
        <w:rPr>
          <w:i/>
        </w:rPr>
        <w:t>:</w:t>
      </w:r>
      <w:r>
        <w:rPr/>
        <w:t xml:space="preserve"> The LM 6000 is a relatively small machine, based on GE’s jet-engine design, and is therefore well suited to the particular operational demands of a plant that cycles on a frequent basis – in this case, at least daily.</w:t>
      </w:r>
    </w:p>
    <w:p>
      <w:pPr>
        <w:pStyle w:val="BodyText"/>
        <w:rPr/>
      </w:pPr>
      <w:r>
        <w:rPr/>
        <w:t>In November 1999, LVCLP upgraded its turbine from a LM 6000 PA to a state-of the-art LM 6000 PC.  The plant net heat rate has been running at approximately 8500 Btu/kWh with the LM 6000 PA machine.  Installation of a new LM 6000 PC will lower the net heat rate by almost 10% to 7,700 Btu/kWh, mainly by increasing nameplate capacity by 4 MW to 54 MW.</w:t>
      </w:r>
    </w:p>
    <w:p>
      <w:pPr>
        <w:pStyle w:val="BodyText"/>
        <w:rPr/>
      </w:pPr>
      <w:r>
        <w:rPr>
          <w:b/>
          <w:i/>
        </w:rPr>
        <w:t>HRSG and Steam Turbine</w:t>
      </w:r>
      <w:r>
        <w:rPr>
          <w:b/>
        </w:rPr>
        <w:t>:</w:t>
      </w:r>
      <w:r>
        <w:rPr/>
        <w:t xml:space="preserve"> The HRSG and ST are standard, proven equipment, with relatively low technological risk.</w:t>
      </w:r>
    </w:p>
    <w:p>
      <w:pPr>
        <w:pStyle w:val="BodyText"/>
        <w:rPr/>
      </w:pPr>
      <w:r>
        <w:rPr>
          <w:b/>
          <w:i/>
        </w:rPr>
        <w:t>Balance of Plant</w:t>
      </w:r>
      <w:r>
        <w:rPr>
          <w:b/>
        </w:rPr>
        <w:t>:</w:t>
      </w:r>
      <w:r>
        <w:rPr/>
        <w:t xml:space="preserve"> The balance of plant equipment includes a Selective Catalytic Reduction (“SCR”) NOx treatment, a pump station, a (leased) de-mineralized water unit, a cooling tower, a step-up transformer to increase the voltage to 138kV to match that of the adjacent switchyard owned by the Sierra Pacific Power Company (“SPP”), an administrative building, a maintenance shop, and a spare parts warehouse and inventory</w:t>
      </w:r>
    </w:p>
    <w:p>
      <w:pPr>
        <w:pStyle w:val="Heading4"/>
        <w:tabs>
          <w:tab w:val="clear" w:pos="360"/>
          <w:tab w:val="left" w:pos="720" w:leader="none"/>
        </w:tabs>
        <w:spacing w:before="120" w:after="240"/>
        <w:ind w:hanging="0" w:start="0"/>
        <w:rPr>
          <w:rFonts w:ascii="Times New Roman" w:hAnsi="Times New Roman" w:cs="Times New Roman"/>
        </w:rPr>
      </w:pPr>
      <w:bookmarkStart w:id="13" w:name="__RefHeading___Toc482880109"/>
      <w:bookmarkEnd w:id="13"/>
      <w:r>
        <w:rPr>
          <w:rFonts w:cs="Times New Roman" w:ascii="Times New Roman" w:hAnsi="Times New Roman"/>
        </w:rPr>
        <w:t>Capacity</w:t>
      </w:r>
    </w:p>
    <w:p>
      <w:pPr>
        <w:pStyle w:val="Normal"/>
        <w:rPr/>
      </w:pPr>
      <w:r>
        <w:rPr/>
        <w:t xml:space="preserve">The plant as a whole is capable of generating an average of 54 MW, and up to 56 MW under the most favorable ambient conditions.  Since the maximum capacity and energy that NPC is contracted to take is only 45 MW, the plant has historically operated well within design parameters.  Usually the ST generates at or near full load (9.5 MW) and the gas turbine generates about 36 MW (90% of nameplate) for a total gross output of 45.5 MW. The plant consumes a parasitic load of about 0.5 MW, giving a net 45 MW to NPC.  Extraction steam from the ST is also used in a heat exchanger to supply hot water to the greenhouse, which acts as the thermal energy host required by the Project to obtain, and maintain, qualifying facility (“QF”) status under PURPA. </w:t>
      </w:r>
    </w:p>
    <w:p>
      <w:pPr>
        <w:pStyle w:val="Header"/>
        <w:tabs>
          <w:tab w:val="clear" w:pos="4493"/>
          <w:tab w:val="clear" w:pos="9000"/>
        </w:tabs>
        <w:rPr>
          <w:rFonts w:ascii="Times New Roman" w:hAnsi="Times New Roman" w:cs="Times New Roman"/>
          <w:lang w:val="en-US"/>
        </w:rPr>
      </w:pPr>
      <w:r>
        <w:rPr>
          <w:rFonts w:cs="Times New Roman" w:ascii="Times New Roman" w:hAnsi="Times New Roman"/>
          <w:lang w:val="en-US"/>
        </w:rPr>
        <w:t>The plant is only required to deliver power for 90% of the on-peak periods in order to receive 100% of the capacity payments under the PPA.  During the period 1996 through 1998, availability during on-peak periods has averaged 99.2%.</w:t>
      </w:r>
    </w:p>
    <w:p>
      <w:pPr>
        <w:pStyle w:val="Header"/>
        <w:tabs>
          <w:tab w:val="clear" w:pos="4493"/>
          <w:tab w:val="clear" w:pos="9000"/>
        </w:tabs>
        <w:rPr>
          <w:rFonts w:ascii="Times New Roman" w:hAnsi="Times New Roman" w:cs="Times New Roman"/>
          <w:lang w:val="en-US"/>
        </w:rPr>
      </w:pPr>
      <w:r>
        <w:rPr>
          <w:rFonts w:cs="Times New Roman" w:ascii="Times New Roman" w:hAnsi="Times New Roman"/>
          <w:lang w:val="en-US"/>
        </w:rPr>
        <w:t xml:space="preserve">Historically, the Project has been operated as a peaking plant, largely because of the nature of the PPA contract which requires operation only during peak hours - 12 continuous hours a day in summer and 13 (5 + 8) hours a day in winter. Merchant operations began in May 2000 with the plant operating during periods outside the house required to serve NPC under the PPA. Additionally merchant sales were also made during the hours contracted to NPC by using the plant’s capability above the 45MW NPC obligation. These merchant sales are made on a day-ahead basis into the California PX when the market price is above the project’s variable cost of operation (fuel and variable O&amp;M and Transmission); Merchant sale profits are shared with MPC. </w:t>
      </w:r>
      <w:r>
        <w:br w:type="page"/>
      </w:r>
    </w:p>
    <w:p>
      <w:pPr>
        <w:pStyle w:val="Heading3"/>
        <w:tabs>
          <w:tab w:val="clear" w:pos="360"/>
          <w:tab w:val="left" w:pos="720" w:leader="none"/>
        </w:tabs>
        <w:ind w:hanging="0" w:start="0"/>
        <w:rPr/>
      </w:pPr>
      <w:bookmarkStart w:id="14" w:name="__RefHeading___Toc482880110"/>
      <w:bookmarkEnd w:id="14"/>
      <w:r>
        <w:rPr/>
        <w:t>Contractual Structure</w:t>
      </w:r>
    </w:p>
    <w:p>
      <w:pPr>
        <w:pStyle w:val="BodyText"/>
        <w:rPr/>
      </w:pPr>
      <w:r>
        <w:rPr/>
        <w:t>The operating contractual structure is summarized below:</w:t>
      </w:r>
    </w:p>
    <w:p>
      <w:pPr>
        <w:pStyle w:val="Heading6"/>
        <w:tabs>
          <w:tab w:val="clear" w:pos="360"/>
        </w:tabs>
        <w:spacing w:before="240" w:after="240"/>
        <w:ind w:hanging="0" w:start="0" w:end="0"/>
        <w:rPr>
          <w:rFonts w:ascii="Times New Roman" w:hAnsi="Times New Roman" w:cs="Times New Roman"/>
          <w:lang w:val="en-US"/>
        </w:rPr>
      </w:pPr>
      <w:r>
        <mc:AlternateContent>
          <mc:Choice Requires="wpg">
            <w:drawing>
              <wp:anchor behindDoc="0" distT="0" distB="0" distL="114935" distR="114935" simplePos="0" locked="0" layoutInCell="1" allowOverlap="1" relativeHeight="58">
                <wp:simplePos x="0" y="0"/>
                <wp:positionH relativeFrom="column">
                  <wp:posOffset>2057400</wp:posOffset>
                </wp:positionH>
                <wp:positionV relativeFrom="paragraph">
                  <wp:posOffset>2721610</wp:posOffset>
                </wp:positionV>
                <wp:extent cx="2663190" cy="1118870"/>
                <wp:effectExtent l="0" t="0" r="0" b="0"/>
                <wp:wrapNone/>
                <wp:docPr id="4" name=""/>
                <a:graphic xmlns:a="http://schemas.openxmlformats.org/drawingml/2006/main">
                  <a:graphicData uri="http://schemas.microsoft.com/office/word/2010/wordprocessingGroup">
                    <wpg:wgp>
                      <wpg:cNvGrpSpPr/>
                      <wpg:grpSpPr>
                        <a:xfrm>
                          <a:off x="0" y="0"/>
                          <a:ext cx="2663280" cy="1118880"/>
                          <a:chOff x="0" y="0"/>
                          <a:chExt cx="2663280" cy="1118880"/>
                        </a:xfrm>
                      </wpg:grpSpPr>
                      <wps:wsp>
                        <wps:cNvPr id="5" name=""/>
                        <wps:cNvSpPr/>
                        <wps:spPr>
                          <a:xfrm>
                            <a:off x="0" y="0"/>
                            <a:ext cx="775800" cy="416520"/>
                          </a:xfrm>
                          <a:prstGeom prst="rect">
                            <a:avLst/>
                          </a:prstGeom>
                          <a:noFill/>
                          <a:ln w="0">
                            <a:noFill/>
                          </a:ln>
                        </wps:spPr>
                        <wps:style>
                          <a:lnRef idx="0"/>
                          <a:fillRef idx="0"/>
                          <a:effectRef idx="0"/>
                          <a:fontRef idx="minor"/>
                        </wps:style>
                        <wps:bodyPr/>
                      </wps:wsp>
                      <wps:wsp>
                        <wps:cNvPr id="6" name=""/>
                        <wps:cNvSpPr/>
                        <wps:spPr>
                          <a:xfrm>
                            <a:off x="45720" y="713880"/>
                            <a:ext cx="712440" cy="405000"/>
                          </a:xfrm>
                          <a:prstGeom prst="rect">
                            <a:avLst/>
                          </a:prstGeom>
                          <a:noFill/>
                          <a:ln w="0">
                            <a:noFill/>
                          </a:ln>
                        </wps:spPr>
                        <wps:style>
                          <a:lnRef idx="0"/>
                          <a:fillRef idx="0"/>
                          <a:effectRef idx="0"/>
                          <a:fontRef idx="minor"/>
                        </wps:style>
                        <wps:bodyPr/>
                      </wps:wsp>
                      <wps:wsp>
                        <wps:cNvPr id="7" name=""/>
                        <wps:cNvSpPr/>
                        <wps:spPr>
                          <a:xfrm>
                            <a:off x="1385640" y="48240"/>
                            <a:ext cx="1277640" cy="172800"/>
                          </a:xfrm>
                          <a:prstGeom prst="rect">
                            <a:avLst/>
                          </a:prstGeom>
                          <a:noFill/>
                          <a:ln w="0">
                            <a:noFill/>
                          </a:ln>
                        </wps:spPr>
                        <wps:style>
                          <a:lnRef idx="0"/>
                          <a:fillRef idx="0"/>
                          <a:effectRef idx="0"/>
                          <a:fontRef idx="minor"/>
                        </wps:style>
                        <wps:bodyPr/>
                      </wps:wsp>
                    </wpg:wgp>
                  </a:graphicData>
                </a:graphic>
              </wp:anchor>
            </w:drawing>
          </mc:Choice>
          <mc:Fallback>
            <w:pict>
              <v:group id="shape_0" style="position:absolute;margin-left:162pt;margin-top:214.3pt;width:209.7pt;height:88.1pt" coordorigin="3240,4286" coordsize="4194,1762">
                <v:rect id="shape_0" stroked="f" o:allowincell="f" style="position:absolute;left:3240;top:4286;width:1221;height:655;mso-wrap-style:none;v-text-anchor:middle">
                  <v:fill o:detectmouseclick="t" on="false"/>
                  <v:stroke color="#3465a4" joinstyle="round" endcap="flat"/>
                  <w10:wrap type="none"/>
                </v:rect>
                <v:rect id="shape_0" stroked="f" o:allowincell="f" style="position:absolute;left:3312;top:5410;width:1121;height:637;mso-wrap-style:none;v-text-anchor:middle">
                  <v:fill o:detectmouseclick="t" on="false"/>
                  <v:stroke color="#3465a4" joinstyle="round" endcap="flat"/>
                  <w10:wrap type="none"/>
                </v:rect>
                <v:rect id="shape_0" stroked="f" o:allowincell="f" style="position:absolute;left:5422;top:4362;width:2011;height:271;mso-wrap-style:none;v-text-anchor:middle">
                  <v:fill o:detectmouseclick="t" on="false"/>
                  <v:stroke color="#3465a4" joinstyle="round" endcap="flat"/>
                  <w10:wrap type="none"/>
                </v:rect>
              </v:group>
            </w:pict>
          </mc:Fallback>
        </mc:AlternateContent>
      </w:r>
      <w:r>
        <w:rPr>
          <w:rFonts w:cs="Times New Roman" w:ascii="Times New Roman" w:hAnsi="Times New Roman"/>
          <w:lang w:val="en-US"/>
        </w:rPr>
        <w:t>Principal Contract Summaries</w:t>
      </w:r>
    </w:p>
    <w:p>
      <w:pPr>
        <w:pStyle w:val="Normal"/>
        <w:rPr>
          <w:rFonts w:ascii="Times New Roman" w:hAnsi="Times New Roman" w:cs="Times New Roman"/>
          <w:lang w:val="en-CA"/>
        </w:rPr>
      </w:pPr>
      <w:r>
        <w:rPr>
          <w:rFonts w:cs="Times New Roman" w:ascii="Times New Roman" w:hAnsi="Times New Roman"/>
          <w:lang w:val="en-CA"/>
        </w:rPr>
        <mc:AlternateContent>
          <mc:Choice Requires="wpg">
            <w:drawing>
              <wp:anchor behindDoc="0" distT="0" distB="0" distL="114935" distR="114935" simplePos="0" locked="0" layoutInCell="1" allowOverlap="1" relativeHeight="60">
                <wp:simplePos x="0" y="0"/>
                <wp:positionH relativeFrom="column">
                  <wp:posOffset>-127635</wp:posOffset>
                </wp:positionH>
                <wp:positionV relativeFrom="paragraph">
                  <wp:posOffset>24130</wp:posOffset>
                </wp:positionV>
                <wp:extent cx="6116320" cy="7001510"/>
                <wp:effectExtent l="5080" t="0" r="5080" b="5080"/>
                <wp:wrapNone/>
                <wp:docPr id="8" name=""/>
                <a:graphic xmlns:a="http://schemas.openxmlformats.org/drawingml/2006/main">
                  <a:graphicData uri="http://schemas.microsoft.com/office/word/2010/wordprocessingGroup">
                    <wpg:wgp>
                      <wpg:cNvGrpSpPr/>
                      <wpg:grpSpPr>
                        <a:xfrm>
                          <a:off x="0" y="0"/>
                          <a:ext cx="6116400" cy="7001640"/>
                          <a:chOff x="0" y="0"/>
                          <a:chExt cx="6116400" cy="7001640"/>
                        </a:xfrm>
                      </wpg:grpSpPr>
                      <wps:wsp>
                        <wps:cNvSpPr txBox="1"/>
                        <wps:spPr>
                          <a:xfrm>
                            <a:off x="2090520" y="4733280"/>
                            <a:ext cx="933480" cy="623520"/>
                          </a:xfrm>
                          <a:prstGeom prst="rect">
                            <a:avLst/>
                          </a:prstGeom>
                          <a:solidFill>
                            <a:srgbClr val="ffffff"/>
                          </a:solidFill>
                          <a:ln w="0">
                            <a:noFill/>
                          </a:ln>
                        </wps:spPr>
                        <wps:txbx>
                          <w:txbxContent>
                            <w:p>
                              <w:pPr>
                                <w:overflowPunct w:val="false"/>
                                <w:bidi w:val="0"/>
                                <w:jc w:val="center"/>
                                <w:rPr/>
                              </w:pPr>
                              <w:r>
                                <w:rPr>
                                  <w:kern w:val="2"/>
                                  <w:sz w:val="24"/>
                                  <w:szCs w:val="20"/>
                                  <w:rFonts w:ascii="TimesNewRoman" w:hAnsi="TimesNewRoman" w:eastAsia="Times New Roman" w:cs="TimesNewRoman"/>
                                  <w:color w:val="auto"/>
                                  <w:lang w:val="en-US" w:eastAsia="en-US"/>
                                </w:rPr>
                                <w:t>Local Gas Transportation Agreement</w:t>
                              </w:r>
                            </w:p>
                          </w:txbxContent>
                        </wps:txbx>
                        <wps:bodyPr wrap="square" anchor="t">
                          <a:noAutofit/>
                        </wps:bodyPr>
                      </wps:wsp>
                      <wps:wsp>
                        <wps:cNvSpPr txBox="1"/>
                        <wps:spPr>
                          <a:xfrm rot="16200000">
                            <a:off x="1958760" y="279360"/>
                            <a:ext cx="1216800" cy="657720"/>
                          </a:xfrm>
                          <a:prstGeom prst="rect">
                            <a:avLst/>
                          </a:prstGeom>
                          <a:solidFill>
                            <a:srgbClr val="ffffff"/>
                          </a:solidFill>
                          <a:ln w="0">
                            <a:noFill/>
                          </a:ln>
                        </wps:spPr>
                        <wps:txbx>
                          <w:txbxContent>
                            <w:p>
                              <w:pPr>
                                <w:overflowPunct w:val="false"/>
                                <w:bidi w:val="0"/>
                                <w:jc w:val="both"/>
                                <w:rPr/>
                              </w:pPr>
                              <w:r>
                                <w:rPr>
                                  <w:kern w:val="2"/>
                                  <w:sz w:val="24"/>
                                  <w:szCs w:val="20"/>
                                  <w:rFonts w:ascii="TimesNewRoman" w:hAnsi="TimesNewRoman" w:eastAsia="Times New Roman" w:cs="TimesNewRoman"/>
                                  <w:color w:val="auto"/>
                                  <w:lang w:val="en-US" w:eastAsia="en-US"/>
                                </w:rPr>
                                <w:t>Gas Supply and Transportation Agreement</w:t>
                              </w:r>
                            </w:p>
                          </w:txbxContent>
                        </wps:txbx>
                        <wps:bodyPr wrap="square" lIns="45720" rIns="45720" tIns="91440" bIns="91440" anchor="t">
                          <a:noAutofit/>
                        </wps:bodyPr>
                      </wps:wsp>
                      <wps:wsp>
                        <wps:cNvSpPr txBox="1"/>
                        <wps:spPr>
                          <a:xfrm>
                            <a:off x="0" y="2429640"/>
                            <a:ext cx="2099160" cy="1650960"/>
                          </a:xfrm>
                          <a:prstGeom prst="rect">
                            <a:avLst/>
                          </a:prstGeom>
                          <a:solidFill>
                            <a:srgbClr val="ffffff"/>
                          </a:solidFill>
                          <a:ln w="9360">
                            <a:solidFill>
                              <a:srgbClr val="000000"/>
                            </a:solidFill>
                            <a:miter/>
                          </a:ln>
                        </wps:spPr>
                        <wps:txbx>
                          <w:txbxContent>
                            <w:p>
                              <w:pPr>
                                <w:overflowPunct w:val="false"/>
                                <w:bidi w:val="0"/>
                                <w:jc w:val="both"/>
                                <w:rPr/>
                              </w:pPr>
                              <w:r>
                                <w:rPr>
                                  <w:kern w:val="2"/>
                                  <w:sz w:val="20"/>
                                  <w:u w:val="single"/>
                                  <w:szCs w:val="20"/>
                                  <w:rFonts w:ascii="TimesNewRoman" w:hAnsi="TimesNewRoman" w:eastAsia="Times New Roman" w:cs="TimesNewRoman"/>
                                  <w:color w:val="auto"/>
                                  <w:lang w:val="en-US" w:eastAsia="en-US"/>
                                </w:rPr>
                                <w:t>Kern River Gas Transmission Co.</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Gives Duke the right to transport 50,000 Mcf of natural gas per day along the Kern River Pipeline</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Expires in Feb. 2009; renewable in 1-year increments at Duke’s option</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Long-term debt rating of A-/A2</w:t>
                              </w:r>
                            </w:p>
                          </w:txbxContent>
                        </wps:txbx>
                        <wps:bodyPr wrap="square" anchor="t">
                          <a:noAutofit/>
                        </wps:bodyPr>
                      </wps:wsp>
                      <wps:wsp>
                        <wps:cNvSpPr txBox="1"/>
                        <wps:spPr>
                          <a:xfrm>
                            <a:off x="0" y="4240440"/>
                            <a:ext cx="2099160" cy="116856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Southwest Gas Transmission</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17-year gas firm transportation from Kern River Pipeline to the facility with adequate volume</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Long-term debt rating of BBB-/Baa3</w:t>
                              </w:r>
                            </w:p>
                          </w:txbxContent>
                        </wps:txbx>
                        <wps:bodyPr wrap="square" anchor="t">
                          <a:noAutofit/>
                        </wps:bodyPr>
                      </wps:wsp>
                      <wps:wsp>
                        <wps:cNvSpPr txBox="1"/>
                        <wps:spPr>
                          <a:xfrm>
                            <a:off x="0" y="5569560"/>
                            <a:ext cx="2090520" cy="135144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Enron Power Marketing, Inc.</w:t>
                              </w:r>
                            </w:p>
                            <w:p>
                              <w:pPr>
                                <w:overflowPunct w:val="false"/>
                                <w:bidi w:val="0"/>
                                <w:jc w:val="both"/>
                                <w:rPr/>
                              </w:pPr>
                              <w:r>
                                <w:rPr>
                                  <w:kern w:val="2"/>
                                  <w:sz w:val="24"/>
                                  <w:szCs w:val="20"/>
                                  <w:rFonts w:ascii="TimesNewRoman" w:hAnsi="TimesNewRoman" w:eastAsia="Times New Roman" w:cs="TimesNewRoman"/>
                                  <w:color w:val="auto"/>
                                  <w:lang w:val="en-US" w:eastAsia="en-US"/>
                                </w:rPr>
                                <w:t>Commodity Services Agreement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Power Marketing</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Fuel Management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Other Services</w:t>
                              </w:r>
                            </w:p>
                          </w:txbxContent>
                        </wps:txbx>
                        <wps:bodyPr wrap="square" anchor="t">
                          <a:noAutofit/>
                        </wps:bodyPr>
                      </wps:wsp>
                      <wps:wsp>
                        <wps:cNvSpPr txBox="1"/>
                        <wps:spPr>
                          <a:xfrm>
                            <a:off x="2238480" y="1805400"/>
                            <a:ext cx="1637640" cy="311760"/>
                          </a:xfrm>
                          <a:prstGeom prst="rect">
                            <a:avLst/>
                          </a:prstGeom>
                          <a:solidFill>
                            <a:srgbClr val="ffffff"/>
                          </a:solidFill>
                          <a:ln w="19080">
                            <a:solidFill>
                              <a:srgbClr val="000000"/>
                            </a:solidFill>
                            <a:miter/>
                          </a:ln>
                        </wps:spPr>
                        <wps:txbx>
                          <w:txbxContent>
                            <w:p>
                              <w:pPr>
                                <w:overflowPunct w:val="false"/>
                                <w:bidi w:val="0"/>
                                <w:jc w:val="center"/>
                                <w:rPr/>
                              </w:pPr>
                              <w:r>
                                <w:rPr>
                                  <w:kern w:val="2"/>
                                  <w:sz w:val="24"/>
                                  <w:b/>
                                  <w:szCs w:val="20"/>
                                  <w:rFonts w:ascii="TimesNewRoman" w:hAnsi="TimesNewRoman" w:eastAsia="Times New Roman" w:cs="TimesNewRoman"/>
                                  <w:color w:val="auto"/>
                                  <w:lang w:val="en-US" w:eastAsia="en-US"/>
                                </w:rPr>
                                <w:t>Las Vegas Cogen, L.P.</w:t>
                              </w:r>
                            </w:p>
                          </w:txbxContent>
                        </wps:txbx>
                        <wps:bodyPr wrap="square" anchor="t">
                          <a:noAutofit/>
                        </wps:bodyPr>
                      </wps:wsp>
                      <wps:wsp>
                        <wps:cNvSpPr txBox="1"/>
                        <wps:spPr>
                          <a:xfrm>
                            <a:off x="860400" y="1701720"/>
                            <a:ext cx="1033200" cy="622800"/>
                          </a:xfrm>
                          <a:prstGeom prst="rect">
                            <a:avLst/>
                          </a:prstGeom>
                          <a:solidFill>
                            <a:srgbClr val="ffffff"/>
                          </a:solidFill>
                          <a:ln w="0">
                            <a:noFill/>
                          </a:ln>
                        </wps:spPr>
                        <wps:txbx>
                          <w:txbxContent>
                            <w:p>
                              <w:pPr>
                                <w:overflowPunct w:val="false"/>
                                <w:bidi w:val="0"/>
                                <w:jc w:val="center"/>
                                <w:rPr/>
                              </w:pPr>
                              <w:r>
                                <w:rPr>
                                  <w:kern w:val="2"/>
                                  <w:sz w:val="20"/>
                                  <w:szCs w:val="20"/>
                                  <w:rFonts w:ascii="TimesNewRoman" w:hAnsi="TimesNewRoman" w:eastAsia="Times New Roman" w:cs="TimesNewRoman"/>
                                  <w:color w:val="auto"/>
                                  <w:lang w:val="en-US" w:eastAsia="en-US"/>
                                </w:rPr>
                                <w:t>Kern River Gas Transportation Agreement</w:t>
                              </w:r>
                            </w:p>
                          </w:txbxContent>
                        </wps:txbx>
                        <wps:bodyPr wrap="square" anchor="t">
                          <a:noAutofit/>
                        </wps:bodyPr>
                      </wps:wsp>
                      <wps:wsp>
                        <wps:cNvSpPr/>
                        <wps:spPr>
                          <a:xfrm flipV="1">
                            <a:off x="861120" y="1593720"/>
                            <a:ext cx="0" cy="8355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184480" y="559440"/>
                            <a:ext cx="657360" cy="0"/>
                          </a:xfrm>
                          <a:prstGeom prst="line">
                            <a:avLst/>
                          </a:prstGeom>
                          <a:ln w="9360">
                            <a:solidFill>
                              <a:srgbClr val="000000"/>
                            </a:solidFill>
                            <a:miter/>
                          </a:ln>
                        </wps:spPr>
                        <wps:style>
                          <a:lnRef idx="0"/>
                          <a:fillRef idx="0"/>
                          <a:effectRef idx="0"/>
                          <a:fontRef idx="minor"/>
                        </wps:style>
                        <wps:bodyPr/>
                      </wps:wsp>
                      <wps:wsp>
                        <wps:cNvSpPr/>
                        <wps:spPr>
                          <a:xfrm>
                            <a:off x="2842200" y="559440"/>
                            <a:ext cx="0" cy="1246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99160" y="4733280"/>
                            <a:ext cx="817920" cy="0"/>
                          </a:xfrm>
                          <a:prstGeom prst="line">
                            <a:avLst/>
                          </a:prstGeom>
                          <a:ln w="9360">
                            <a:solidFill>
                              <a:srgbClr val="000000"/>
                            </a:solidFill>
                            <a:miter/>
                          </a:ln>
                        </wps:spPr>
                        <wps:style>
                          <a:lnRef idx="0"/>
                          <a:fillRef idx="0"/>
                          <a:effectRef idx="0"/>
                          <a:fontRef idx="minor"/>
                        </wps:style>
                        <wps:bodyPr/>
                      </wps:wsp>
                      <wps:wsp>
                        <wps:cNvSpPr/>
                        <wps:spPr>
                          <a:xfrm flipV="1">
                            <a:off x="2928600" y="2117880"/>
                            <a:ext cx="0" cy="26143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99160" y="5859000"/>
                            <a:ext cx="1001880" cy="0"/>
                          </a:xfrm>
                          <a:prstGeom prst="line">
                            <a:avLst/>
                          </a:prstGeom>
                          <a:ln w="9360">
                            <a:solidFill>
                              <a:srgbClr val="000000"/>
                            </a:solidFill>
                            <a:miter/>
                          </a:ln>
                        </wps:spPr>
                        <wps:style>
                          <a:lnRef idx="0"/>
                          <a:fillRef idx="0"/>
                          <a:effectRef idx="0"/>
                          <a:fontRef idx="minor"/>
                        </wps:style>
                        <wps:bodyPr/>
                      </wps:wsp>
                      <wps:wsp>
                        <wps:cNvSpPr/>
                        <wps:spPr>
                          <a:xfrm flipV="1">
                            <a:off x="3101400" y="2117880"/>
                            <a:ext cx="0" cy="37407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3942720" y="351000"/>
                            <a:ext cx="1463760" cy="51948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Sunco, L.L.C.</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Tomato Greenhouse</w:t>
                              </w:r>
                            </w:p>
                          </w:txbxContent>
                        </wps:txbx>
                        <wps:bodyPr wrap="square" anchor="t">
                          <a:noAutofit/>
                        </wps:bodyPr>
                      </wps:wsp>
                      <wpg:grpSp>
                        <wpg:cNvGrpSpPr/>
                        <wpg:grpSpPr>
                          <a:xfrm>
                            <a:off x="3532680" y="870120"/>
                            <a:ext cx="1722240" cy="934560"/>
                          </a:xfrm>
                        </wpg:grpSpPr>
                        <wps:wsp>
                          <wps:cNvSpPr txBox="1"/>
                          <wps:spPr>
                            <a:xfrm>
                              <a:off x="0" y="276840"/>
                              <a:ext cx="1118880" cy="311040"/>
                            </a:xfrm>
                            <a:prstGeom prst="rect">
                              <a:avLst/>
                            </a:prstGeom>
                            <a:solidFill>
                              <a:srgbClr val="ffffff"/>
                            </a:solidFill>
                            <a:ln w="0">
                              <a:noFill/>
                            </a:ln>
                          </wps:spPr>
                          <wps:txbx>
                            <w:txbxContent>
                              <w:p>
                                <w:pPr>
                                  <w:overflowPunct w:val="false"/>
                                  <w:bidi w:val="0"/>
                                  <w:jc w:val="both"/>
                                  <w:rPr/>
                                </w:pPr>
                                <w:r>
                                  <w:rPr>
                                    <w:kern w:val="2"/>
                                    <w:sz w:val="24"/>
                                    <w:szCs w:val="20"/>
                                    <w:rFonts w:ascii="TimesNewRoman" w:hAnsi="TimesNewRoman" w:eastAsia="Times New Roman" w:cs="TimesNewRoman"/>
                                    <w:color w:val="auto"/>
                                    <w:lang w:val="en-US" w:eastAsia="en-US"/>
                                  </w:rPr>
                                  <w:t>Greenhouse Lease</w:t>
                                </w:r>
                              </w:p>
                            </w:txbxContent>
                          </wps:txbx>
                          <wps:bodyPr wrap="square" anchor="t">
                            <a:noAutofit/>
                          </wps:bodyPr>
                        </wps:wsp>
                        <wps:wsp>
                          <wps:cNvSpPr/>
                          <wps:spPr>
                            <a:xfrm>
                              <a:off x="0" y="519120"/>
                              <a:ext cx="0" cy="4154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519120"/>
                              <a:ext cx="1722240" cy="0"/>
                            </a:xfrm>
                            <a:prstGeom prst="line">
                              <a:avLst/>
                            </a:prstGeom>
                            <a:ln w="9360">
                              <a:solidFill>
                                <a:srgbClr val="000000"/>
                              </a:solidFill>
                              <a:miter/>
                            </a:ln>
                          </wps:spPr>
                          <wps:style>
                            <a:lnRef idx="0"/>
                            <a:fillRef idx="0"/>
                            <a:effectRef idx="0"/>
                            <a:fontRef idx="minor"/>
                          </wps:style>
                          <wps:bodyPr/>
                        </wps:wsp>
                        <wps:wsp>
                          <wps:cNvSpPr/>
                          <wps:spPr>
                            <a:xfrm flipV="1">
                              <a:off x="1721880" y="0"/>
                              <a:ext cx="0" cy="51876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3942720" y="1530360"/>
                            <a:ext cx="2087280" cy="131004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Enron North America Corp.</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Operations &amp; Maintenance</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Secondary Gas and Transportation Agreement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Gas and interest rate hedge</w:t>
                              </w:r>
                            </w:p>
                          </w:txbxContent>
                        </wps:txbx>
                        <wps:bodyPr wrap="square" anchor="t">
                          <a:noAutofit/>
                        </wps:bodyPr>
                      </wps:wsp>
                      <wpg:grpSp>
                        <wpg:cNvGrpSpPr/>
                        <wpg:grpSpPr>
                          <a:xfrm>
                            <a:off x="3617640" y="2118240"/>
                            <a:ext cx="1464480" cy="1245960"/>
                          </a:xfrm>
                        </wpg:grpSpPr>
                        <wps:wsp>
                          <wps:cNvSpPr/>
                          <wps:spPr>
                            <a:xfrm>
                              <a:off x="1464120" y="722880"/>
                              <a:ext cx="0" cy="523080"/>
                            </a:xfrm>
                            <a:prstGeom prst="line">
                              <a:avLst/>
                            </a:prstGeom>
                            <a:ln w="9360">
                              <a:solidFill>
                                <a:srgbClr val="000000"/>
                              </a:solidFill>
                              <a:miter/>
                            </a:ln>
                          </wps:spPr>
                          <wps:style>
                            <a:lnRef idx="0"/>
                            <a:fillRef idx="0"/>
                            <a:effectRef idx="0"/>
                            <a:fontRef idx="minor"/>
                          </wps:style>
                          <wps:bodyPr/>
                        </wps:wsp>
                        <wps:wsp>
                          <wps:cNvSpPr/>
                          <wps:spPr>
                            <a:xfrm flipH="1">
                              <a:off x="0" y="1245960"/>
                              <a:ext cx="1463760" cy="0"/>
                            </a:xfrm>
                            <a:prstGeom prst="line">
                              <a:avLst/>
                            </a:prstGeom>
                            <a:ln w="9360">
                              <a:solidFill>
                                <a:srgbClr val="000000"/>
                              </a:solidFill>
                              <a:miter/>
                            </a:ln>
                          </wps:spPr>
                          <wps:style>
                            <a:lnRef idx="0"/>
                            <a:fillRef idx="0"/>
                            <a:effectRef idx="0"/>
                            <a:fontRef idx="minor"/>
                          </wps:style>
                          <wps:bodyPr/>
                        </wps:wsp>
                        <wps:wsp>
                          <wps:cNvSpPr/>
                          <wps:spPr>
                            <a:xfrm flipV="1">
                              <a:off x="720" y="0"/>
                              <a:ext cx="0" cy="124596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3943440" y="4142160"/>
                            <a:ext cx="2172960" cy="100188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Nevada Power Company</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PPA for 45 MW of on-peak off-take through 2024.</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Long-term debt rating of BBB/Baa2</w:t>
                              </w:r>
                            </w:p>
                          </w:txbxContent>
                        </wps:txbx>
                        <wps:bodyPr wrap="square" anchor="t">
                          <a:noAutofit/>
                        </wps:bodyPr>
                      </wps:wsp>
                      <wpg:grpSp>
                        <wpg:cNvGrpSpPr/>
                        <wpg:grpSpPr>
                          <a:xfrm>
                            <a:off x="3446280" y="2118240"/>
                            <a:ext cx="2066760" cy="2023200"/>
                          </a:xfrm>
                        </wpg:grpSpPr>
                        <wps:wsp>
                          <wps:cNvSpPr txBox="1"/>
                          <wps:spPr>
                            <a:xfrm>
                              <a:off x="53280" y="1454400"/>
                              <a:ext cx="1292400" cy="437040"/>
                            </a:xfrm>
                            <a:prstGeom prst="rect">
                              <a:avLst/>
                            </a:prstGeom>
                            <a:solidFill>
                              <a:srgbClr val="ffffff"/>
                            </a:solidFill>
                            <a:ln w="0">
                              <a:noFill/>
                            </a:ln>
                          </wps:spPr>
                          <wps:txbx>
                            <w:txbxContent>
                              <w:p>
                                <w:pPr>
                                  <w:overflowPunct w:val="false"/>
                                  <w:bidi w:val="0"/>
                                  <w:jc w:val="both"/>
                                  <w:rPr/>
                                </w:pPr>
                                <w:r>
                                  <w:rPr>
                                    <w:kern w:val="2"/>
                                    <w:sz w:val="24"/>
                                    <w:szCs w:val="20"/>
                                    <w:rFonts w:ascii="TimesNewRoman" w:hAnsi="TimesNewRoman" w:eastAsia="Times New Roman" w:cs="TimesNewRoman"/>
                                    <w:color w:val="auto"/>
                                    <w:lang w:val="en-US" w:eastAsia="en-US"/>
                                  </w:rPr>
                                  <w:t>Power Purchase Agreement</w:t>
                                </w:r>
                              </w:p>
                            </w:txbxContent>
                          </wps:txbx>
                          <wps:bodyPr wrap="square" anchor="t">
                            <a:noAutofit/>
                          </wps:bodyPr>
                        </wps:wsp>
                        <wps:wsp>
                          <wps:cNvSpPr/>
                          <wps:spPr>
                            <a:xfrm>
                              <a:off x="0" y="0"/>
                              <a:ext cx="0" cy="1661760"/>
                            </a:xfrm>
                            <a:prstGeom prst="line">
                              <a:avLst/>
                            </a:prstGeom>
                            <a:ln w="9360">
                              <a:solidFill>
                                <a:srgbClr val="000000"/>
                              </a:solidFill>
                              <a:miter/>
                            </a:ln>
                          </wps:spPr>
                          <wps:style>
                            <a:lnRef idx="0"/>
                            <a:fillRef idx="0"/>
                            <a:effectRef idx="0"/>
                            <a:fontRef idx="minor"/>
                          </wps:style>
                          <wps:bodyPr/>
                        </wps:wsp>
                        <wps:wsp>
                          <wps:cNvSpPr/>
                          <wps:spPr>
                            <a:xfrm>
                              <a:off x="0" y="1661760"/>
                              <a:ext cx="2066760" cy="0"/>
                            </a:xfrm>
                            <a:prstGeom prst="line">
                              <a:avLst/>
                            </a:prstGeom>
                            <a:ln w="9360">
                              <a:solidFill>
                                <a:srgbClr val="000000"/>
                              </a:solidFill>
                              <a:miter/>
                            </a:ln>
                          </wps:spPr>
                          <wps:style>
                            <a:lnRef idx="0"/>
                            <a:fillRef idx="0"/>
                            <a:effectRef idx="0"/>
                            <a:fontRef idx="minor"/>
                          </wps:style>
                          <wps:bodyPr/>
                        </wps:wsp>
                        <wps:wsp>
                          <wps:cNvSpPr/>
                          <wps:spPr>
                            <a:xfrm>
                              <a:off x="2066760" y="1661760"/>
                              <a:ext cx="0" cy="36144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3943440" y="5443200"/>
                            <a:ext cx="2172960" cy="1558440"/>
                          </a:xfrm>
                          <a:prstGeom prst="rect">
                            <a:avLst/>
                          </a:prstGeom>
                          <a:solidFill>
                            <a:srgbClr val="ffffff"/>
                          </a:solidFill>
                          <a:ln w="9360">
                            <a:solidFill>
                              <a:srgbClr val="000000"/>
                            </a:solidFill>
                            <a:miter/>
                          </a:ln>
                        </wps:spPr>
                        <wps:txb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Nevada Power Company</w:t>
                              </w:r>
                            </w:p>
                            <w:p>
                              <w:pPr>
                                <w:overflowPunct w:val="false"/>
                                <w:bidi w:val="0"/>
                                <w:jc w:val="both"/>
                                <w:rPr/>
                              </w:pPr>
                              <w:r>
                                <w:rPr>
                                  <w:kern w:val="2"/>
                                  <w:sz w:val="24"/>
                                  <w:szCs w:val="20"/>
                                  <w:rFonts w:ascii="TimesNewRoman" w:hAnsi="TimesNewRoman" w:eastAsia="Times New Roman" w:cs="TimesNewRoman"/>
                                  <w:color w:val="auto"/>
                                  <w:lang w:val="en-US" w:eastAsia="en-US"/>
                                </w:rPr>
                                <w:t>Limited Release of applicable energy.</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Release of energy during off-peak and excess on-peak outside of 45MW obligation</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Sharing of value between NPC and LVCLP</w:t>
                              </w:r>
                            </w:p>
                          </w:txbxContent>
                        </wps:txbx>
                        <wps:bodyPr wrap="square" anchor="t">
                          <a:noAutofit/>
                        </wps:bodyPr>
                      </wps:wsp>
                      <wps:wsp>
                        <wps:cNvSpPr/>
                        <wps:spPr>
                          <a:xfrm flipH="1">
                            <a:off x="3273480" y="5859000"/>
                            <a:ext cx="668520" cy="0"/>
                          </a:xfrm>
                          <a:prstGeom prst="line">
                            <a:avLst/>
                          </a:prstGeom>
                          <a:ln w="9360">
                            <a:solidFill>
                              <a:srgbClr val="000000"/>
                            </a:solidFill>
                            <a:miter/>
                          </a:ln>
                        </wps:spPr>
                        <wps:style>
                          <a:lnRef idx="0"/>
                          <a:fillRef idx="0"/>
                          <a:effectRef idx="0"/>
                          <a:fontRef idx="minor"/>
                        </wps:style>
                        <wps:bodyPr/>
                      </wps:wsp>
                      <wps:wsp>
                        <wps:cNvSpPr/>
                        <wps:spPr>
                          <a:xfrm flipV="1">
                            <a:off x="3274200" y="2117880"/>
                            <a:ext cx="0" cy="37407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9000" y="132120"/>
                            <a:ext cx="2175480" cy="1461240"/>
                          </a:xfrm>
                          <a:prstGeom prst="rect">
                            <a:avLst/>
                          </a:prstGeom>
                          <a:solidFill>
                            <a:srgbClr val="ffffff"/>
                          </a:solidFill>
                          <a:ln w="9360">
                            <a:solidFill>
                              <a:srgbClr val="000000"/>
                            </a:solidFill>
                            <a:miter/>
                          </a:ln>
                        </wps:spPr>
                        <wps:txbx>
                          <w:txbxContent>
                            <w:p>
                              <w:pPr>
                                <w:overflowPunct w:val="false"/>
                                <w:bidi w:val="0"/>
                                <w:jc w:val="both"/>
                                <w:rPr/>
                              </w:pPr>
                              <w:r>
                                <w:rPr>
                                  <w:kern w:val="2"/>
                                  <w:sz w:val="20"/>
                                  <w:u w:val="single"/>
                                  <w:szCs w:val="20"/>
                                  <w:rFonts w:ascii="TimesNewRoman" w:hAnsi="TimesNewRoman" w:eastAsia="Times New Roman" w:cs="TimesNewRoman"/>
                                  <w:color w:val="auto"/>
                                  <w:lang w:val="en-US" w:eastAsia="en-US"/>
                                </w:rPr>
                                <w:t>Duke Energy Fuels, L.P.</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17-year Primary Gas Supply and Transportation Agreement</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5,000mmBtu of gas per day = exceeds plant on-peak requirement</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Long-term debt rating A+/A1</w:t>
                              </w:r>
                            </w:p>
                          </w:txbxContent>
                        </wps:txbx>
                        <wps:bodyPr wrap="square" anchor="t">
                          <a:noAutofit/>
                        </wps:bodyPr>
                      </wps:wsp>
                    </wpg:wgp>
                  </a:graphicData>
                </a:graphic>
              </wp:anchor>
            </w:drawing>
          </mc:Choice>
          <mc:Fallback>
            <w:pict>
              <v:group id="shape_0" style="position:absolute;margin-left:-10.05pt;margin-top:12.3pt;width:481.6pt;height:540.9pt" coordorigin="-201,246" coordsize="9632,10818">
                <v:shape id="shape_0" fillcolor="white" stroked="f" o:allowincell="f" style="position:absolute;left:3091;top:7492;width:1469;height:981;mso-wrap-style:square;v-text-anchor:top" type="_x0000_t202">
                  <v:textbox>
                    <w:txbxContent>
                      <w:p>
                        <w:pPr>
                          <w:overflowPunct w:val="false"/>
                          <w:bidi w:val="0"/>
                          <w:jc w:val="center"/>
                          <w:rPr/>
                        </w:pPr>
                        <w:r>
                          <w:rPr>
                            <w:kern w:val="2"/>
                            <w:sz w:val="24"/>
                            <w:szCs w:val="20"/>
                            <w:rFonts w:ascii="TimesNewRoman" w:hAnsi="TimesNewRoman" w:eastAsia="Times New Roman" w:cs="TimesNewRoman"/>
                            <w:color w:val="auto"/>
                            <w:lang w:val="en-US" w:eastAsia="en-US"/>
                          </w:rPr>
                          <w:t>Local Gas Transportation Agreement</w:t>
                        </w:r>
                      </w:p>
                    </w:txbxContent>
                  </v:textbox>
                  <v:fill o:detectmouseclick="t" type="solid" color2="black"/>
                  <v:stroke color="#3465a4" joinstyle="round" endcap="flat"/>
                  <w10:wrap type="none"/>
                </v:shape>
                <v:shape id="shape_0" fillcolor="white" stroked="f" o:allowincell="f" style="position:absolute;left:2885;top:478;width:1915;height:1035;mso-wrap-style:square;v-text-anchor:top;rotation:270" type="_x0000_t202">
                  <v:textbox style="mso-layout-flow-alt:bottom-to-top">
                    <w:txbxContent>
                      <w:p>
                        <w:pPr>
                          <w:overflowPunct w:val="false"/>
                          <w:bidi w:val="0"/>
                          <w:jc w:val="both"/>
                          <w:rPr/>
                        </w:pPr>
                        <w:r>
                          <w:rPr>
                            <w:kern w:val="2"/>
                            <w:sz w:val="24"/>
                            <w:szCs w:val="20"/>
                            <w:rFonts w:ascii="TimesNewRoman" w:hAnsi="TimesNewRoman" w:eastAsia="Times New Roman" w:cs="TimesNewRoman"/>
                            <w:color w:val="auto"/>
                            <w:lang w:val="en-US" w:eastAsia="en-US"/>
                          </w:rPr>
                          <w:t>Gas Supply and Transportation Agreement</w:t>
                        </w:r>
                      </w:p>
                    </w:txbxContent>
                  </v:textbox>
                  <v:fill o:detectmouseclick="t" type="solid" color2="black"/>
                  <v:stroke color="#3465a4" joinstyle="round" endcap="flat"/>
                  <w10:wrap type="none"/>
                </v:shape>
                <v:shape id="shape_0" fillcolor="white" stroked="t" o:allowincell="f" style="position:absolute;left:-201;top:3864;width:3305;height:2599;mso-wrap-style:square;v-text-anchor:top" type="_x0000_t202">
                  <v:textbox>
                    <w:txbxContent>
                      <w:p>
                        <w:pPr>
                          <w:overflowPunct w:val="false"/>
                          <w:bidi w:val="0"/>
                          <w:jc w:val="both"/>
                          <w:rPr/>
                        </w:pPr>
                        <w:r>
                          <w:rPr>
                            <w:kern w:val="2"/>
                            <w:sz w:val="20"/>
                            <w:u w:val="single"/>
                            <w:szCs w:val="20"/>
                            <w:rFonts w:ascii="TimesNewRoman" w:hAnsi="TimesNewRoman" w:eastAsia="Times New Roman" w:cs="TimesNewRoman"/>
                            <w:color w:val="auto"/>
                            <w:lang w:val="en-US" w:eastAsia="en-US"/>
                          </w:rPr>
                          <w:t>Kern River Gas Transmission Co.</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Gives Duke the right to transport 50,000 Mcf of natural gas per day along the Kern River Pipeline</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Expires in Feb. 2009; renewable in 1-year increments at Duke’s option</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Long-term debt rating of A-/A2</w:t>
                        </w:r>
                      </w:p>
                    </w:txbxContent>
                  </v:textbox>
                  <v:fill o:detectmouseclick="t" type="solid" color2="black"/>
                  <v:stroke color="black" weight="9360" joinstyle="miter" endcap="flat"/>
                  <w10:wrap type="none"/>
                </v:shape>
                <v:shape id="shape_0" fillcolor="white" stroked="t" o:allowincell="f" style="position:absolute;left:-201;top:6716;width:3305;height:1839;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Southwest Gas Transmission</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17-year gas firm transportation from Kern River Pipeline to the facility with adequate volume</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Long-term debt rating of BBB-/Baa3</w:t>
                        </w:r>
                      </w:p>
                    </w:txbxContent>
                  </v:textbox>
                  <v:fill o:detectmouseclick="t" type="solid" color2="black"/>
                  <v:stroke color="black" weight="9360" joinstyle="miter" endcap="flat"/>
                  <w10:wrap type="none"/>
                </v:shape>
                <v:shape id="shape_0" fillcolor="white" stroked="t" o:allowincell="f" style="position:absolute;left:-201;top:8809;width:3291;height:2127;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Enron Power Marketing, Inc.</w:t>
                        </w:r>
                      </w:p>
                      <w:p>
                        <w:pPr>
                          <w:overflowPunct w:val="false"/>
                          <w:bidi w:val="0"/>
                          <w:jc w:val="both"/>
                          <w:rPr/>
                        </w:pPr>
                        <w:r>
                          <w:rPr>
                            <w:kern w:val="2"/>
                            <w:sz w:val="24"/>
                            <w:szCs w:val="20"/>
                            <w:rFonts w:ascii="TimesNewRoman" w:hAnsi="TimesNewRoman" w:eastAsia="Times New Roman" w:cs="TimesNewRoman"/>
                            <w:color w:val="auto"/>
                            <w:lang w:val="en-US" w:eastAsia="en-US"/>
                          </w:rPr>
                          <w:t>Commodity Services Agreement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Power Marketing</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Fuel Management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Other Services</w:t>
                        </w:r>
                      </w:p>
                    </w:txbxContent>
                  </v:textbox>
                  <v:fill o:detectmouseclick="t" type="solid" color2="black"/>
                  <v:stroke color="black" weight="9360" joinstyle="miter" endcap="flat"/>
                  <w10:wrap type="none"/>
                </v:shape>
                <v:shape id="shape_0" fillcolor="white" stroked="t" o:allowincell="f" style="position:absolute;left:3324;top:2881;width:2578;height:490;mso-wrap-style:square;v-text-anchor:top" type="_x0000_t202">
                  <v:textbox>
                    <w:txbxContent>
                      <w:p>
                        <w:pPr>
                          <w:overflowPunct w:val="false"/>
                          <w:bidi w:val="0"/>
                          <w:jc w:val="center"/>
                          <w:rPr/>
                        </w:pPr>
                        <w:r>
                          <w:rPr>
                            <w:kern w:val="2"/>
                            <w:sz w:val="24"/>
                            <w:b/>
                            <w:szCs w:val="20"/>
                            <w:rFonts w:ascii="TimesNewRoman" w:hAnsi="TimesNewRoman" w:eastAsia="Times New Roman" w:cs="TimesNewRoman"/>
                            <w:color w:val="auto"/>
                            <w:lang w:val="en-US" w:eastAsia="en-US"/>
                          </w:rPr>
                          <w:t>Las Vegas Cogen, L.P.</w:t>
                        </w:r>
                      </w:p>
                    </w:txbxContent>
                  </v:textbox>
                  <v:fill o:detectmouseclick="t" type="solid" color2="black"/>
                  <v:stroke color="black" weight="19080" joinstyle="miter" endcap="flat"/>
                  <w10:wrap type="none"/>
                </v:shape>
                <v:shape id="shape_0" fillcolor="white" stroked="f" o:allowincell="f" style="position:absolute;left:1154;top:2718;width:1626;height:980;mso-wrap-style:square;v-text-anchor:top" type="_x0000_t202">
                  <v:textbox>
                    <w:txbxContent>
                      <w:p>
                        <w:pPr>
                          <w:overflowPunct w:val="false"/>
                          <w:bidi w:val="0"/>
                          <w:jc w:val="center"/>
                          <w:rPr/>
                        </w:pPr>
                        <w:r>
                          <w:rPr>
                            <w:kern w:val="2"/>
                            <w:sz w:val="20"/>
                            <w:szCs w:val="20"/>
                            <w:rFonts w:ascii="TimesNewRoman" w:hAnsi="TimesNewRoman" w:eastAsia="Times New Roman" w:cs="TimesNewRoman"/>
                            <w:color w:val="auto"/>
                            <w:lang w:val="en-US" w:eastAsia="en-US"/>
                          </w:rPr>
                          <w:t>Kern River Gas Transportation Agreement</w:t>
                        </w:r>
                      </w:p>
                    </w:txbxContent>
                  </v:textbox>
                  <v:fill o:detectmouseclick="t" type="solid" color2="black"/>
                  <v:stroke color="#3465a4" joinstyle="round" endcap="flat"/>
                  <w10:wrap type="none"/>
                </v:shape>
                <v:line id="shape_0" from="1155,2548" to="1155,3863" stroked="t" o:allowincell="f" style="position:absolute;flip:y">
                  <v:stroke color="black" weight="9360" endarrow="block" endarrowwidth="medium" endarrowlength="medium" joinstyle="miter" endcap="flat"/>
                  <v:fill o:detectmouseclick="t" on="false"/>
                  <w10:wrap type="none"/>
                </v:line>
                <v:line id="shape_0" from="3239,919" to="4273,919" stroked="t" o:allowincell="f" style="position:absolute">
                  <v:stroke color="black" weight="9360" joinstyle="miter" endcap="flat"/>
                  <v:fill o:detectmouseclick="t" on="false"/>
                  <w10:wrap type="none"/>
                </v:line>
                <v:line id="shape_0" from="4275,919" to="4275,2881" stroked="t" o:allowincell="f" style="position:absolute">
                  <v:stroke color="black" weight="9360" endarrow="block" endarrowwidth="medium" endarrowlength="medium" joinstyle="miter" endcap="flat"/>
                  <v:fill o:detectmouseclick="t" on="false"/>
                  <w10:wrap type="none"/>
                </v:line>
                <v:line id="shape_0" from="3105,7492" to="4392,7492" stroked="t" o:allowincell="f" style="position:absolute">
                  <v:stroke color="black" weight="9360" joinstyle="miter" endcap="flat"/>
                  <v:fill o:detectmouseclick="t" on="false"/>
                  <w10:wrap type="none"/>
                </v:line>
                <v:line id="shape_0" from="4411,3373" to="4411,7489" stroked="t" o:allowincell="f" style="position:absolute;flip:y">
                  <v:stroke color="black" weight="9360" endarrow="block" endarrowwidth="medium" endarrowlength="medium" joinstyle="miter" endcap="flat"/>
                  <v:fill o:detectmouseclick="t" on="false"/>
                  <w10:wrap type="none"/>
                </v:line>
                <v:line id="shape_0" from="3105,9265" to="4682,9265" stroked="t" o:allowincell="f" style="position:absolute">
                  <v:stroke color="black" weight="9360" joinstyle="miter" endcap="flat"/>
                  <v:fill o:detectmouseclick="t" on="false"/>
                  <w10:wrap type="none"/>
                </v:line>
                <v:line id="shape_0" from="4683,3373" to="4683,9263" stroked="t" o:allowincell="f" style="position:absolute;flip:y">
                  <v:stroke color="black" weight="9360" endarrow="block" endarrowwidth="medium" endarrowlength="medium" joinstyle="miter" endcap="flat"/>
                  <v:fill o:detectmouseclick="t" on="false"/>
                  <w10:wrap type="none"/>
                </v:line>
                <v:shape id="shape_0" fillcolor="white" stroked="t" o:allowincell="f" style="position:absolute;left:6008;top:591;width:2304;height:817;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Sunco, L.L.C.</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Tomato Greenhouse</w:t>
                        </w:r>
                      </w:p>
                    </w:txbxContent>
                  </v:textbox>
                  <v:fill o:detectmouseclick="t" type="solid" color2="black"/>
                  <v:stroke color="black" weight="9360" joinstyle="miter" endcap="flat"/>
                  <w10:wrap type="none"/>
                </v:shape>
                <v:group id="shape_0" style="position:absolute;left:5362;top:1408;width:2711;height:1471">
                  <v:shape id="shape_0" fillcolor="white" stroked="f" o:allowincell="f" style="position:absolute;left:5362;top:1844;width:1761;height:489;mso-wrap-style:square;v-text-anchor:top" type="_x0000_t202">
                    <v:textbox>
                      <w:txbxContent>
                        <w:p>
                          <w:pPr>
                            <w:overflowPunct w:val="false"/>
                            <w:bidi w:val="0"/>
                            <w:jc w:val="both"/>
                            <w:rPr/>
                          </w:pPr>
                          <w:r>
                            <w:rPr>
                              <w:kern w:val="2"/>
                              <w:sz w:val="24"/>
                              <w:szCs w:val="20"/>
                              <w:rFonts w:ascii="TimesNewRoman" w:hAnsi="TimesNewRoman" w:eastAsia="Times New Roman" w:cs="TimesNewRoman"/>
                              <w:color w:val="auto"/>
                              <w:lang w:val="en-US" w:eastAsia="en-US"/>
                            </w:rPr>
                            <w:t>Greenhouse Lease</w:t>
                          </w:r>
                        </w:p>
                      </w:txbxContent>
                    </v:textbox>
                    <v:fill o:detectmouseclick="t" type="solid" color2="black"/>
                    <v:stroke color="#3465a4" joinstyle="round" endcap="flat"/>
                    <w10:wrap type="none"/>
                  </v:shape>
                  <v:line id="shape_0" from="5362,2226" to="5362,2879" stroked="t" o:allowincell="f" style="position:absolute">
                    <v:stroke color="black" weight="9360" endarrow="block" endarrowwidth="medium" endarrowlength="medium" joinstyle="miter" endcap="flat"/>
                    <v:fill o:detectmouseclick="t" on="false"/>
                    <w10:wrap type="none"/>
                  </v:line>
                  <v:line id="shape_0" from="5362,2226" to="8073,2226" stroked="t" o:allowincell="f" style="position:absolute">
                    <v:stroke color="black" weight="9360" joinstyle="miter" endcap="flat"/>
                    <v:fill o:detectmouseclick="t" on="false"/>
                    <w10:wrap type="none"/>
                  </v:line>
                  <v:line id="shape_0" from="8074,1408" to="8074,2224" stroked="t" o:allowincell="f" style="position:absolute;flip:y">
                    <v:stroke color="black" weight="9360" endarrow="block" endarrowwidth="medium" endarrowlength="medium" joinstyle="miter" endcap="flat"/>
                    <v:fill o:detectmouseclick="t" on="false"/>
                    <w10:wrap type="none"/>
                  </v:line>
                </v:group>
                <v:shape id="shape_0" fillcolor="white" stroked="t" o:allowincell="f" style="position:absolute;left:6008;top:2448;width:3286;height:2062;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Enron North America Corp.</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Operations &amp; Maintenance</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Secondary Gas and Transportation Agreement</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Gas and interest rate hedge</w:t>
                        </w:r>
                      </w:p>
                    </w:txbxContent>
                  </v:textbox>
                  <v:fill o:detectmouseclick="t" type="solid" color2="black"/>
                  <v:stroke color="black" weight="9360" joinstyle="miter" endcap="flat"/>
                  <w10:wrap type="none"/>
                </v:shape>
                <v:group id="shape_0" style="position:absolute;left:5496;top:3374;width:2305;height:1961">
                  <v:line id="shape_0" from="7802,4512" to="7802,5335" stroked="t" o:allowincell="f" style="position:absolute">
                    <v:stroke color="black" weight="9360" joinstyle="miter" endcap="flat"/>
                    <v:fill o:detectmouseclick="t" on="false"/>
                    <w10:wrap type="none"/>
                  </v:line>
                  <v:line id="shape_0" from="5496,5336" to="7800,5336" stroked="t" o:allowincell="f" style="position:absolute;flip:x">
                    <v:stroke color="black" weight="9360" joinstyle="miter" endcap="flat"/>
                    <v:fill o:detectmouseclick="t" on="false"/>
                    <w10:wrap type="none"/>
                  </v:line>
                  <v:line id="shape_0" from="5497,3374" to="5497,5335" stroked="t" o:allowincell="f" style="position:absolute;flip:y">
                    <v:stroke color="black" weight="9360" endarrow="block" endarrowwidth="medium" endarrowlength="medium" joinstyle="miter" endcap="flat"/>
                    <v:fill o:detectmouseclick="t" on="false"/>
                    <w10:wrap type="none"/>
                  </v:line>
                </v:group>
                <v:shape id="shape_0" fillcolor="white" stroked="t" o:allowincell="f" style="position:absolute;left:6009;top:6561;width:3421;height:1577;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Nevada Power Company</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PPA for 45 MW of on-peak off-take through 2024.</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Long-term debt rating of BBB/Baa2</w:t>
                        </w:r>
                      </w:p>
                    </w:txbxContent>
                  </v:textbox>
                  <v:fill o:detectmouseclick="t" type="solid" color2="black"/>
                  <v:stroke color="black" weight="9360" joinstyle="miter" endcap="flat"/>
                  <w10:wrap type="none"/>
                </v:shape>
                <v:group id="shape_0" style="position:absolute;left:5226;top:3374;width:3254;height:3185">
                  <v:shape id="shape_0" fillcolor="white" stroked="f" o:allowincell="f" style="position:absolute;left:5310;top:5664;width:2034;height:687;mso-wrap-style:square;v-text-anchor:top" type="_x0000_t202">
                    <v:textbox>
                      <w:txbxContent>
                        <w:p>
                          <w:pPr>
                            <w:overflowPunct w:val="false"/>
                            <w:bidi w:val="0"/>
                            <w:jc w:val="both"/>
                            <w:rPr/>
                          </w:pPr>
                          <w:r>
                            <w:rPr>
                              <w:kern w:val="2"/>
                              <w:sz w:val="24"/>
                              <w:szCs w:val="20"/>
                              <w:rFonts w:ascii="TimesNewRoman" w:hAnsi="TimesNewRoman" w:eastAsia="Times New Roman" w:cs="TimesNewRoman"/>
                              <w:color w:val="auto"/>
                              <w:lang w:val="en-US" w:eastAsia="en-US"/>
                            </w:rPr>
                            <w:t>Power Purchase Agreement</w:t>
                          </w:r>
                        </w:p>
                      </w:txbxContent>
                    </v:textbox>
                    <v:fill o:detectmouseclick="t" type="solid" color2="black"/>
                    <v:stroke color="#3465a4" joinstyle="round" endcap="flat"/>
                    <w10:wrap type="none"/>
                  </v:shape>
                  <v:line id="shape_0" from="5226,3374" to="5226,5990" stroked="t" o:allowincell="f" style="position:absolute">
                    <v:stroke color="black" weight="9360" joinstyle="miter" endcap="flat"/>
                    <v:fill o:detectmouseclick="t" on="false"/>
                    <w10:wrap type="none"/>
                  </v:line>
                  <v:line id="shape_0" from="5226,5991" to="8480,5991" stroked="t" o:allowincell="f" style="position:absolute">
                    <v:stroke color="black" weight="9360" joinstyle="miter" endcap="flat"/>
                    <v:fill o:detectmouseclick="t" on="false"/>
                    <w10:wrap type="none"/>
                  </v:line>
                  <v:line id="shape_0" from="8481,5991" to="8481,6559" stroked="t" o:allowincell="f" style="position:absolute">
                    <v:stroke color="black" weight="9360" endarrow="block" endarrowwidth="medium" endarrowlength="medium" joinstyle="miter" endcap="flat"/>
                    <v:fill o:detectmouseclick="t" on="false"/>
                    <w10:wrap type="none"/>
                  </v:line>
                </v:group>
                <v:shape id="shape_0" fillcolor="white" stroked="t" o:allowincell="f" style="position:absolute;left:6009;top:8610;width:3421;height:2453;mso-wrap-style:square;v-text-anchor:top" type="_x0000_t202">
                  <v:textbox>
                    <w:txbxContent>
                      <w:p>
                        <w:pPr>
                          <w:overflowPunct w:val="false"/>
                          <w:bidi w:val="0"/>
                          <w:jc w:val="both"/>
                          <w:rPr/>
                        </w:pPr>
                        <w:r>
                          <w:rPr>
                            <w:kern w:val="2"/>
                            <w:sz w:val="24"/>
                            <w:u w:val="single"/>
                            <w:szCs w:val="20"/>
                            <w:rFonts w:ascii="TimesNewRoman" w:hAnsi="TimesNewRoman" w:eastAsia="Times New Roman" w:cs="TimesNewRoman"/>
                            <w:color w:val="auto"/>
                            <w:lang w:val="en-US" w:eastAsia="en-US"/>
                          </w:rPr>
                          <w:t>Nevada Power Company</w:t>
                        </w:r>
                      </w:p>
                      <w:p>
                        <w:pPr>
                          <w:overflowPunct w:val="false"/>
                          <w:bidi w:val="0"/>
                          <w:jc w:val="both"/>
                          <w:rPr/>
                        </w:pPr>
                        <w:r>
                          <w:rPr>
                            <w:kern w:val="2"/>
                            <w:sz w:val="24"/>
                            <w:szCs w:val="20"/>
                            <w:rFonts w:ascii="TimesNewRoman" w:hAnsi="TimesNewRoman" w:eastAsia="Times New Roman" w:cs="TimesNewRoman"/>
                            <w:color w:val="auto"/>
                            <w:lang w:val="en-US" w:eastAsia="en-US"/>
                          </w:rPr>
                          <w:t>Limited Release of applicable energy.</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Release of energy during off-peak and excess on-peak outside of 45MW obligation</w:t>
                        </w:r>
                      </w:p>
                      <w:p>
                        <w:pPr>
                          <w:overflowPunct w:val="false"/>
                          <w:bidi w:val="0"/>
                          <w:ind w:start="180" w:end="0" w:hanging="180"/>
                          <w:jc w:val="both"/>
                          <w:rPr/>
                        </w:pPr>
                        <w:r>
                          <w:rPr>
                            <w:kern w:val="2"/>
                            <w:sz w:val="24"/>
                            <w:szCs w:val="20"/>
                            <w:rFonts w:ascii="TimesNewRoman" w:hAnsi="TimesNewRoman" w:eastAsia="Times New Roman" w:cs="TimesNewRoman"/>
                            <w:color w:val="auto"/>
                            <w:lang w:val="en-US" w:eastAsia="en-US"/>
                          </w:rPr>
                          <w:t>Sharing of value between NPC and LVCLP</w:t>
                        </w:r>
                      </w:p>
                    </w:txbxContent>
                  </v:textbox>
                  <v:fill o:detectmouseclick="t" type="solid" color2="black"/>
                  <v:stroke color="black" weight="9360" joinstyle="miter" endcap="flat"/>
                  <w10:wrap type="none"/>
                </v:shape>
                <v:line id="shape_0" from="4954,9265" to="6006,9265" stroked="t" o:allowincell="f" style="position:absolute;flip:x">
                  <v:stroke color="black" weight="9360" joinstyle="miter" endcap="flat"/>
                  <v:fill o:detectmouseclick="t" on="false"/>
                  <w10:wrap type="none"/>
                </v:line>
                <v:line id="shape_0" from="4955,3373" to="4955,9263" stroked="t" o:allowincell="f" style="position:absolute;flip:y">
                  <v:stroke color="black" weight="9360" endarrow="block" endarrowwidth="medium" endarrowlength="medium" joinstyle="miter" endcap="flat"/>
                  <v:fill o:detectmouseclick="t" on="false"/>
                  <w10:wrap type="none"/>
                </v:line>
                <v:shape id="shape_0" fillcolor="white" stroked="t" o:allowincell="f" style="position:absolute;left:-187;top:246;width:3425;height:2300;mso-wrap-style:square;v-text-anchor:top" type="_x0000_t202">
                  <v:textbox>
                    <w:txbxContent>
                      <w:p>
                        <w:pPr>
                          <w:overflowPunct w:val="false"/>
                          <w:bidi w:val="0"/>
                          <w:jc w:val="both"/>
                          <w:rPr/>
                        </w:pPr>
                        <w:r>
                          <w:rPr>
                            <w:kern w:val="2"/>
                            <w:sz w:val="20"/>
                            <w:u w:val="single"/>
                            <w:szCs w:val="20"/>
                            <w:rFonts w:ascii="TimesNewRoman" w:hAnsi="TimesNewRoman" w:eastAsia="Times New Roman" w:cs="TimesNewRoman"/>
                            <w:color w:val="auto"/>
                            <w:lang w:val="en-US" w:eastAsia="en-US"/>
                          </w:rPr>
                          <w:t>Duke Energy Fuels, L.P.</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17-year Primary Gas Supply and Transportation Agreement</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5,000mmBtu of gas per day = exceeds plant on-peak requirement</w:t>
                        </w:r>
                      </w:p>
                      <w:p>
                        <w:pPr>
                          <w:overflowPunct w:val="false"/>
                          <w:bidi w:val="0"/>
                          <w:ind w:start="180" w:end="0" w:hanging="180"/>
                          <w:jc w:val="both"/>
                          <w:rPr/>
                        </w:pPr>
                        <w:r>
                          <w:rPr>
                            <w:kern w:val="2"/>
                            <w:sz w:val="20"/>
                            <w:szCs w:val="20"/>
                            <w:rFonts w:ascii="TimesNewRoman" w:hAnsi="TimesNewRoman" w:eastAsia="Times New Roman" w:cs="TimesNewRoman"/>
                            <w:color w:val="auto"/>
                            <w:lang w:val="en-US" w:eastAsia="en-US"/>
                          </w:rPr>
                          <w:t>Long-term debt rating A+/A1</w:t>
                        </w:r>
                      </w:p>
                    </w:txbxContent>
                  </v:textbox>
                  <v:fill o:detectmouseclick="t" type="solid" color2="black"/>
                  <v:stroke color="black" weight="9360" joinstyle="miter"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tabs>
          <w:tab w:val="clear" w:pos="360"/>
          <w:tab w:val="left" w:pos="720" w:leader="none"/>
        </w:tabs>
        <w:spacing w:before="240" w:after="240"/>
        <w:ind w:hanging="0" w:start="0"/>
        <w:rPr>
          <w:rFonts w:ascii="Times New Roman" w:hAnsi="Times New Roman" w:cs="Times New Roman"/>
        </w:rPr>
      </w:pPr>
      <w:bookmarkStart w:id="15" w:name="__RefHeading___Toc482880111"/>
      <w:bookmarkEnd w:id="15"/>
      <w:r>
        <w:rPr>
          <w:rFonts w:cs="Times New Roman" w:ascii="Times New Roman" w:hAnsi="Times New Roman"/>
        </w:rPr>
        <w:t>Power Purchase Agreement</w:t>
      </w:r>
    </w:p>
    <w:p>
      <w:pPr>
        <w:pStyle w:val="Heading4"/>
        <w:tabs>
          <w:tab w:val="clear" w:pos="360"/>
          <w:tab w:val="left" w:pos="720" w:leader="none"/>
        </w:tabs>
        <w:spacing w:before="120" w:after="240"/>
        <w:ind w:hanging="0" w:start="0"/>
        <w:rPr>
          <w:rFonts w:ascii="Times New Roman" w:hAnsi="Times New Roman" w:cs="Times New Roman"/>
        </w:rPr>
      </w:pPr>
      <w:bookmarkStart w:id="16" w:name="__RefHeading___Toc482880112"/>
      <w:bookmarkEnd w:id="16"/>
      <w:r>
        <w:rPr>
          <w:rFonts w:cs="Times New Roman" w:ascii="Times New Roman" w:hAnsi="Times New Roman"/>
        </w:rPr>
        <w:t>45MW PPA Principal terms</w:t>
      </w:r>
    </w:p>
    <w:p>
      <w:pPr>
        <w:pStyle w:val="BodyText"/>
        <w:spacing w:before="0" w:after="240"/>
        <w:rPr/>
      </w:pPr>
      <w:r>
        <w:rPr/>
        <w:t>The PPA between LVCLP and NPC was executed in May 1992, and runs for 30 years of operation (to May 2024).  It is a fixed-price contract, with payments for demonstrated capacity (payable regardless of whether the plant runs) and energy (paid for power actually delivered).  Both components of the power price are escalated annually at 80% of the annual change in CPI; the escalation date is May 1</w:t>
      </w:r>
      <w:r>
        <w:rPr>
          <w:vertAlign w:val="superscript"/>
        </w:rPr>
        <w:t>st</w:t>
      </w:r>
      <w:r>
        <w:rPr/>
        <w:t xml:space="preserve"> each year. </w:t>
      </w:r>
    </w:p>
    <w:p>
      <w:pPr>
        <w:pStyle w:val="BodyText"/>
        <w:spacing w:before="0" w:after="240"/>
        <w:rPr/>
      </w:pPr>
      <w:r>
        <w:rPr/>
        <w:t>NPC must take, all power produced up to 45 MW during on-peak hours. On peak hours represent 52% of the total hours in a year and include the following periods:</w:t>
      </w:r>
    </w:p>
    <w:p>
      <w:pPr>
        <w:pStyle w:val="BodyText"/>
        <w:rPr/>
      </w:pPr>
      <w:r>
        <w:rPr/>
        <w:t>Summer season: 10.00 am to 10.00 pm (12 hours) from May through September (5 months).</w:t>
      </w:r>
    </w:p>
    <w:p>
      <w:pPr>
        <w:pStyle w:val="BodyText"/>
        <w:spacing w:before="0" w:after="240"/>
        <w:rPr/>
      </w:pPr>
      <w:r>
        <w:rPr/>
        <w:t>Winter season: 5.00 am to 10.00 am (5 hours) and 4.00 pm to 12.00 pm (8 hours) from October through April (7 months).</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If LVCLP fails to demonstrate at least 90% availability during either the summer or winter on-peak period, it is placed on “probation” for a period of 12 months (but only for that season).  It should be noted that the 90% availability must be demonstrated during all 5 of the summer season months, but only during December through February in the winter season (3 out of 7 winter months).  This arrangement provides LVCLP with a window twice a year to perform maintenance.  If LVCLP meets the 90% threshold during a probationary 12-month period, it will be taken off probation.  If it fails to achieve 90%, NPC may elect either to extend the probation period for a further 12 months, or to reduce the contract capacity to a capacity not less than the average level actually demonstrated during the probationary period.</w:t>
      </w:r>
    </w:p>
    <w:p>
      <w:pPr>
        <w:pStyle w:val="BodyText"/>
        <w:spacing w:before="0" w:after="240"/>
        <w:rPr/>
      </w:pPr>
      <w:r>
        <w:rPr/>
        <w:t>Energy rates are payable on the energy actually delivered, all year round, at rates that escalate year-to-year at CPI.</w:t>
      </w:r>
    </w:p>
    <w:p>
      <w:pPr>
        <w:pStyle w:val="BodyText"/>
        <w:spacing w:before="0" w:after="240"/>
        <w:rPr/>
      </w:pPr>
      <w:r>
        <w:rPr/>
        <w:t>The PPA allows NPC to curtail its takes under the agreement during “off-peak or light-load hours when due to operational circumstances other than economic dispatch, purchases…” will result in costs greater than those that NPC may otherwise incur if NPC generates or purchases an equivalent amount of energy. The provision expressly precludes NPC from “economic dispatch” of the Project, i.e. from curtailing power deliveries, simply because it can generate power from its own system more cheaply. This issue was the subject of a dispute between LVCLP and NPC, which was finalized in 1997 after an arbitrator ruled in favor of LVCLP. Although the contract has not been amended, to recognize this interpretation, the arbitration award has finally resolved this matter.</w:t>
      </w:r>
    </w:p>
    <w:p>
      <w:pPr>
        <w:pStyle w:val="Heading4"/>
        <w:ind w:hanging="0" w:start="0"/>
        <w:rPr/>
      </w:pPr>
      <w:bookmarkStart w:id="17" w:name="__RefHeading___Toc482880113"/>
      <w:bookmarkEnd w:id="17"/>
      <w:r>
        <w:rPr/>
        <w:t>Merchant Sharing Agreement</w:t>
      </w:r>
    </w:p>
    <w:p>
      <w:pPr>
        <w:pStyle w:val="Normal"/>
        <w:spacing w:before="0" w:after="240"/>
        <w:rPr/>
      </w:pPr>
      <w:r>
        <w:rPr/>
        <w:t>In April 2000, LVCLP and NPC executed a Limited Release Agreement of Applicable Energy (the “Limited Release Agreement”) to share in value created from the sale to off-peak and excess on-peak energy above the 45MW PPA obligation. The agreement has a one-year renewal term and includes a profit-sharing mechanism whereby NPC is paid a portion of the profits based on the day-ahead CalPX settlement price, less variable, transmission, and market service costs.</w:t>
      </w:r>
    </w:p>
    <w:p>
      <w:pPr>
        <w:pStyle w:val="Heading4"/>
        <w:ind w:hanging="0" w:start="0"/>
        <w:rPr/>
      </w:pPr>
      <w:bookmarkStart w:id="18" w:name="__RefHeading___Toc482880114"/>
      <w:bookmarkEnd w:id="18"/>
      <w:r>
        <w:rPr/>
        <w:t>EPMI Commodities Services Agreement</w:t>
      </w:r>
    </w:p>
    <w:p>
      <w:pPr>
        <w:pStyle w:val="Normal"/>
        <w:spacing w:before="0" w:after="240"/>
        <w:rPr/>
      </w:pPr>
      <w:r>
        <w:rPr/>
        <w:t>To facilitate the merchant sales under the Limited Release Agreement, LVCLP will enter into a Commodities Services Agreement with EPMI as its market services provider. Services will include facilitating to merchant energy sales transactions into the California PX and Nevada markets, fuel management services, and consulting services. The agreement is anticipated to be executed by June 2000.</w:t>
      </w:r>
    </w:p>
    <w:p>
      <w:pPr>
        <w:pStyle w:val="Heading3"/>
        <w:ind w:hanging="0" w:start="0"/>
        <w:rPr/>
      </w:pPr>
      <w:bookmarkStart w:id="19" w:name="__RefHeading___Toc482880115"/>
      <w:bookmarkEnd w:id="19"/>
      <w:r>
        <w:rPr/>
        <w:t>Gas Supply and Transportation Agreements</w:t>
      </w:r>
    </w:p>
    <w:p>
      <w:pPr>
        <w:pStyle w:val="BodyText"/>
        <w:rPr/>
      </w:pPr>
      <w:r>
        <w:rPr/>
        <w:t>ENA’s acquisition of LVCLP from UC was accompanied by certain changes to the gas supply and transportation agreements. These changes were implemented to remove UC and its affiliates from the contract fuel structure.  The changes to the gas supply arrangements are described in greater detail below.</w:t>
      </w:r>
    </w:p>
    <w:p>
      <w:pPr>
        <w:pStyle w:val="Heading4"/>
        <w:tabs>
          <w:tab w:val="clear" w:pos="360"/>
          <w:tab w:val="left" w:pos="720" w:leader="none"/>
        </w:tabs>
        <w:spacing w:before="120" w:after="240"/>
        <w:ind w:hanging="0" w:start="0"/>
        <w:rPr>
          <w:rFonts w:ascii="Times New Roman" w:hAnsi="Times New Roman" w:cs="Times New Roman"/>
        </w:rPr>
      </w:pPr>
      <w:bookmarkStart w:id="20" w:name="__RefHeading___Toc482880116"/>
      <w:bookmarkEnd w:id="20"/>
      <w:r>
        <w:rPr>
          <w:rFonts w:cs="Times New Roman" w:ascii="Times New Roman" w:hAnsi="Times New Roman"/>
        </w:rPr>
        <w:t>Primary Gas Supply and Transportation Agreement</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During UC’s ownership of LVCLP, United Energy Corporation (“UEC”), a subsidiary company of UC, undertook the primary gas supply and transportation obligations to the Project under a 17-year agreement, which expires in April 2011 (the “UEC Gas Supply Agreement”).  Its obligations were performed by Duke Energy Fuels L.P. (“Duke Fuels”) under a co-terminous agreement with UEC (the “Duke Fuels Gas Supply Agreement”).</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 xml:space="preserve">The key provisions of the two agreements were identical, in all material respects, thus providing an effective back-to-back arrangement.  These arrangements were rationalized with the purchase by ENA of LVCLP.  As conditions to closing the purchase, the UEC Gas Supply Agreement was terminated, and the Duke Fuels Gas Supply Agreement assigned by UEC to LVCLP. </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The Maximum Daily Quantity (“MDQ”) in the Duke Fuels Gas Supply Agreement is 5,000 MMBtu/day, which exceeds the plant’s fuel requirements to meet the PPA’s on-peak dispatch load.</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 xml:space="preserve">The price for gas in the Duke Fuels Gas Supply Agreement is fixed from May 1, 1994 through April 30, 2000; the price floats thereafter, but it has been hedged by ENA for 10 years as set out in Section 5.5.2.  Also pursuant to the Duke Fuels Gas Supply Agreement, LVCLP is required to provide Duke Fuels with a letter of credit, guaranteeing its future performance under the contract.  In order to satisfy this requirement, the Facility includes a US$3 million letter of credit issued by the Agent. </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 xml:space="preserve">Gas is transported through the Kern River pipeline under the terms of a separate agreement between Duke Fuels and Kern River Gas Transmission Company.  </w:t>
      </w:r>
    </w:p>
    <w:p>
      <w:pPr>
        <w:pStyle w:val="Heading4"/>
        <w:tabs>
          <w:tab w:val="clear" w:pos="360"/>
          <w:tab w:val="left" w:pos="720" w:leader="none"/>
        </w:tabs>
        <w:spacing w:before="120" w:after="240"/>
        <w:ind w:hanging="0" w:start="0" w:end="0"/>
        <w:rPr>
          <w:rFonts w:ascii="Times New Roman" w:hAnsi="Times New Roman" w:cs="Times New Roman"/>
        </w:rPr>
      </w:pPr>
      <w:bookmarkStart w:id="21" w:name="__RefHeading___Toc482880117"/>
      <w:bookmarkEnd w:id="21"/>
      <w:r>
        <w:rPr>
          <w:rFonts w:cs="Times New Roman" w:ascii="Times New Roman" w:hAnsi="Times New Roman"/>
        </w:rPr>
        <w:t>Primary Gas Hedging</w:t>
      </w:r>
    </w:p>
    <w:p>
      <w:pPr>
        <w:pStyle w:val="BodyText2"/>
        <w:spacing w:before="0" w:after="240"/>
        <w:rPr>
          <w:rFonts w:ascii="Times New Roman" w:hAnsi="Times New Roman" w:cs="Times New Roman"/>
          <w:lang w:val="en-US"/>
        </w:rPr>
      </w:pPr>
      <w:r>
        <w:rPr>
          <w:rFonts w:cs="Times New Roman" w:ascii="Times New Roman" w:hAnsi="Times New Roman"/>
          <w:lang w:val="en-US"/>
        </w:rPr>
        <w:t>From May 1, 2000, the contract price under the Duke Fuels Gas Supply Agreement is set by reference to a defined market price index (please see chart below).  In order to cover this market price exposure, ENA has entered into a series of forward commodity swaps with LVCLP.  The Project will therefore receive fixed-priced (non-escalating) gas for a period of 10 years from May 1, 2000 to April 30, 2010.  The Financial Model incorporates the strike price of 2.40/MMBtu.</w:t>
      </w:r>
    </w:p>
    <w:p>
      <w:pPr>
        <w:pStyle w:val="Normal"/>
        <w:rPr>
          <w:lang w:val="en-CA"/>
        </w:rPr>
      </w:pPr>
      <w:bookmarkStart w:id="22" w:name="_1019748073"/>
      <w:bookmarkStart w:id="23" w:name="_1019748021"/>
      <w:bookmarkEnd w:id="22"/>
      <w:bookmarkEnd w:id="23"/>
      <w:r>
        <w:rPr>
          <w:lang w:val="en-CA"/>
        </w:rPr>
        <w:object w:dxaOrig="14400" w:dyaOrig="108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90.5pt;height:367.6pt" filled="f" o:ole="">
            <v:imagedata r:id="rId11" o:title=""/>
          </v:shape>
          <o:OLEObject Type="Embed" ProgID="PowerPoint.Show.12" ShapeID="ole_rId10" DrawAspect="Content" ObjectID="_1827963464" r:id="rId10"/>
        </w:object>
      </w:r>
    </w:p>
    <w:p>
      <w:pPr>
        <w:pStyle w:val="Heading4"/>
        <w:spacing w:before="240" w:after="240"/>
        <w:ind w:hanging="0" w:start="0" w:end="0"/>
        <w:rPr>
          <w:rFonts w:ascii="Times New Roman" w:hAnsi="Times New Roman" w:cs="Times New Roman"/>
        </w:rPr>
      </w:pPr>
      <w:bookmarkStart w:id="24" w:name="__RefHeading___Toc482880118"/>
      <w:bookmarkEnd w:id="24"/>
      <w:r>
        <w:rPr>
          <w:rFonts w:cs="Times New Roman" w:ascii="Times New Roman" w:hAnsi="Times New Roman"/>
        </w:rPr>
        <w:t>Transportation – Kern River Gas Transmission Company</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Duke Fuels’ transportation obligations under the Duke Fuels Gas Supply Agreement are performed by Kern River Gas Transmission Company under an agreement with Duke Fuels (the “KRGTC Agreement”).  This agreement expires in February 2009, but is extendable for successive 1-year periods thereafter, at Duke Fuels’ option.</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Rates are renegotiated prior to any extension of the agreement, but are capped at FERC’s maximum authorized rate for firm transportation service at the time.</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 xml:space="preserve">The primary receipt points for gas is at Opal, Wyoming, the northern most point of the Kern River Pipeline, and delivery is at the interconnection with Southwest Gas Corporation (“Southwest Gas”) 4.5 miles from the Project site. </w:t>
      </w:r>
    </w:p>
    <w:p>
      <w:pPr>
        <w:pStyle w:val="Heading4"/>
        <w:tabs>
          <w:tab w:val="clear" w:pos="360"/>
          <w:tab w:val="left" w:pos="720" w:leader="none"/>
        </w:tabs>
        <w:spacing w:before="120" w:after="240"/>
        <w:ind w:hanging="0" w:start="0" w:end="0"/>
        <w:rPr>
          <w:rFonts w:ascii="Times New Roman" w:hAnsi="Times New Roman" w:cs="Times New Roman"/>
        </w:rPr>
      </w:pPr>
      <w:bookmarkStart w:id="25" w:name="__RefHeading___Toc482880119"/>
      <w:bookmarkEnd w:id="25"/>
      <w:r>
        <w:rPr>
          <w:rFonts w:cs="Times New Roman" w:ascii="Times New Roman" w:hAnsi="Times New Roman"/>
        </w:rPr>
        <w:t>Transportation – Southwest Gas Corporation</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After transmission of the Project’s gas through Kern River, it is transferred to Southwest Gas’ system, for the final 4.5 miles to the Project site.  LVCLP’s agreement with Southwest is for 17 years (expiring in August 2011), subject to year-to-year extensions thereafter at renegotiated rates.</w:t>
      </w:r>
    </w:p>
    <w:p>
      <w:pPr>
        <w:pStyle w:val="Header"/>
        <w:tabs>
          <w:tab w:val="clear" w:pos="4493"/>
          <w:tab w:val="clear" w:pos="9000"/>
        </w:tabs>
        <w:rPr>
          <w:rFonts w:ascii="Times New Roman" w:hAnsi="Times New Roman" w:cs="Times New Roman"/>
          <w:lang w:val="en-US"/>
        </w:rPr>
      </w:pPr>
      <w:r>
        <w:rPr>
          <w:rFonts w:cs="Times New Roman" w:ascii="Times New Roman" w:hAnsi="Times New Roman"/>
          <w:lang w:val="en-US"/>
        </w:rPr>
        <w:t>The MDQ in the Southwest Gas Agreement is 5,200 MMBtu/day (4% above the Duke Fuels MDQ).  The rates for firm transportation escalate at 80% of the change in CPI, representing a perfect hedge with the PPA rates.</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 xml:space="preserve">Pursuant to the agreement, Southwest Gas constructed a 4.5-mile spur connecting Kern River to the Project site specifically to service the Project.  Although the cost of construction was fully covered by Southwest Gas, the company also sought assurances that it would not lose the value of its capital investment due to LVCLP’s non-performance of its obligations under the Gas Agreement.  To satisfy SouthWest Gas’s requirement, the Facilities incorporate a $0.89 million letter of credit.  The amount of the letter of credit amortizes during the term of the senior debt according to the depreciation schedule of the spur and can be drawn in the event of LVCLP’s non-performance under the contract.  </w:t>
      </w:r>
    </w:p>
    <w:p>
      <w:pPr>
        <w:pStyle w:val="Heading4"/>
        <w:spacing w:before="120" w:after="240"/>
        <w:ind w:hanging="0" w:start="0" w:end="0"/>
        <w:rPr>
          <w:rFonts w:ascii="Times New Roman" w:hAnsi="Times New Roman" w:cs="Times New Roman"/>
        </w:rPr>
      </w:pPr>
      <w:bookmarkStart w:id="26" w:name="__RefHeading___Toc482880120"/>
      <w:bookmarkEnd w:id="26"/>
      <w:r>
        <w:rPr>
          <w:rFonts w:cs="Times New Roman" w:ascii="Times New Roman" w:hAnsi="Times New Roman"/>
        </w:rPr>
        <w:t>Secondary Gas Supply and Transportation Arrangements</w:t>
      </w:r>
    </w:p>
    <w:p>
      <w:pPr>
        <w:pStyle w:val="Header"/>
        <w:tabs>
          <w:tab w:val="clear" w:pos="4493"/>
          <w:tab w:val="clear" w:pos="9000"/>
        </w:tabs>
        <w:spacing w:before="0" w:after="240"/>
        <w:rPr/>
      </w:pPr>
      <w:r>
        <w:rPr>
          <w:rFonts w:cs="Times New Roman" w:ascii="Times New Roman" w:hAnsi="Times New Roman"/>
          <w:lang w:val="en-US"/>
        </w:rPr>
        <w:t xml:space="preserve">As a condition to the approval of the PPA by the Nevada Public Utilities Commission (“NPUC”), LVCLP has to demonstrate pursuant to the NPUC order, </w:t>
      </w:r>
      <w:r>
        <w:rPr>
          <w:rFonts w:cs="Times New Roman" w:ascii="Times New Roman" w:hAnsi="Times New Roman"/>
          <w:i/>
          <w:lang w:val="en-US"/>
        </w:rPr>
        <w:t>inter alia</w:t>
      </w:r>
      <w:r>
        <w:rPr>
          <w:rFonts w:cs="Times New Roman" w:ascii="Times New Roman" w:hAnsi="Times New Roman"/>
          <w:lang w:val="en-US"/>
        </w:rPr>
        <w:t>, that it has entered into primary and secondary gas supply arrangements for at least 15 years duration.  To satisfy this requirement, LVCLP had a secondary gas supply and transportation agreement with United Oil &amp; Minerals (“UOM”).  This agreement was terminated at closing of the Project’s purchase by ENA, and ENA has taken over UOM’s former role.</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ENA’s secondary gas supply agreement is for 5,000 MMBtu/day and runs from September 1, 1999 through May 31, 2024.  Daily pricing is equal to the SoCal Border price plus $0.10/MMBtuand the primary delivery point is the interconnect between the El Paso pipeline and Southwest Gas Company.</w:t>
      </w:r>
    </w:p>
    <w:p>
      <w:pPr>
        <w:pStyle w:val="Heading4"/>
        <w:spacing w:before="120" w:after="240"/>
        <w:ind w:hanging="0" w:start="0" w:end="0"/>
        <w:rPr>
          <w:rFonts w:ascii="Times New Roman" w:hAnsi="Times New Roman" w:cs="Times New Roman"/>
        </w:rPr>
      </w:pPr>
      <w:bookmarkStart w:id="27" w:name="__RefHeading___Toc482880121"/>
      <w:bookmarkEnd w:id="27"/>
      <w:r>
        <w:rPr>
          <w:rFonts w:cs="Times New Roman" w:ascii="Times New Roman" w:hAnsi="Times New Roman"/>
        </w:rPr>
        <w:t>Summary of Fuel Arrangements</w:t>
      </w:r>
    </w:p>
    <w:p>
      <w:pPr>
        <w:pStyle w:val="Header"/>
        <w:tabs>
          <w:tab w:val="clear" w:pos="4493"/>
          <w:tab w:val="clear" w:pos="9000"/>
        </w:tabs>
        <w:spacing w:before="0" w:after="240"/>
        <w:rPr/>
      </w:pPr>
      <w:r>
        <w:rPr/>
        <w:t>For ease of reference, the following is a tabular summary of the key gas supply and transportation agreements, as at Financial Close.  The final column shows how long each agreement extends beyond the final maturity of the senior debt:</w:t>
      </w:r>
    </w:p>
    <w:tbl>
      <w:tblPr>
        <w:tblW w:w="9717" w:type="dxa"/>
        <w:jc w:val="start"/>
        <w:tblInd w:w="18" w:type="dxa"/>
        <w:tblLayout w:type="fixed"/>
        <w:tblCellMar>
          <w:top w:w="0" w:type="dxa"/>
          <w:start w:w="108" w:type="dxa"/>
          <w:bottom w:w="0" w:type="dxa"/>
          <w:end w:w="108" w:type="dxa"/>
        </w:tblCellMar>
      </w:tblPr>
      <w:tblGrid>
        <w:gridCol w:w="4054"/>
        <w:gridCol w:w="2427"/>
        <w:gridCol w:w="1747"/>
        <w:gridCol w:w="1489"/>
      </w:tblGrid>
      <w:tr>
        <w:trPr/>
        <w:tc>
          <w:tcPr>
            <w:tcW w:w="4054" w:type="dxa"/>
            <w:tcBorders>
              <w:top w:val="double" w:sz="4" w:space="0" w:color="000000"/>
              <w:start w:val="double" w:sz="4" w:space="0" w:color="000000"/>
              <w:bottom w:val="double" w:sz="4" w:space="0" w:color="000000"/>
              <w:end w:val="single" w:sz="4" w:space="0" w:color="000000"/>
            </w:tcBorders>
            <w:shd w:fill="DFDFDF" w:val="clear"/>
          </w:tcPr>
          <w:p>
            <w:pPr>
              <w:pStyle w:val="Header"/>
              <w:tabs>
                <w:tab w:val="clear" w:pos="4493"/>
                <w:tab w:val="clear" w:pos="9000"/>
              </w:tabs>
              <w:spacing w:before="60" w:after="60"/>
              <w:rPr>
                <w:rFonts w:ascii="Times New Roman" w:hAnsi="Times New Roman" w:cs="Times New Roman"/>
                <w:b/>
                <w:sz w:val="22"/>
                <w:lang w:val="en-US"/>
              </w:rPr>
            </w:pPr>
            <w:r>
              <w:rPr>
                <w:rFonts w:cs="Times New Roman" w:ascii="Times New Roman" w:hAnsi="Times New Roman"/>
                <w:b/>
                <w:sz w:val="22"/>
                <w:lang w:val="en-US"/>
              </w:rPr>
              <w:t>Agreement</w:t>
            </w:r>
          </w:p>
        </w:tc>
        <w:tc>
          <w:tcPr>
            <w:tcW w:w="2427" w:type="dxa"/>
            <w:tcBorders>
              <w:top w:val="double" w:sz="4" w:space="0" w:color="000000"/>
              <w:start w:val="single" w:sz="4" w:space="0" w:color="000000"/>
              <w:bottom w:val="double" w:sz="4" w:space="0" w:color="000000"/>
              <w:end w:val="single" w:sz="4" w:space="0" w:color="000000"/>
            </w:tcBorders>
            <w:shd w:fill="DFDFDF" w:val="clear"/>
          </w:tcPr>
          <w:p>
            <w:pPr>
              <w:pStyle w:val="Header"/>
              <w:tabs>
                <w:tab w:val="clear" w:pos="4493"/>
                <w:tab w:val="clear" w:pos="9000"/>
              </w:tabs>
              <w:spacing w:before="60" w:after="60"/>
              <w:rPr>
                <w:rFonts w:ascii="Times New Roman" w:hAnsi="Times New Roman" w:cs="Times New Roman"/>
                <w:b/>
                <w:sz w:val="22"/>
                <w:lang w:val="en-US"/>
              </w:rPr>
            </w:pPr>
            <w:r>
              <w:rPr>
                <w:rFonts w:cs="Times New Roman" w:ascii="Times New Roman" w:hAnsi="Times New Roman"/>
                <w:b/>
                <w:sz w:val="22"/>
                <w:lang w:val="en-US"/>
              </w:rPr>
              <w:t>Parties</w:t>
            </w:r>
          </w:p>
        </w:tc>
        <w:tc>
          <w:tcPr>
            <w:tcW w:w="1747" w:type="dxa"/>
            <w:tcBorders>
              <w:top w:val="double" w:sz="4" w:space="0" w:color="000000"/>
              <w:start w:val="single" w:sz="4" w:space="0" w:color="000000"/>
              <w:bottom w:val="double" w:sz="4" w:space="0" w:color="000000"/>
              <w:end w:val="single" w:sz="4" w:space="0" w:color="000000"/>
            </w:tcBorders>
            <w:shd w:fill="DFDFDF" w:val="clear"/>
          </w:tcPr>
          <w:p>
            <w:pPr>
              <w:pStyle w:val="Header"/>
              <w:tabs>
                <w:tab w:val="clear" w:pos="4493"/>
                <w:tab w:val="clear" w:pos="9000"/>
              </w:tabs>
              <w:spacing w:before="60" w:after="60"/>
              <w:rPr>
                <w:rFonts w:ascii="Times New Roman" w:hAnsi="Times New Roman" w:cs="Times New Roman"/>
                <w:b/>
                <w:sz w:val="22"/>
                <w:lang w:val="en-US"/>
              </w:rPr>
            </w:pPr>
            <w:r>
              <w:rPr>
                <w:rFonts w:cs="Times New Roman" w:ascii="Times New Roman" w:hAnsi="Times New Roman"/>
                <w:b/>
                <w:sz w:val="22"/>
                <w:lang w:val="en-US"/>
              </w:rPr>
              <w:t>Expiry date</w:t>
            </w:r>
          </w:p>
        </w:tc>
        <w:tc>
          <w:tcPr>
            <w:tcW w:w="1489" w:type="dxa"/>
            <w:tcBorders>
              <w:top w:val="double" w:sz="4" w:space="0" w:color="000000"/>
              <w:start w:val="single" w:sz="4" w:space="0" w:color="000000"/>
              <w:bottom w:val="double" w:sz="4" w:space="0" w:color="000000"/>
              <w:end w:val="double" w:sz="4" w:space="0" w:color="000000"/>
            </w:tcBorders>
            <w:shd w:fill="DFDFDF" w:val="clear"/>
          </w:tcPr>
          <w:p>
            <w:pPr>
              <w:pStyle w:val="Header"/>
              <w:tabs>
                <w:tab w:val="clear" w:pos="4493"/>
                <w:tab w:val="clear" w:pos="9000"/>
              </w:tabs>
              <w:spacing w:before="60" w:after="60"/>
              <w:rPr>
                <w:rFonts w:ascii="Times New Roman" w:hAnsi="Times New Roman" w:cs="Times New Roman"/>
                <w:b/>
                <w:sz w:val="22"/>
                <w:lang w:val="en-US"/>
              </w:rPr>
            </w:pPr>
            <w:r>
              <w:rPr>
                <w:rFonts w:cs="Times New Roman" w:ascii="Times New Roman" w:hAnsi="Times New Roman"/>
                <w:b/>
                <w:sz w:val="22"/>
                <w:lang w:val="en-US"/>
              </w:rPr>
              <w:t>Debt tail</w:t>
            </w:r>
          </w:p>
        </w:tc>
      </w:tr>
      <w:tr>
        <w:trPr/>
        <w:tc>
          <w:tcPr>
            <w:tcW w:w="4054" w:type="dxa"/>
            <w:tcBorders>
              <w:top w:val="single" w:sz="4" w:space="0" w:color="000000"/>
              <w:start w:val="doub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 xml:space="preserve">Primary Gas Supply &amp; Transportation </w:t>
            </w:r>
          </w:p>
        </w:tc>
        <w:tc>
          <w:tcPr>
            <w:tcW w:w="2427" w:type="dxa"/>
            <w:tcBorders>
              <w:top w:val="single" w:sz="4" w:space="0" w:color="000000"/>
              <w:start w:val="sing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LVCLP and Duke Fuels</w:t>
            </w:r>
          </w:p>
        </w:tc>
        <w:tc>
          <w:tcPr>
            <w:tcW w:w="1747" w:type="dxa"/>
            <w:tcBorders>
              <w:top w:val="single" w:sz="4" w:space="0" w:color="000000"/>
              <w:start w:val="sing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April 2010</w:t>
            </w:r>
          </w:p>
        </w:tc>
        <w:tc>
          <w:tcPr>
            <w:tcW w:w="1489" w:type="dxa"/>
            <w:tcBorders>
              <w:top w:val="single" w:sz="4" w:space="0" w:color="000000"/>
              <w:start w:val="single" w:sz="4" w:space="0" w:color="000000"/>
              <w:bottom w:val="single" w:sz="4" w:space="0" w:color="000000"/>
              <w:end w:val="doub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7 mths</w:t>
            </w:r>
          </w:p>
        </w:tc>
      </w:tr>
      <w:tr>
        <w:trPr/>
        <w:tc>
          <w:tcPr>
            <w:tcW w:w="4054" w:type="dxa"/>
            <w:tcBorders>
              <w:top w:val="single" w:sz="4" w:space="0" w:color="000000"/>
              <w:start w:val="doub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Primary Gas Hedging</w:t>
            </w:r>
          </w:p>
        </w:tc>
        <w:tc>
          <w:tcPr>
            <w:tcW w:w="2427" w:type="dxa"/>
            <w:tcBorders>
              <w:top w:val="single" w:sz="4" w:space="0" w:color="000000"/>
              <w:start w:val="sing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LVCLP and ENA</w:t>
            </w:r>
          </w:p>
        </w:tc>
        <w:tc>
          <w:tcPr>
            <w:tcW w:w="1747" w:type="dxa"/>
            <w:tcBorders>
              <w:top w:val="single" w:sz="4" w:space="0" w:color="000000"/>
              <w:start w:val="sing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April 2010</w:t>
            </w:r>
          </w:p>
        </w:tc>
        <w:tc>
          <w:tcPr>
            <w:tcW w:w="1489" w:type="dxa"/>
            <w:tcBorders>
              <w:top w:val="single" w:sz="4" w:space="0" w:color="000000"/>
              <w:start w:val="single" w:sz="4" w:space="0" w:color="000000"/>
              <w:bottom w:val="single" w:sz="4" w:space="0" w:color="000000"/>
              <w:end w:val="doub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7 mths</w:t>
            </w:r>
          </w:p>
        </w:tc>
      </w:tr>
      <w:tr>
        <w:trPr>
          <w:trHeight w:val="274" w:hRule="atLeast"/>
        </w:trPr>
        <w:tc>
          <w:tcPr>
            <w:tcW w:w="4054" w:type="dxa"/>
            <w:tcBorders>
              <w:top w:val="single" w:sz="4" w:space="0" w:color="000000"/>
              <w:start w:val="doub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 xml:space="preserve">Kern River Gas Transportation  </w:t>
            </w:r>
            <w:r>
              <w:rPr>
                <w:rFonts w:cs="Times New Roman" w:ascii="Times New Roman" w:hAnsi="Times New Roman"/>
                <w:sz w:val="20"/>
                <w:lang w:val="en-US"/>
              </w:rPr>
              <w:t>(1)</w:t>
            </w:r>
          </w:p>
        </w:tc>
        <w:tc>
          <w:tcPr>
            <w:tcW w:w="2427" w:type="dxa"/>
            <w:tcBorders>
              <w:top w:val="single" w:sz="4" w:space="0" w:color="000000"/>
              <w:start w:val="sing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Duke Fuels and KRGTC</w:t>
            </w:r>
          </w:p>
        </w:tc>
        <w:tc>
          <w:tcPr>
            <w:tcW w:w="1747" w:type="dxa"/>
            <w:tcBorders>
              <w:top w:val="single" w:sz="4" w:space="0" w:color="000000"/>
              <w:start w:val="sing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February2009</w:t>
            </w:r>
          </w:p>
        </w:tc>
        <w:tc>
          <w:tcPr>
            <w:tcW w:w="1489" w:type="dxa"/>
            <w:tcBorders>
              <w:top w:val="single" w:sz="4" w:space="0" w:color="000000"/>
              <w:start w:val="single" w:sz="4" w:space="0" w:color="000000"/>
              <w:bottom w:val="single" w:sz="4" w:space="0" w:color="000000"/>
              <w:end w:val="doub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7 mths</w:t>
            </w:r>
          </w:p>
        </w:tc>
      </w:tr>
      <w:tr>
        <w:trPr/>
        <w:tc>
          <w:tcPr>
            <w:tcW w:w="4054" w:type="dxa"/>
            <w:tcBorders>
              <w:top w:val="single" w:sz="4" w:space="0" w:color="000000"/>
              <w:start w:val="doub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 xml:space="preserve">Southwest Gas Transportation  </w:t>
            </w:r>
            <w:r>
              <w:rPr>
                <w:rFonts w:cs="Times New Roman" w:ascii="Times New Roman" w:hAnsi="Times New Roman"/>
                <w:sz w:val="20"/>
                <w:lang w:val="en-US"/>
              </w:rPr>
              <w:t>(2)</w:t>
            </w:r>
          </w:p>
        </w:tc>
        <w:tc>
          <w:tcPr>
            <w:tcW w:w="2427" w:type="dxa"/>
            <w:tcBorders>
              <w:top w:val="single" w:sz="4" w:space="0" w:color="000000"/>
              <w:start w:val="sing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LVCLP and SWGC</w:t>
            </w:r>
          </w:p>
        </w:tc>
        <w:tc>
          <w:tcPr>
            <w:tcW w:w="1747" w:type="dxa"/>
            <w:tcBorders>
              <w:top w:val="single" w:sz="4" w:space="0" w:color="000000"/>
              <w:start w:val="single" w:sz="4" w:space="0" w:color="000000"/>
              <w:bottom w:val="sing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December 2011</w:t>
            </w:r>
          </w:p>
        </w:tc>
        <w:tc>
          <w:tcPr>
            <w:tcW w:w="1489" w:type="dxa"/>
            <w:tcBorders>
              <w:top w:val="single" w:sz="4" w:space="0" w:color="000000"/>
              <w:start w:val="single" w:sz="4" w:space="0" w:color="000000"/>
              <w:bottom w:val="single" w:sz="4" w:space="0" w:color="000000"/>
              <w:end w:val="doub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1 yr. 11 mths</w:t>
            </w:r>
          </w:p>
        </w:tc>
      </w:tr>
      <w:tr>
        <w:trPr/>
        <w:tc>
          <w:tcPr>
            <w:tcW w:w="4054" w:type="dxa"/>
            <w:tcBorders>
              <w:top w:val="single" w:sz="4" w:space="0" w:color="000000"/>
              <w:start w:val="double" w:sz="4" w:space="0" w:color="000000"/>
              <w:bottom w:val="doub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Secondary Gas Supply and Transportation</w:t>
            </w:r>
          </w:p>
        </w:tc>
        <w:tc>
          <w:tcPr>
            <w:tcW w:w="2427" w:type="dxa"/>
            <w:tcBorders>
              <w:top w:val="single" w:sz="4" w:space="0" w:color="000000"/>
              <w:start w:val="single" w:sz="4" w:space="0" w:color="000000"/>
              <w:bottom w:val="doub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LVCLP and ENA</w:t>
            </w:r>
          </w:p>
        </w:tc>
        <w:tc>
          <w:tcPr>
            <w:tcW w:w="1747" w:type="dxa"/>
            <w:tcBorders>
              <w:top w:val="single" w:sz="4" w:space="0" w:color="000000"/>
              <w:start w:val="single" w:sz="4" w:space="0" w:color="000000"/>
              <w:bottom w:val="double" w:sz="4" w:space="0" w:color="000000"/>
              <w:end w:val="sing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May 2024</w:t>
            </w:r>
          </w:p>
        </w:tc>
        <w:tc>
          <w:tcPr>
            <w:tcW w:w="1489" w:type="dxa"/>
            <w:tcBorders>
              <w:top w:val="single" w:sz="4" w:space="0" w:color="000000"/>
              <w:start w:val="single" w:sz="4" w:space="0" w:color="000000"/>
              <w:bottom w:val="double" w:sz="4" w:space="0" w:color="000000"/>
              <w:end w:val="double" w:sz="4" w:space="0" w:color="000000"/>
            </w:tcBorders>
          </w:tcPr>
          <w:p>
            <w:pPr>
              <w:pStyle w:val="Header"/>
              <w:tabs>
                <w:tab w:val="clear" w:pos="4493"/>
                <w:tab w:val="clear" w:pos="9000"/>
              </w:tabs>
              <w:spacing w:before="60" w:after="60"/>
              <w:rPr>
                <w:rFonts w:ascii="Times New Roman" w:hAnsi="Times New Roman" w:cs="Times New Roman"/>
                <w:sz w:val="22"/>
                <w:lang w:val="en-US"/>
              </w:rPr>
            </w:pPr>
            <w:r>
              <w:rPr>
                <w:rFonts w:cs="Times New Roman" w:ascii="Times New Roman" w:hAnsi="Times New Roman"/>
                <w:sz w:val="22"/>
                <w:lang w:val="en-US"/>
              </w:rPr>
              <w:t>14 yrs. 8 mths</w:t>
            </w:r>
          </w:p>
        </w:tc>
      </w:tr>
    </w:tbl>
    <w:p>
      <w:pPr>
        <w:pStyle w:val="Header"/>
        <w:numPr>
          <w:ilvl w:val="0"/>
          <w:numId w:val="7"/>
        </w:numPr>
        <w:tabs>
          <w:tab w:val="clear" w:pos="4493"/>
          <w:tab w:val="clear" w:pos="9000"/>
        </w:tabs>
        <w:spacing w:before="120" w:after="0"/>
        <w:ind w:hanging="403" w:start="403" w:end="0"/>
        <w:rPr>
          <w:rFonts w:ascii="Times New Roman" w:hAnsi="Times New Roman" w:cs="Times New Roman"/>
          <w:sz w:val="18"/>
          <w:lang w:val="en-US"/>
        </w:rPr>
      </w:pPr>
      <w:r>
        <w:rPr>
          <w:rFonts w:cs="Times New Roman" w:ascii="Times New Roman" w:hAnsi="Times New Roman"/>
          <w:sz w:val="18"/>
          <w:lang w:val="en-US"/>
        </w:rPr>
        <w:t>The Kern River agreement may be extended for successive 1-year periods, at Duke Fuels’ option.</w:t>
      </w:r>
    </w:p>
    <w:p>
      <w:pPr>
        <w:pStyle w:val="Header"/>
        <w:numPr>
          <w:ilvl w:val="0"/>
          <w:numId w:val="7"/>
        </w:numPr>
        <w:tabs>
          <w:tab w:val="clear" w:pos="4493"/>
          <w:tab w:val="clear" w:pos="9000"/>
        </w:tabs>
        <w:ind w:hanging="403" w:start="403" w:end="0"/>
        <w:rPr>
          <w:rFonts w:ascii="Times New Roman" w:hAnsi="Times New Roman" w:cs="Times New Roman"/>
          <w:sz w:val="18"/>
          <w:lang w:val="en-US"/>
        </w:rPr>
      </w:pPr>
      <w:r>
        <w:rPr>
          <w:rFonts w:cs="Times New Roman" w:ascii="Times New Roman" w:hAnsi="Times New Roman"/>
          <w:sz w:val="18"/>
          <w:lang w:val="en-US"/>
        </w:rPr>
        <w:t>The Southwest Gas agreement is deemed extended annually after August 2011 unless terminated by either party</w:t>
      </w:r>
    </w:p>
    <w:p>
      <w:pPr>
        <w:pStyle w:val="Heading3"/>
        <w:tabs>
          <w:tab w:val="clear" w:pos="360"/>
          <w:tab w:val="left" w:pos="720" w:leader="none"/>
        </w:tabs>
        <w:spacing w:before="240" w:after="240"/>
        <w:ind w:hanging="0" w:start="0"/>
        <w:rPr>
          <w:rFonts w:ascii="Times New Roman" w:hAnsi="Times New Roman" w:cs="Times New Roman"/>
        </w:rPr>
      </w:pPr>
      <w:bookmarkStart w:id="28" w:name="__RefHeading___Toc482880122"/>
      <w:bookmarkEnd w:id="28"/>
      <w:r>
        <w:rPr>
          <w:rFonts w:cs="Times New Roman" w:ascii="Times New Roman" w:hAnsi="Times New Roman"/>
        </w:rPr>
        <w:t>Greenhouse Lease Agreement</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Pursuant to a Greenhouse Lease Agreement, as amended following ENA’s acquisition of both LVCLP and Sunco, LVCLP:</w:t>
      </w:r>
    </w:p>
    <w:p>
      <w:pPr>
        <w:pStyle w:val="Header"/>
        <w:numPr>
          <w:ilvl w:val="0"/>
          <w:numId w:val="10"/>
        </w:numPr>
        <w:tabs>
          <w:tab w:val="clear" w:pos="4493"/>
          <w:tab w:val="clear" w:pos="9000"/>
        </w:tabs>
        <w:spacing w:before="0" w:after="240"/>
        <w:ind w:hanging="0" w:start="360" w:end="0"/>
        <w:rPr>
          <w:rFonts w:ascii="Times New Roman" w:hAnsi="Times New Roman" w:cs="Times New Roman"/>
          <w:lang w:val="en-US"/>
        </w:rPr>
      </w:pPr>
      <w:r>
        <w:rPr>
          <w:rFonts w:cs="Times New Roman" w:ascii="Times New Roman" w:hAnsi="Times New Roman"/>
          <w:lang w:val="en-US"/>
        </w:rPr>
        <w:t xml:space="preserve">leases land to Sunco and </w:t>
      </w:r>
    </w:p>
    <w:p>
      <w:pPr>
        <w:pStyle w:val="Header"/>
        <w:numPr>
          <w:ilvl w:val="0"/>
          <w:numId w:val="10"/>
        </w:numPr>
        <w:tabs>
          <w:tab w:val="clear" w:pos="4493"/>
          <w:tab w:val="clear" w:pos="9000"/>
        </w:tabs>
        <w:spacing w:before="0" w:after="240"/>
        <w:ind w:hanging="360" w:start="720" w:end="0"/>
        <w:rPr>
          <w:rFonts w:ascii="Times New Roman" w:hAnsi="Times New Roman" w:cs="Times New Roman"/>
          <w:lang w:val="en-US"/>
        </w:rPr>
      </w:pPr>
      <w:r>
        <w:rPr>
          <w:rFonts w:cs="Times New Roman" w:ascii="Times New Roman" w:hAnsi="Times New Roman"/>
          <w:lang w:val="en-US"/>
        </w:rPr>
        <w:t>supplies Sunco’s requirements for thermal energy for the production of agricultural crops in the greenhouse.</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In consideration for the above, Sunco pays rent to LVCLP in an amount equal to 100% of its net revenue to LVCLP, net revenue being defined as all revenues received by Sunco less all the direct and indirect expenses incurred in operating the greenhouse.</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Sunco is required to remit 100% of the revenues to LVCLP within two days of receiving them. Sunco is also required to prepare, no later than 90 days before the end of each year, an annual operating budget for the succeeding year for all expenses.  Within two days of funds being available to LVCLP for that purpose, LVCLP is in turn required to advance, on a month-by-month basis, the funds amount budgeted for each month to Sunco. Any surplus funds remaining after application to budgeted items will at LVCLP’s option either be returned to LVCLP or set off against the subsequent month’s advances.</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Also pursuant to the Greenhouse Lease Agreement, LVCLP is required to obtain and maintain insurance for the greenhouse operations to the extent required by the Lenders.</w:t>
      </w:r>
    </w:p>
    <w:p>
      <w:pPr>
        <w:pStyle w:val="Header"/>
        <w:tabs>
          <w:tab w:val="clear" w:pos="4493"/>
          <w:tab w:val="clear" w:pos="9000"/>
        </w:tabs>
        <w:spacing w:before="0" w:after="240"/>
        <w:rPr>
          <w:rFonts w:ascii="Times New Roman" w:hAnsi="Times New Roman" w:cs="Times New Roman"/>
          <w:lang w:val="en-US"/>
        </w:rPr>
      </w:pPr>
      <w:r>
        <w:rPr>
          <w:rFonts w:cs="Times New Roman" w:ascii="Times New Roman" w:hAnsi="Times New Roman"/>
          <w:lang w:val="en-US"/>
        </w:rPr>
        <w:t>The lease agreement expires in 2009.  Before that date, both parties to the contract have the right to terminate it at will as long as they give the other party at least 24 months notice.  The risk of the lease terminating against the interests of the Project is substantially mitigated by the fact that ENA has acquired both parties to the contract, thus ultimately retaining control of the lease at both ends.</w:t>
      </w:r>
    </w:p>
    <w:p>
      <w:pPr>
        <w:pStyle w:val="Heading3"/>
        <w:tabs>
          <w:tab w:val="clear" w:pos="360"/>
          <w:tab w:val="left" w:pos="720" w:leader="none"/>
        </w:tabs>
        <w:spacing w:before="240" w:after="240"/>
        <w:ind w:hanging="0" w:start="0"/>
        <w:rPr>
          <w:rFonts w:ascii="Times New Roman" w:hAnsi="Times New Roman" w:cs="Times New Roman"/>
        </w:rPr>
      </w:pPr>
      <w:bookmarkStart w:id="29" w:name="__RefHeading___Toc482880123"/>
      <w:bookmarkEnd w:id="29"/>
      <w:r>
        <w:rPr>
          <w:rFonts w:cs="Times New Roman" w:ascii="Times New Roman" w:hAnsi="Times New Roman"/>
        </w:rPr>
        <w:t>Operation &amp; Maintenance Arrangements</w:t>
      </w:r>
    </w:p>
    <w:p>
      <w:pPr>
        <w:pStyle w:val="Header"/>
        <w:tabs>
          <w:tab w:val="clear" w:pos="4493"/>
          <w:tab w:val="clear" w:pos="9000"/>
        </w:tabs>
        <w:rPr>
          <w:rFonts w:ascii="Times New Roman" w:hAnsi="Times New Roman" w:cs="Times New Roman"/>
          <w:lang w:val="en-US"/>
        </w:rPr>
      </w:pPr>
      <w:r>
        <w:rPr>
          <w:rFonts w:cs="Times New Roman" w:ascii="Times New Roman" w:hAnsi="Times New Roman"/>
          <w:lang w:val="en-US"/>
        </w:rPr>
        <w:t xml:space="preserve">Under UC’s ownership, the power plant was operated by UC with a staff of 10.  The management team comprised a plant manager, a plant engineer and senior administrator, all of whom have been with the Project since the outset.  Under ENA’s member management responsibilities on behalf of Southwest Power, LLC, O&amp;M will continue to be principally undertaken by the Project.  The services of all existing UC employees have been retained and transferred to LVCLP.  However monitoring / supervision of all aspects of O&amp;M will be undertaken by ENA as the managing member of Southwest Power, LLC and certain of its affiliates under a Corporate Services Agreement.  ENA will also provide services such as compliance monitoring, records management, budgeting and performance against budget, as well as more centralized services, such as tax and accounting, human resources, legal and cash management.  </w:t>
      </w:r>
    </w:p>
    <w:p>
      <w:pPr>
        <w:pStyle w:val="Header"/>
        <w:tabs>
          <w:tab w:val="clear" w:pos="4493"/>
          <w:tab w:val="clear" w:pos="9000"/>
        </w:tabs>
        <w:rPr>
          <w:rFonts w:ascii="Times New Roman" w:hAnsi="Times New Roman" w:cs="Times New Roman"/>
          <w:lang w:val="en-US"/>
        </w:rPr>
      </w:pPr>
      <w:r>
        <w:rPr>
          <w:rFonts w:cs="Times New Roman" w:ascii="Times New Roman" w:hAnsi="Times New Roman"/>
        </w:rPr>
        <w:t>LVCLP is required to prepare an Annual Budget prior to each operating year.  Each quarter, LVCLP submits a report showing variances to the Annual Budget on a year-to-date basis, and certifying that it expects to be within 10% +/- of the Annual Budget by year-end.  If LVCLP is unable to certify compliance, it is required to submit a revised Annual Budget for the Agent’s approval.</w:t>
      </w:r>
    </w:p>
    <w:p>
      <w:pPr>
        <w:pStyle w:val="Heading3"/>
        <w:tabs>
          <w:tab w:val="clear" w:pos="360"/>
          <w:tab w:val="left" w:pos="720" w:leader="none"/>
        </w:tabs>
        <w:spacing w:before="240" w:after="240"/>
        <w:ind w:hanging="0" w:start="0"/>
        <w:rPr>
          <w:rFonts w:ascii="Times New Roman" w:hAnsi="Times New Roman" w:cs="Times New Roman"/>
        </w:rPr>
      </w:pPr>
      <w:bookmarkStart w:id="30" w:name="__RefHeading___Toc482880124"/>
      <w:bookmarkEnd w:id="30"/>
      <w:r>
        <w:rPr>
          <w:rFonts w:cs="Times New Roman" w:ascii="Times New Roman" w:hAnsi="Times New Roman"/>
        </w:rPr>
        <w:t>Project Insurance</w:t>
      </w:r>
    </w:p>
    <w:p>
      <w:pPr>
        <w:pStyle w:val="Header"/>
        <w:tabs>
          <w:tab w:val="clear" w:pos="4493"/>
          <w:tab w:val="clear" w:pos="9000"/>
        </w:tabs>
        <w:rPr>
          <w:rFonts w:ascii="Times New Roman" w:hAnsi="Times New Roman" w:cs="Times New Roman"/>
          <w:lang w:val="en-US"/>
        </w:rPr>
      </w:pPr>
      <w:r>
        <w:rPr>
          <w:rFonts w:cs="Times New Roman" w:ascii="Times New Roman" w:hAnsi="Times New Roman"/>
          <w:lang w:val="en-US"/>
        </w:rPr>
        <w:t>The Project has been insured under Enron/ENA’s umbrella insurance arrangements and provides coverage for customary risks including physical damage, boiler and machinery and business interruption.  Marsh &amp; McLennan has acted as lenders’ Insurance Consultant (“IC”).  The IC has reviewed the insurance arrangements on behalf of the lenders, and considers the scope of cover, as well as coverage levels and deductibles appropriate.</w:t>
      </w:r>
      <w:r>
        <w:br w:type="page"/>
      </w:r>
    </w:p>
    <w:p>
      <w:pPr>
        <w:pStyle w:val="Heading2"/>
        <w:ind w:hanging="0" w:start="0"/>
        <w:jc w:val="start"/>
        <w:rPr>
          <w:rFonts w:ascii="Times New Roman" w:hAnsi="Times New Roman" w:cs="Times New Roman"/>
        </w:rPr>
      </w:pPr>
      <w:bookmarkStart w:id="31" w:name="__RefHeading___Toc482880125"/>
      <w:bookmarkEnd w:id="31"/>
      <w:r>
        <w:rPr>
          <w:rFonts w:cs="Times New Roman" w:ascii="Times New Roman" w:hAnsi="Times New Roman"/>
        </w:rPr>
        <w:t>Project Ownership and Key Contractual Counterparts</w:t>
      </w:r>
    </w:p>
    <w:p>
      <w:pPr>
        <w:pStyle w:val="Heading3"/>
        <w:tabs>
          <w:tab w:val="clear" w:pos="360"/>
          <w:tab w:val="left" w:pos="720" w:leader="none"/>
        </w:tabs>
        <w:spacing w:before="240" w:after="240"/>
        <w:ind w:hanging="0" w:start="0"/>
        <w:rPr>
          <w:rFonts w:ascii="Times New Roman" w:hAnsi="Times New Roman" w:cs="Times New Roman"/>
        </w:rPr>
      </w:pPr>
      <w:bookmarkStart w:id="32" w:name="__RefHeading___Toc482880126"/>
      <w:bookmarkEnd w:id="32"/>
      <w:r>
        <w:rPr>
          <w:rFonts w:cs="Times New Roman" w:ascii="Times New Roman" w:hAnsi="Times New Roman"/>
        </w:rPr>
        <w:t>Las Vegas Cogeneration Limited Partnership</w:t>
      </w:r>
    </w:p>
    <w:p>
      <w:pPr>
        <w:pStyle w:val="Header"/>
        <w:tabs>
          <w:tab w:val="clear" w:pos="4493"/>
          <w:tab w:val="clear" w:pos="9000"/>
        </w:tabs>
        <w:rPr>
          <w:rFonts w:ascii="Times New Roman" w:hAnsi="Times New Roman" w:cs="Times New Roman"/>
          <w:lang w:val="en-US"/>
        </w:rPr>
      </w:pPr>
      <w:r>
        <w:rPr>
          <w:rFonts w:cs="Times New Roman" w:ascii="Times New Roman" w:hAnsi="Times New Roman"/>
          <w:lang w:val="en-US"/>
        </w:rPr>
        <w:t>The ownership structure that has been created following ENA’s acquisition is depicted below.</w:t>
      </w:r>
    </w:p>
    <w:p>
      <w:pPr>
        <w:pStyle w:val="Header"/>
        <w:tabs>
          <w:tab w:val="clear" w:pos="4493"/>
          <w:tab w:val="clear" w:pos="9000"/>
        </w:tabs>
        <w:rPr>
          <w:rFonts w:ascii="Times New Roman" w:hAnsi="Times New Roman" w:cs="Times New Roman"/>
          <w:lang w:val="en-US"/>
        </w:rPr>
      </w:pPr>
      <w:bookmarkStart w:id="33" w:name="_1001260974"/>
      <w:bookmarkEnd w:id="33"/>
      <w:r>
        <w:rPr>
          <w:rFonts w:cs="Times New Roman" w:ascii="Times New Roman" w:hAnsi="Times New Roman"/>
          <w:lang w:val="en-US"/>
        </w:rPr>
        <w:object w:dxaOrig="14400" w:dyaOrig="108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56.65pt;height:356.95pt" filled="f" o:ole="">
            <v:imagedata r:id="rId13" o:title=""/>
          </v:shape>
          <o:OLEObject Type="Embed" ProgID="PowerPoint.Show.12" ShapeID="ole_rId12" DrawAspect="Content" ObjectID="_105044058" r:id="rId12"/>
        </w:object>
      </w:r>
    </w:p>
    <w:p>
      <w:pPr>
        <w:pStyle w:val="Header"/>
        <w:tabs>
          <w:tab w:val="clear" w:pos="4493"/>
          <w:tab w:val="clear" w:pos="9000"/>
        </w:tabs>
        <w:rPr>
          <w:rFonts w:ascii="Times New Roman" w:hAnsi="Times New Roman" w:cs="Times New Roman"/>
          <w:lang w:val="en-US"/>
        </w:rPr>
      </w:pPr>
      <w:r>
        <w:rPr>
          <w:rFonts w:cs="Times New Roman" w:ascii="Times New Roman" w:hAnsi="Times New Roman"/>
          <w:lang w:val="en-US"/>
        </w:rPr>
        <w:t>The ownership arrangements can be summarized as follows:</w:t>
      </w:r>
    </w:p>
    <w:p>
      <w:pPr>
        <w:pStyle w:val="Header"/>
        <w:numPr>
          <w:ilvl w:val="0"/>
          <w:numId w:val="6"/>
        </w:numPr>
        <w:tabs>
          <w:tab w:val="clear" w:pos="4493"/>
          <w:tab w:val="clear" w:pos="9000"/>
        </w:tabs>
        <w:ind w:hanging="360" w:start="720" w:end="0"/>
        <w:rPr>
          <w:rFonts w:ascii="Times New Roman" w:hAnsi="Times New Roman" w:cs="Times New Roman"/>
          <w:lang w:val="en-US"/>
        </w:rPr>
      </w:pPr>
      <w:r>
        <w:rPr>
          <w:rFonts w:cs="Times New Roman" w:ascii="Times New Roman" w:hAnsi="Times New Roman"/>
          <w:lang w:val="en-US"/>
        </w:rPr>
        <w:t>United Cogen’s 85% GP interest and United Energy’s 15% LP interest in LVCLP have been acquired by Desert Arc I and Desert Arc II respectively;</w:t>
      </w:r>
    </w:p>
    <w:p>
      <w:pPr>
        <w:pStyle w:val="Header"/>
        <w:numPr>
          <w:ilvl w:val="0"/>
          <w:numId w:val="6"/>
        </w:numPr>
        <w:tabs>
          <w:tab w:val="clear" w:pos="4493"/>
          <w:tab w:val="clear" w:pos="9000"/>
        </w:tabs>
        <w:ind w:hanging="360" w:start="720" w:end="0"/>
        <w:rPr>
          <w:rFonts w:ascii="Times New Roman" w:hAnsi="Times New Roman" w:cs="Times New Roman"/>
          <w:lang w:val="en-US"/>
        </w:rPr>
      </w:pPr>
      <w:r>
        <w:rPr>
          <w:rFonts w:cs="Times New Roman" w:ascii="Times New Roman" w:hAnsi="Times New Roman"/>
          <w:lang w:val="en-US"/>
        </w:rPr>
        <w:t>Desert Arc I LLC, Desert Arc II LLC and Sunco Ltd., LLC (the company which owns the greenhouse) are all 100% owned by a new project holding company, Southwest Power, LLC;</w:t>
      </w:r>
    </w:p>
    <w:p>
      <w:pPr>
        <w:pStyle w:val="Header"/>
        <w:numPr>
          <w:ilvl w:val="0"/>
          <w:numId w:val="6"/>
        </w:numPr>
        <w:tabs>
          <w:tab w:val="clear" w:pos="4493"/>
          <w:tab w:val="clear" w:pos="9000"/>
        </w:tabs>
        <w:ind w:hanging="360" w:start="720" w:end="0"/>
        <w:rPr>
          <w:rFonts w:ascii="Times New Roman" w:hAnsi="Times New Roman" w:cs="Times New Roman"/>
          <w:lang w:val="en-US"/>
        </w:rPr>
      </w:pPr>
      <w:r>
        <w:rPr>
          <w:rFonts w:cs="Times New Roman" w:ascii="Times New Roman" w:hAnsi="Times New Roman"/>
          <w:lang w:val="en-US"/>
        </w:rPr>
        <w:t>Southwest Power, LLC is a limited liability company and is owned:</w:t>
      </w:r>
    </w:p>
    <w:p>
      <w:pPr>
        <w:pStyle w:val="Header"/>
        <w:numPr>
          <w:ilvl w:val="0"/>
          <w:numId w:val="3"/>
        </w:numPr>
        <w:tabs>
          <w:tab w:val="clear" w:pos="4493"/>
          <w:tab w:val="clear" w:pos="9000"/>
        </w:tabs>
        <w:ind w:hanging="360" w:start="1080" w:end="0"/>
        <w:rPr>
          <w:rFonts w:ascii="Times New Roman" w:hAnsi="Times New Roman" w:cs="Times New Roman"/>
          <w:lang w:val="en-US"/>
        </w:rPr>
      </w:pPr>
      <w:r>
        <w:rPr>
          <w:rFonts w:cs="Times New Roman" w:ascii="Times New Roman" w:hAnsi="Times New Roman"/>
          <w:lang w:val="en-US"/>
        </w:rPr>
        <w:t>25% by TLS Investors, LLC, the managing member and a wholly owned subsidiary of ENA</w:t>
      </w:r>
    </w:p>
    <w:p>
      <w:pPr>
        <w:pStyle w:val="Header"/>
        <w:numPr>
          <w:ilvl w:val="0"/>
          <w:numId w:val="3"/>
        </w:numPr>
        <w:tabs>
          <w:tab w:val="clear" w:pos="4493"/>
          <w:tab w:val="clear" w:pos="9000"/>
        </w:tabs>
        <w:ind w:hanging="360" w:start="1080" w:end="0"/>
        <w:rPr>
          <w:rFonts w:ascii="Times New Roman" w:hAnsi="Times New Roman" w:cs="Times New Roman"/>
          <w:lang w:val="en-US"/>
        </w:rPr>
      </w:pPr>
      <w:r>
        <w:rPr>
          <w:rFonts w:cs="Times New Roman" w:ascii="Times New Roman" w:hAnsi="Times New Roman"/>
          <w:lang w:val="en-US"/>
        </w:rPr>
        <w:t>25% by JEDI II (50% Enron, 50% CalPERS)</w:t>
      </w:r>
    </w:p>
    <w:p>
      <w:pPr>
        <w:pStyle w:val="Header"/>
        <w:numPr>
          <w:ilvl w:val="0"/>
          <w:numId w:val="3"/>
        </w:numPr>
        <w:tabs>
          <w:tab w:val="clear" w:pos="4493"/>
          <w:tab w:val="clear" w:pos="9000"/>
        </w:tabs>
        <w:ind w:hanging="360" w:start="1080" w:end="0"/>
        <w:rPr>
          <w:rFonts w:ascii="Times New Roman" w:hAnsi="Times New Roman" w:cs="Times New Roman"/>
          <w:lang w:val="en-US"/>
        </w:rPr>
      </w:pPr>
      <w:r>
        <w:rPr>
          <w:rFonts w:cs="Times New Roman" w:ascii="Times New Roman" w:hAnsi="Times New Roman"/>
          <w:lang w:val="en-US"/>
        </w:rPr>
        <w:t xml:space="preserve">50% by RADR EMP LLC </w:t>
      </w:r>
    </w:p>
    <w:p>
      <w:pPr>
        <w:pStyle w:val="Header"/>
        <w:numPr>
          <w:ilvl w:val="0"/>
          <w:numId w:val="6"/>
        </w:numPr>
        <w:tabs>
          <w:tab w:val="clear" w:pos="4493"/>
          <w:tab w:val="clear" w:pos="9000"/>
        </w:tabs>
        <w:ind w:hanging="360" w:start="720" w:end="0"/>
        <w:rPr>
          <w:rFonts w:ascii="Times New Roman" w:hAnsi="Times New Roman" w:cs="Times New Roman"/>
          <w:lang w:val="en-US"/>
        </w:rPr>
      </w:pPr>
      <w:r>
        <w:rPr>
          <w:rFonts w:cs="Times New Roman" w:ascii="Times New Roman" w:hAnsi="Times New Roman"/>
          <w:lang w:val="en-US"/>
        </w:rPr>
        <w:t>RADR EMP LLC is a “Friendly Investor Vehicle which has invested in Enron transactions in the past).</w:t>
      </w:r>
      <w:r>
        <w:br w:type="page"/>
      </w:r>
    </w:p>
    <w:p>
      <w:pPr>
        <w:pStyle w:val="Heading2"/>
        <w:tabs>
          <w:tab w:val="clear" w:pos="360"/>
        </w:tabs>
        <w:ind w:hanging="0" w:start="0"/>
        <w:rPr>
          <w:rFonts w:ascii="Times New Roman" w:hAnsi="Times New Roman" w:cs="Times New Roman"/>
        </w:rPr>
      </w:pPr>
      <w:bookmarkStart w:id="34" w:name="__RefHeading___Toc482880127"/>
      <w:bookmarkEnd w:id="34"/>
      <w:r>
        <w:rPr>
          <w:rFonts w:cs="Times New Roman" w:ascii="Times New Roman" w:hAnsi="Times New Roman"/>
        </w:rPr>
        <w:t>Financing Structure</w:t>
      </w:r>
    </w:p>
    <w:p>
      <w:pPr>
        <w:pStyle w:val="Heading3"/>
        <w:ind w:hanging="0" w:start="0"/>
        <w:rPr/>
      </w:pPr>
      <w:bookmarkStart w:id="35" w:name="__RefHeading___Toc482880128"/>
      <w:bookmarkEnd w:id="35"/>
      <w:r>
        <w:rPr/>
        <w:t>Total Acquisition Cost and Financial Structure</w:t>
      </w:r>
    </w:p>
    <w:p>
      <w:pPr>
        <w:pStyle w:val="Header"/>
        <w:tabs>
          <w:tab w:val="clear" w:pos="4493"/>
          <w:tab w:val="clear" w:pos="9000"/>
        </w:tabs>
        <w:rPr>
          <w:lang w:val="en-US"/>
        </w:rPr>
      </w:pPr>
      <w:r>
        <w:rPr>
          <w:lang w:val="en-US"/>
        </w:rPr>
        <w:t>The Sources and Uses of Funds for the acquisition by Enron and its affiliates and investors of the Las Vegas Cogeneration Project is as follows:</w:t>
      </w:r>
    </w:p>
    <w:p>
      <w:pPr>
        <w:pStyle w:val="Header"/>
        <w:tabs>
          <w:tab w:val="clear" w:pos="4493"/>
          <w:tab w:val="clear" w:pos="9000"/>
        </w:tabs>
        <w:rPr>
          <w:b/>
          <w:lang w:val="en-US"/>
        </w:rPr>
      </w:pPr>
      <w:r>
        <w:rPr>
          <w:b/>
          <w:lang w:val="en-US"/>
        </w:rPr>
      </w:r>
    </w:p>
    <w:tbl>
      <w:tblPr>
        <w:tblW w:w="9900" w:type="dxa"/>
        <w:jc w:val="start"/>
        <w:tblInd w:w="108" w:type="dxa"/>
        <w:tblLayout w:type="fixed"/>
        <w:tblCellMar>
          <w:top w:w="0" w:type="dxa"/>
          <w:start w:w="108" w:type="dxa"/>
          <w:bottom w:w="0" w:type="dxa"/>
          <w:end w:w="108" w:type="dxa"/>
        </w:tblCellMar>
      </w:tblPr>
      <w:tblGrid>
        <w:gridCol w:w="3150"/>
        <w:gridCol w:w="990"/>
        <w:gridCol w:w="900"/>
        <w:gridCol w:w="1980"/>
        <w:gridCol w:w="900"/>
        <w:gridCol w:w="990"/>
        <w:gridCol w:w="990"/>
      </w:tblGrid>
      <w:tr>
        <w:trPr/>
        <w:tc>
          <w:tcPr>
            <w:tcW w:w="3150" w:type="dxa"/>
            <w:tcBorders>
              <w:top w:val="double" w:sz="4" w:space="0" w:color="000000"/>
              <w:start w:val="double" w:sz="4" w:space="0" w:color="000000"/>
              <w:bottom w:val="double" w:sz="4" w:space="0" w:color="000000"/>
              <w:end w:val="single" w:sz="4" w:space="0" w:color="000000"/>
            </w:tcBorders>
            <w:shd w:fill="DFDFDF" w:val="clear"/>
          </w:tcPr>
          <w:p>
            <w:pPr>
              <w:pStyle w:val="Header"/>
              <w:tabs>
                <w:tab w:val="clear" w:pos="4493"/>
                <w:tab w:val="clear" w:pos="9000"/>
              </w:tabs>
              <w:spacing w:before="120" w:after="120"/>
              <w:rPr>
                <w:b/>
                <w:lang w:val="en-US"/>
              </w:rPr>
            </w:pPr>
            <w:r>
              <w:rPr>
                <w:b/>
                <w:lang w:val="en-US"/>
              </w:rPr>
              <w:t>Uses</w:t>
            </w:r>
          </w:p>
        </w:tc>
        <w:tc>
          <w:tcPr>
            <w:tcW w:w="1890" w:type="dxa"/>
            <w:gridSpan w:val="2"/>
            <w:tcBorders>
              <w:top w:val="double" w:sz="4" w:space="0" w:color="000000"/>
              <w:start w:val="single" w:sz="4" w:space="0" w:color="000000"/>
              <w:bottom w:val="double" w:sz="4" w:space="0" w:color="000000"/>
              <w:end w:val="double" w:sz="4" w:space="0" w:color="000000"/>
            </w:tcBorders>
            <w:shd w:fill="DFDFDF" w:val="clear"/>
          </w:tcPr>
          <w:p>
            <w:pPr>
              <w:pStyle w:val="Normal"/>
              <w:spacing w:before="120" w:after="120"/>
              <w:rPr>
                <w:b/>
              </w:rPr>
            </w:pPr>
            <w:r>
              <w:rPr>
                <w:b/>
              </w:rPr>
              <w:t>$000s</w:t>
            </w:r>
          </w:p>
        </w:tc>
        <w:tc>
          <w:tcPr>
            <w:tcW w:w="1980" w:type="dxa"/>
            <w:tcBorders>
              <w:top w:val="double" w:sz="4" w:space="0" w:color="000000"/>
              <w:bottom w:val="double" w:sz="4" w:space="0" w:color="000000"/>
              <w:end w:val="single" w:sz="4" w:space="0" w:color="000000"/>
            </w:tcBorders>
            <w:shd w:fill="DFDFDF" w:val="clear"/>
          </w:tcPr>
          <w:p>
            <w:pPr>
              <w:pStyle w:val="Header"/>
              <w:tabs>
                <w:tab w:val="clear" w:pos="4493"/>
                <w:tab w:val="clear" w:pos="9000"/>
              </w:tabs>
              <w:spacing w:before="120" w:after="120"/>
              <w:rPr>
                <w:b/>
                <w:lang w:val="en-US"/>
              </w:rPr>
            </w:pPr>
            <w:r>
              <w:rPr>
                <w:b/>
                <w:lang w:val="en-US"/>
              </w:rPr>
              <w:t>Sources</w:t>
            </w:r>
          </w:p>
        </w:tc>
        <w:tc>
          <w:tcPr>
            <w:tcW w:w="1890" w:type="dxa"/>
            <w:gridSpan w:val="2"/>
            <w:tcBorders>
              <w:top w:val="double" w:sz="4" w:space="0" w:color="000000"/>
              <w:start w:val="single" w:sz="4" w:space="0" w:color="000000"/>
              <w:bottom w:val="double" w:sz="4" w:space="0" w:color="000000"/>
              <w:end w:val="single" w:sz="4" w:space="0" w:color="000000"/>
            </w:tcBorders>
            <w:shd w:fill="DFDFDF" w:val="clear"/>
          </w:tcPr>
          <w:p>
            <w:pPr>
              <w:pStyle w:val="Normal"/>
              <w:spacing w:before="120" w:after="120"/>
              <w:rPr>
                <w:b/>
              </w:rPr>
            </w:pPr>
            <w:r>
              <w:rPr>
                <w:b/>
              </w:rPr>
              <w:t>$000s</w:t>
            </w:r>
          </w:p>
        </w:tc>
        <w:tc>
          <w:tcPr>
            <w:tcW w:w="990" w:type="dxa"/>
            <w:tcBorders>
              <w:top w:val="double" w:sz="4" w:space="0" w:color="000000"/>
              <w:start w:val="single" w:sz="4" w:space="0" w:color="000000"/>
              <w:bottom w:val="double" w:sz="4" w:space="0" w:color="000000"/>
              <w:end w:val="double" w:sz="4" w:space="0" w:color="000000"/>
            </w:tcBorders>
            <w:shd w:fill="DFDFDF" w:val="clear"/>
          </w:tcPr>
          <w:p>
            <w:pPr>
              <w:pStyle w:val="Normal"/>
              <w:spacing w:before="120" w:after="120"/>
              <w:rPr>
                <w:b/>
              </w:rPr>
            </w:pPr>
            <w:r>
              <w:rPr>
                <w:b/>
              </w:rPr>
              <w:t>%</w:t>
            </w:r>
          </w:p>
        </w:tc>
      </w:tr>
      <w:tr>
        <w:trPr/>
        <w:tc>
          <w:tcPr>
            <w:tcW w:w="3150" w:type="dxa"/>
            <w:tcBorders>
              <w:start w:val="double" w:sz="4" w:space="0" w:color="000000"/>
              <w:bottom w:val="single" w:sz="4" w:space="0" w:color="000000"/>
              <w:end w:val="single" w:sz="4" w:space="0" w:color="000000"/>
            </w:tcBorders>
          </w:tcPr>
          <w:p>
            <w:pPr>
              <w:pStyle w:val="Normal"/>
              <w:snapToGrid w:val="false"/>
              <w:rPr>
                <w:b/>
                <w:sz w:val="22"/>
              </w:rPr>
            </w:pPr>
            <w:r>
              <w:rPr>
                <w:b/>
                <w:sz w:val="22"/>
              </w:rPr>
            </w:r>
          </w:p>
          <w:p>
            <w:pPr>
              <w:pStyle w:val="Normal"/>
              <w:rPr>
                <w:sz w:val="22"/>
              </w:rPr>
            </w:pPr>
            <w:r>
              <w:rPr>
                <w:sz w:val="22"/>
              </w:rPr>
              <w:t>Asset Purchase Price:</w:t>
            </w:r>
          </w:p>
          <w:p>
            <w:pPr>
              <w:pStyle w:val="Normal"/>
              <w:rPr>
                <w:sz w:val="22"/>
              </w:rPr>
            </w:pPr>
            <w:r>
              <w:rPr>
                <w:rFonts w:eastAsia="TimesNewRoman"/>
                <w:sz w:val="22"/>
              </w:rPr>
              <w:t xml:space="preserve">   </w:t>
            </w:r>
            <w:r>
              <w:rPr>
                <w:sz w:val="22"/>
              </w:rPr>
              <w:t>Repayment of existing debt</w:t>
            </w:r>
          </w:p>
          <w:p>
            <w:pPr>
              <w:pStyle w:val="Normal"/>
              <w:rPr>
                <w:sz w:val="22"/>
              </w:rPr>
            </w:pPr>
            <w:r>
              <w:rPr>
                <w:rFonts w:eastAsia="TimesNewRoman"/>
                <w:sz w:val="22"/>
              </w:rPr>
              <w:t xml:space="preserve">   </w:t>
            </w:r>
            <w:r>
              <w:rPr>
                <w:sz w:val="22"/>
              </w:rPr>
              <w:t>Acquisition of equity</w:t>
            </w:r>
          </w:p>
          <w:p>
            <w:pPr>
              <w:pStyle w:val="Normal"/>
              <w:rPr>
                <w:b/>
                <w:i/>
                <w:i/>
                <w:sz w:val="22"/>
              </w:rPr>
            </w:pPr>
            <w:r>
              <w:rPr>
                <w:b/>
                <w:i/>
                <w:sz w:val="22"/>
              </w:rPr>
              <w:t>Subtotal</w:t>
            </w:r>
          </w:p>
          <w:p>
            <w:pPr>
              <w:pStyle w:val="Normal"/>
              <w:rPr>
                <w:sz w:val="22"/>
              </w:rPr>
            </w:pPr>
            <w:r>
              <w:rPr>
                <w:sz w:val="22"/>
              </w:rPr>
              <w:t>Plant Upgrades:</w:t>
            </w:r>
          </w:p>
          <w:p>
            <w:pPr>
              <w:pStyle w:val="Normal"/>
              <w:rPr>
                <w:sz w:val="22"/>
              </w:rPr>
            </w:pPr>
            <w:r>
              <w:rPr>
                <w:rFonts w:eastAsia="TimesNewRoman"/>
                <w:sz w:val="22"/>
              </w:rPr>
              <w:t xml:space="preserve">   </w:t>
            </w:r>
            <w:r>
              <w:rPr>
                <w:sz w:val="22"/>
              </w:rPr>
              <w:t>LM 6000 PC purchase price</w:t>
            </w:r>
          </w:p>
          <w:p>
            <w:pPr>
              <w:pStyle w:val="Normal"/>
              <w:rPr>
                <w:sz w:val="22"/>
              </w:rPr>
            </w:pPr>
            <w:r>
              <w:rPr>
                <w:rFonts w:eastAsia="TimesNewRoman"/>
                <w:sz w:val="22"/>
              </w:rPr>
              <w:t xml:space="preserve">   </w:t>
            </w:r>
            <w:r>
              <w:rPr>
                <w:sz w:val="22"/>
              </w:rPr>
              <w:t>GT generator vibration fix</w:t>
            </w:r>
          </w:p>
          <w:p>
            <w:pPr>
              <w:pStyle w:val="heding4"/>
              <w:rPr/>
            </w:pPr>
            <w:r>
              <w:rPr>
                <w:rFonts w:eastAsia="TimesNewRoman"/>
              </w:rPr>
              <w:t xml:space="preserve">   </w:t>
            </w:r>
            <w:r>
              <w:rPr/>
              <w:t>HRSG upgrades</w:t>
            </w:r>
          </w:p>
          <w:p>
            <w:pPr>
              <w:pStyle w:val="Normal"/>
              <w:rPr>
                <w:b/>
                <w:i/>
                <w:i/>
                <w:sz w:val="22"/>
              </w:rPr>
            </w:pPr>
            <w:r>
              <w:rPr>
                <w:b/>
                <w:i/>
                <w:sz w:val="22"/>
              </w:rPr>
              <w:t>Subtotal</w:t>
            </w:r>
          </w:p>
          <w:p>
            <w:pPr>
              <w:pStyle w:val="Normal"/>
              <w:rPr>
                <w:sz w:val="22"/>
              </w:rPr>
            </w:pPr>
            <w:r>
              <w:rPr>
                <w:sz w:val="22"/>
              </w:rPr>
              <w:t>Transaction Expenses and Fees</w:t>
            </w:r>
          </w:p>
          <w:p>
            <w:pPr>
              <w:pStyle w:val="Normal"/>
              <w:rPr>
                <w:sz w:val="22"/>
              </w:rPr>
            </w:pPr>
            <w:r>
              <w:rPr>
                <w:sz w:val="22"/>
              </w:rPr>
              <w:t xml:space="preserve">Opening Working Capital </w:t>
            </w:r>
          </w:p>
          <w:p>
            <w:pPr>
              <w:pStyle w:val="Normal"/>
              <w:rPr>
                <w:sz w:val="22"/>
              </w:rPr>
            </w:pPr>
            <w:r>
              <w:rPr>
                <w:sz w:val="22"/>
              </w:rPr>
            </w:r>
          </w:p>
        </w:tc>
        <w:tc>
          <w:tcPr>
            <w:tcW w:w="990" w:type="dxa"/>
            <w:tcBorders>
              <w:start w:val="single" w:sz="4" w:space="0" w:color="000000"/>
              <w:bottom w:val="single" w:sz="4" w:space="0" w:color="000000"/>
              <w:end w:val="single" w:sz="4" w:space="0" w:color="000000"/>
            </w:tcBorders>
          </w:tcPr>
          <w:p>
            <w:pPr>
              <w:pStyle w:val="Normal"/>
              <w:snapToGrid w:val="false"/>
              <w:ind w:end="162"/>
              <w:jc w:val="center"/>
              <w:rPr>
                <w:sz w:val="22"/>
              </w:rPr>
            </w:pPr>
            <w:r>
              <w:rPr>
                <w:sz w:val="22"/>
              </w:rPr>
            </w:r>
          </w:p>
          <w:p>
            <w:pPr>
              <w:pStyle w:val="Normal"/>
              <w:ind w:end="72"/>
              <w:jc w:val="center"/>
              <w:rPr>
                <w:sz w:val="22"/>
              </w:rPr>
            </w:pPr>
            <w:r>
              <w:rPr>
                <w:sz w:val="22"/>
              </w:rPr>
            </w:r>
          </w:p>
          <w:p>
            <w:pPr>
              <w:pStyle w:val="Normal"/>
              <w:ind w:end="72"/>
              <w:jc w:val="center"/>
              <w:rPr>
                <w:sz w:val="22"/>
              </w:rPr>
            </w:pPr>
            <w:r>
              <w:rPr>
                <w:sz w:val="22"/>
              </w:rPr>
              <w:t>51,000</w:t>
            </w:r>
          </w:p>
          <w:p>
            <w:pPr>
              <w:pStyle w:val="Normal"/>
              <w:ind w:end="72"/>
              <w:jc w:val="center"/>
              <w:rPr>
                <w:sz w:val="22"/>
              </w:rPr>
            </w:pPr>
            <w:r>
              <w:rPr>
                <w:sz w:val="22"/>
              </w:rPr>
              <w:t>21,189</w:t>
            </w:r>
          </w:p>
          <w:p>
            <w:pPr>
              <w:pStyle w:val="Normal"/>
              <w:ind w:end="72"/>
              <w:jc w:val="center"/>
              <w:rPr>
                <w:sz w:val="22"/>
              </w:rPr>
            </w:pPr>
            <w:r>
              <w:rPr>
                <w:sz w:val="22"/>
              </w:rPr>
            </w:r>
          </w:p>
          <w:p>
            <w:pPr>
              <w:pStyle w:val="Normal"/>
              <w:ind w:end="72"/>
              <w:jc w:val="center"/>
              <w:rPr>
                <w:sz w:val="22"/>
              </w:rPr>
            </w:pPr>
            <w:r>
              <w:rPr>
                <w:sz w:val="22"/>
              </w:rPr>
            </w:r>
          </w:p>
          <w:p>
            <w:pPr>
              <w:pStyle w:val="Normal"/>
              <w:ind w:end="72"/>
              <w:jc w:val="center"/>
              <w:rPr>
                <w:sz w:val="22"/>
              </w:rPr>
            </w:pPr>
            <w:r>
              <w:rPr>
                <w:sz w:val="22"/>
              </w:rPr>
              <w:t>4,530</w:t>
            </w:r>
          </w:p>
          <w:p>
            <w:pPr>
              <w:pStyle w:val="Normal"/>
              <w:ind w:end="72"/>
              <w:jc w:val="center"/>
              <w:rPr>
                <w:sz w:val="22"/>
              </w:rPr>
            </w:pPr>
            <w:r>
              <w:rPr>
                <w:sz w:val="22"/>
              </w:rPr>
              <w:t>300</w:t>
            </w:r>
          </w:p>
          <w:p>
            <w:pPr>
              <w:pStyle w:val="Normal"/>
              <w:ind w:end="72"/>
              <w:jc w:val="center"/>
              <w:rPr>
                <w:sz w:val="22"/>
              </w:rPr>
            </w:pPr>
            <w:r>
              <w:rPr>
                <w:sz w:val="22"/>
              </w:rPr>
              <w:t>134</w:t>
            </w:r>
          </w:p>
          <w:p>
            <w:pPr>
              <w:pStyle w:val="Normal"/>
              <w:ind w:end="72"/>
              <w:jc w:val="center"/>
              <w:rPr>
                <w:sz w:val="22"/>
              </w:rPr>
            </w:pPr>
            <w:r>
              <w:rPr>
                <w:sz w:val="22"/>
              </w:rPr>
            </w:r>
          </w:p>
          <w:p>
            <w:pPr>
              <w:pStyle w:val="Normal"/>
              <w:ind w:end="72"/>
              <w:jc w:val="center"/>
              <w:rPr>
                <w:sz w:val="22"/>
              </w:rPr>
            </w:pPr>
            <w:r>
              <w:rPr>
                <w:sz w:val="22"/>
              </w:rPr>
            </w:r>
          </w:p>
        </w:tc>
        <w:tc>
          <w:tcPr>
            <w:tcW w:w="900" w:type="dxa"/>
            <w:tcBorders>
              <w:start w:val="single" w:sz="4" w:space="0" w:color="000000"/>
              <w:end w:val="double" w:sz="4" w:space="0" w:color="000000"/>
            </w:tcBorders>
          </w:tcPr>
          <w:p>
            <w:pPr>
              <w:pStyle w:val="Normal"/>
              <w:snapToGrid w:val="false"/>
              <w:ind w:end="-18"/>
              <w:jc w:val="center"/>
              <w:rPr>
                <w:sz w:val="22"/>
              </w:rPr>
            </w:pPr>
            <w:r>
              <w:rPr>
                <w:sz w:val="22"/>
              </w:rPr>
            </w:r>
          </w:p>
          <w:p>
            <w:pPr>
              <w:pStyle w:val="Normal"/>
              <w:ind w:end="-18"/>
              <w:jc w:val="center"/>
              <w:rPr>
                <w:sz w:val="22"/>
              </w:rPr>
            </w:pPr>
            <w:r>
              <w:rPr>
                <w:sz w:val="22"/>
              </w:rPr>
            </w:r>
          </w:p>
          <w:p>
            <w:pPr>
              <w:pStyle w:val="Normal"/>
              <w:ind w:end="-18"/>
              <w:jc w:val="center"/>
              <w:rPr>
                <w:sz w:val="22"/>
              </w:rPr>
            </w:pPr>
            <w:r>
              <w:rPr>
                <w:sz w:val="22"/>
              </w:rPr>
            </w:r>
          </w:p>
          <w:p>
            <w:pPr>
              <w:pStyle w:val="Normal"/>
              <w:ind w:end="-18"/>
              <w:jc w:val="center"/>
              <w:rPr>
                <w:sz w:val="22"/>
              </w:rPr>
            </w:pPr>
            <w:r>
              <w:rPr>
                <w:sz w:val="22"/>
              </w:rPr>
            </w:r>
          </w:p>
          <w:p>
            <w:pPr>
              <w:pStyle w:val="Normal"/>
              <w:ind w:end="-18"/>
              <w:jc w:val="center"/>
              <w:rPr>
                <w:sz w:val="22"/>
              </w:rPr>
            </w:pPr>
            <w:r>
              <w:rPr>
                <w:sz w:val="22"/>
              </w:rPr>
              <w:t>72,189</w:t>
            </w:r>
          </w:p>
          <w:p>
            <w:pPr>
              <w:pStyle w:val="Normal"/>
              <w:ind w:end="-18"/>
              <w:jc w:val="center"/>
              <w:rPr>
                <w:sz w:val="22"/>
              </w:rPr>
            </w:pPr>
            <w:r>
              <w:rPr>
                <w:sz w:val="22"/>
              </w:rPr>
            </w:r>
          </w:p>
          <w:p>
            <w:pPr>
              <w:pStyle w:val="Normal"/>
              <w:ind w:end="-18"/>
              <w:jc w:val="center"/>
              <w:rPr>
                <w:sz w:val="22"/>
              </w:rPr>
            </w:pPr>
            <w:r>
              <w:rPr>
                <w:sz w:val="22"/>
              </w:rPr>
            </w:r>
          </w:p>
          <w:p>
            <w:pPr>
              <w:pStyle w:val="Normal"/>
              <w:ind w:end="-18"/>
              <w:jc w:val="center"/>
              <w:rPr>
                <w:sz w:val="22"/>
              </w:rPr>
            </w:pPr>
            <w:r>
              <w:rPr>
                <w:sz w:val="22"/>
              </w:rPr>
            </w:r>
          </w:p>
          <w:p>
            <w:pPr>
              <w:pStyle w:val="Normal"/>
              <w:ind w:end="-18"/>
              <w:jc w:val="center"/>
              <w:rPr>
                <w:sz w:val="22"/>
              </w:rPr>
            </w:pPr>
            <w:r>
              <w:rPr>
                <w:sz w:val="22"/>
              </w:rPr>
            </w:r>
          </w:p>
          <w:p>
            <w:pPr>
              <w:pStyle w:val="Normal"/>
              <w:ind w:end="-18"/>
              <w:jc w:val="center"/>
              <w:rPr>
                <w:sz w:val="22"/>
              </w:rPr>
            </w:pPr>
            <w:r>
              <w:rPr>
                <w:sz w:val="22"/>
              </w:rPr>
              <w:t>4,964</w:t>
            </w:r>
          </w:p>
          <w:p>
            <w:pPr>
              <w:pStyle w:val="Normal"/>
              <w:ind w:end="-18"/>
              <w:jc w:val="center"/>
              <w:rPr>
                <w:sz w:val="22"/>
              </w:rPr>
            </w:pPr>
            <w:r>
              <w:rPr>
                <w:sz w:val="22"/>
              </w:rPr>
            </w:r>
          </w:p>
          <w:p>
            <w:pPr>
              <w:pStyle w:val="Normal"/>
              <w:ind w:end="-18"/>
              <w:jc w:val="center"/>
              <w:rPr>
                <w:sz w:val="22"/>
              </w:rPr>
            </w:pPr>
            <w:r>
              <w:rPr>
                <w:sz w:val="22"/>
              </w:rPr>
              <w:t>2,336</w:t>
            </w:r>
          </w:p>
          <w:p>
            <w:pPr>
              <w:pStyle w:val="Normal"/>
              <w:ind w:end="-18"/>
              <w:jc w:val="center"/>
              <w:rPr>
                <w:sz w:val="22"/>
              </w:rPr>
            </w:pPr>
            <w:r>
              <w:rPr>
                <w:sz w:val="22"/>
              </w:rPr>
              <w:t>1,011</w:t>
            </w:r>
          </w:p>
          <w:p>
            <w:pPr>
              <w:pStyle w:val="Normal"/>
              <w:ind w:end="-18"/>
              <w:jc w:val="center"/>
              <w:rPr>
                <w:sz w:val="22"/>
              </w:rPr>
            </w:pPr>
            <w:r>
              <w:rPr>
                <w:sz w:val="22"/>
              </w:rPr>
            </w:r>
          </w:p>
        </w:tc>
        <w:tc>
          <w:tcPr>
            <w:tcW w:w="1980" w:type="dxa"/>
            <w:tcBorders>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t xml:space="preserve">Senior Debt </w:t>
            </w:r>
          </w:p>
          <w:p>
            <w:pPr>
              <w:pStyle w:val="Normal"/>
              <w:rPr>
                <w:sz w:val="22"/>
              </w:rPr>
            </w:pPr>
            <w:r>
              <w:rPr>
                <w:sz w:val="22"/>
              </w:rPr>
              <w:t>Equity Contributions</w:t>
            </w:r>
          </w:p>
          <w:p>
            <w:pPr>
              <w:pStyle w:val="Normal"/>
              <w:rPr>
                <w:sz w:val="22"/>
              </w:rPr>
            </w:pPr>
            <w:r>
              <w:rPr>
                <w:rFonts w:eastAsia="TimesNewRoman"/>
                <w:sz w:val="22"/>
              </w:rPr>
              <w:t xml:space="preserve">    </w:t>
            </w:r>
            <w:r>
              <w:rPr>
                <w:sz w:val="22"/>
              </w:rPr>
              <w:t>RADR EMP LLC</w:t>
            </w:r>
          </w:p>
          <w:p>
            <w:pPr>
              <w:pStyle w:val="Normal"/>
              <w:rPr>
                <w:sz w:val="22"/>
              </w:rPr>
            </w:pPr>
            <w:r>
              <w:rPr>
                <w:rFonts w:eastAsia="TimesNewRoman"/>
                <w:sz w:val="22"/>
              </w:rPr>
              <w:t xml:space="preserve">    </w:t>
            </w:r>
            <w:r>
              <w:rPr>
                <w:sz w:val="22"/>
              </w:rPr>
              <w:t>ENA</w:t>
            </w:r>
          </w:p>
          <w:p>
            <w:pPr>
              <w:pStyle w:val="Normal"/>
              <w:rPr>
                <w:sz w:val="22"/>
              </w:rPr>
            </w:pPr>
            <w:r>
              <w:rPr>
                <w:rFonts w:eastAsia="TimesNewRoman"/>
                <w:sz w:val="22"/>
              </w:rPr>
              <w:t xml:space="preserve">    </w:t>
            </w:r>
            <w:r>
              <w:rPr>
                <w:sz w:val="22"/>
              </w:rPr>
              <w:t>JEDI II</w:t>
            </w:r>
          </w:p>
          <w:p>
            <w:pPr>
              <w:pStyle w:val="Normal"/>
              <w:rPr/>
            </w:pPr>
            <w:r>
              <w:rPr>
                <w:rFonts w:eastAsia="TimesNewRoman"/>
                <w:sz w:val="22"/>
              </w:rPr>
              <w:t xml:space="preserve"> </w:t>
            </w:r>
            <w:r>
              <w:rPr>
                <w:b/>
                <w:i/>
                <w:sz w:val="22"/>
              </w:rPr>
              <w:t>Subtotal</w:t>
            </w:r>
          </w:p>
          <w:p>
            <w:pPr>
              <w:pStyle w:val="Normal"/>
              <w:rPr>
                <w:b/>
                <w:i/>
                <w:i/>
                <w:sz w:val="22"/>
              </w:rPr>
            </w:pPr>
            <w:r>
              <w:rPr>
                <w:b/>
                <w:i/>
                <w:sz w:val="22"/>
              </w:rPr>
            </w:r>
          </w:p>
        </w:tc>
        <w:tc>
          <w:tcPr>
            <w:tcW w:w="900" w:type="dxa"/>
            <w:tcBorders>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12,000</w:t>
            </w:r>
          </w:p>
          <w:p>
            <w:pPr>
              <w:pStyle w:val="Normal"/>
              <w:rPr>
                <w:sz w:val="22"/>
              </w:rPr>
            </w:pPr>
            <w:r>
              <w:rPr>
                <w:sz w:val="22"/>
              </w:rPr>
            </w:r>
          </w:p>
          <w:p>
            <w:pPr>
              <w:pStyle w:val="Normal"/>
              <w:rPr>
                <w:sz w:val="22"/>
              </w:rPr>
            </w:pPr>
            <w:r>
              <w:rPr>
                <w:sz w:val="22"/>
              </w:rPr>
              <w:t>6,000</w:t>
            </w:r>
          </w:p>
          <w:p>
            <w:pPr>
              <w:pStyle w:val="Normal"/>
              <w:rPr>
                <w:sz w:val="22"/>
              </w:rPr>
            </w:pPr>
            <w:r>
              <w:rPr>
                <w:sz w:val="22"/>
              </w:rPr>
              <w:t>6,000</w:t>
            </w:r>
          </w:p>
          <w:p>
            <w:pPr>
              <w:pStyle w:val="Normal"/>
              <w:rPr>
                <w:sz w:val="22"/>
              </w:rPr>
            </w:pPr>
            <w:r>
              <w:rPr>
                <w:sz w:val="22"/>
              </w:rPr>
            </w:r>
          </w:p>
        </w:tc>
        <w:tc>
          <w:tcPr>
            <w:tcW w:w="990" w:type="dxa"/>
            <w:tcBorders>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t>56,500</w:t>
            </w:r>
          </w:p>
          <w:p>
            <w:pPr>
              <w:pStyle w:val="Normal"/>
              <w:ind w:end="72"/>
              <w:rPr>
                <w:sz w:val="22"/>
              </w:rPr>
            </w:pPr>
            <w:r>
              <w:rPr>
                <w:sz w:val="22"/>
              </w:rPr>
            </w:r>
          </w:p>
          <w:p>
            <w:pPr>
              <w:pStyle w:val="Normal"/>
              <w:ind w:end="72"/>
              <w:rPr>
                <w:sz w:val="22"/>
              </w:rPr>
            </w:pPr>
            <w:r>
              <w:rPr>
                <w:sz w:val="22"/>
              </w:rPr>
            </w:r>
          </w:p>
          <w:p>
            <w:pPr>
              <w:pStyle w:val="Normal"/>
              <w:ind w:end="72"/>
              <w:rPr>
                <w:sz w:val="22"/>
              </w:rPr>
            </w:pPr>
            <w:r>
              <w:rPr>
                <w:sz w:val="22"/>
              </w:rPr>
            </w:r>
          </w:p>
          <w:p>
            <w:pPr>
              <w:pStyle w:val="Normal"/>
              <w:ind w:end="72"/>
              <w:rPr>
                <w:sz w:val="22"/>
              </w:rPr>
            </w:pPr>
            <w:r>
              <w:rPr>
                <w:sz w:val="22"/>
              </w:rPr>
            </w:r>
          </w:p>
          <w:p>
            <w:pPr>
              <w:pStyle w:val="Normal"/>
              <w:ind w:end="-18"/>
              <w:rPr>
                <w:sz w:val="22"/>
              </w:rPr>
            </w:pPr>
            <w:r>
              <w:rPr>
                <w:sz w:val="22"/>
              </w:rPr>
            </w:r>
          </w:p>
          <w:p>
            <w:pPr>
              <w:pStyle w:val="Normal"/>
              <w:ind w:end="-18"/>
              <w:rPr>
                <w:sz w:val="22"/>
              </w:rPr>
            </w:pPr>
            <w:r>
              <w:rPr>
                <w:sz w:val="22"/>
              </w:rPr>
            </w:r>
          </w:p>
          <w:p>
            <w:pPr>
              <w:pStyle w:val="Normal"/>
              <w:ind w:end="-18"/>
              <w:rPr>
                <w:sz w:val="22"/>
              </w:rPr>
            </w:pPr>
            <w:r>
              <w:rPr>
                <w:sz w:val="22"/>
              </w:rPr>
              <w:t>24,000</w:t>
            </w:r>
          </w:p>
        </w:tc>
        <w:tc>
          <w:tcPr>
            <w:tcW w:w="990" w:type="dxa"/>
            <w:tcBorders>
              <w:start w:val="single" w:sz="4" w:space="0" w:color="000000"/>
              <w:bottom w:val="single" w:sz="4" w:space="0" w:color="000000"/>
              <w:end w:val="double" w:sz="4" w:space="0" w:color="000000"/>
            </w:tcBorders>
          </w:tcPr>
          <w:p>
            <w:pPr>
              <w:pStyle w:val="Normal"/>
              <w:snapToGrid w:val="false"/>
              <w:rPr>
                <w:sz w:val="22"/>
              </w:rPr>
            </w:pPr>
            <w:r>
              <w:rPr>
                <w:sz w:val="22"/>
              </w:rPr>
            </w:r>
          </w:p>
          <w:p>
            <w:pPr>
              <w:pStyle w:val="Normal"/>
              <w:rPr>
                <w:sz w:val="22"/>
              </w:rPr>
            </w:pPr>
            <w:r>
              <w:rPr>
                <w:sz w:val="22"/>
              </w:rPr>
              <w:t>71.6%</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28.4%</w:t>
            </w:r>
          </w:p>
        </w:tc>
      </w:tr>
      <w:tr>
        <w:trPr/>
        <w:tc>
          <w:tcPr>
            <w:tcW w:w="3150" w:type="dxa"/>
            <w:tcBorders>
              <w:start w:val="double" w:sz="4" w:space="0" w:color="000000"/>
              <w:bottom w:val="double" w:sz="4" w:space="0" w:color="000000"/>
              <w:end w:val="single" w:sz="4" w:space="0" w:color="000000"/>
            </w:tcBorders>
          </w:tcPr>
          <w:p>
            <w:pPr>
              <w:pStyle w:val="Normal"/>
              <w:spacing w:before="120" w:after="120"/>
              <w:rPr>
                <w:b/>
                <w:sz w:val="22"/>
              </w:rPr>
            </w:pPr>
            <w:r>
              <w:rPr>
                <w:b/>
                <w:sz w:val="22"/>
              </w:rPr>
              <w:t>Total Uses</w:t>
            </w:r>
          </w:p>
        </w:tc>
        <w:tc>
          <w:tcPr>
            <w:tcW w:w="990" w:type="dxa"/>
            <w:tcBorders>
              <w:start w:val="single" w:sz="4" w:space="0" w:color="000000"/>
              <w:bottom w:val="double" w:sz="4" w:space="0" w:color="000000"/>
              <w:end w:val="single" w:sz="4" w:space="0" w:color="000000"/>
            </w:tcBorders>
          </w:tcPr>
          <w:p>
            <w:pPr>
              <w:pStyle w:val="Normal"/>
              <w:snapToGrid w:val="false"/>
              <w:spacing w:before="120" w:after="120"/>
              <w:ind w:end="72"/>
              <w:rPr>
                <w:b/>
                <w:sz w:val="22"/>
              </w:rPr>
            </w:pPr>
            <w:r>
              <w:rPr>
                <w:b/>
                <w:sz w:val="22"/>
              </w:rPr>
            </w:r>
          </w:p>
        </w:tc>
        <w:tc>
          <w:tcPr>
            <w:tcW w:w="900" w:type="dxa"/>
            <w:tcBorders>
              <w:top w:val="single" w:sz="4" w:space="0" w:color="000000"/>
              <w:start w:val="single" w:sz="4" w:space="0" w:color="000000"/>
              <w:bottom w:val="double" w:sz="4" w:space="0" w:color="000000"/>
              <w:end w:val="double" w:sz="4" w:space="0" w:color="000000"/>
            </w:tcBorders>
          </w:tcPr>
          <w:p>
            <w:pPr>
              <w:pStyle w:val="Normal"/>
              <w:spacing w:before="120" w:after="120"/>
              <w:rPr>
                <w:b/>
                <w:sz w:val="22"/>
              </w:rPr>
            </w:pPr>
            <w:r>
              <w:rPr>
                <w:b/>
                <w:sz w:val="22"/>
              </w:rPr>
              <w:t>80,500</w:t>
            </w:r>
          </w:p>
        </w:tc>
        <w:tc>
          <w:tcPr>
            <w:tcW w:w="1980" w:type="dxa"/>
            <w:tcBorders>
              <w:top w:val="single" w:sz="4" w:space="0" w:color="000000"/>
              <w:bottom w:val="double" w:sz="4" w:space="0" w:color="000000"/>
              <w:end w:val="single" w:sz="4" w:space="0" w:color="000000"/>
            </w:tcBorders>
          </w:tcPr>
          <w:p>
            <w:pPr>
              <w:pStyle w:val="Normal"/>
              <w:spacing w:before="120" w:after="120"/>
              <w:rPr>
                <w:b/>
                <w:sz w:val="22"/>
              </w:rPr>
            </w:pPr>
            <w:r>
              <w:rPr>
                <w:b/>
                <w:sz w:val="22"/>
              </w:rPr>
              <w:t>Total Sources</w:t>
            </w:r>
          </w:p>
        </w:tc>
        <w:tc>
          <w:tcPr>
            <w:tcW w:w="900" w:type="dxa"/>
            <w:tcBorders>
              <w:top w:val="single" w:sz="4" w:space="0" w:color="000000"/>
              <w:start w:val="single" w:sz="4" w:space="0" w:color="000000"/>
              <w:bottom w:val="double" w:sz="4" w:space="0" w:color="000000"/>
              <w:end w:val="single" w:sz="4" w:space="0" w:color="000000"/>
            </w:tcBorders>
          </w:tcPr>
          <w:p>
            <w:pPr>
              <w:pStyle w:val="Normal"/>
              <w:snapToGrid w:val="false"/>
              <w:spacing w:before="120" w:after="120"/>
              <w:ind w:end="72"/>
              <w:rPr>
                <w:b/>
                <w:sz w:val="22"/>
              </w:rPr>
            </w:pPr>
            <w:r>
              <w:rPr>
                <w:b/>
                <w:sz w:val="22"/>
              </w:rPr>
            </w:r>
          </w:p>
        </w:tc>
        <w:tc>
          <w:tcPr>
            <w:tcW w:w="990" w:type="dxa"/>
            <w:tcBorders>
              <w:top w:val="single" w:sz="4" w:space="0" w:color="000000"/>
              <w:start w:val="single" w:sz="4" w:space="0" w:color="000000"/>
              <w:bottom w:val="double" w:sz="4" w:space="0" w:color="000000"/>
              <w:end w:val="single" w:sz="4" w:space="0" w:color="000000"/>
            </w:tcBorders>
          </w:tcPr>
          <w:p>
            <w:pPr>
              <w:pStyle w:val="Normal"/>
              <w:spacing w:before="120" w:after="120"/>
              <w:rPr>
                <w:b/>
                <w:sz w:val="22"/>
              </w:rPr>
            </w:pPr>
            <w:r>
              <w:rPr>
                <w:b/>
                <w:sz w:val="22"/>
              </w:rPr>
              <w:t>80,500</w:t>
            </w:r>
          </w:p>
        </w:tc>
        <w:tc>
          <w:tcPr>
            <w:tcW w:w="990" w:type="dxa"/>
            <w:tcBorders>
              <w:top w:val="single" w:sz="4" w:space="0" w:color="000000"/>
              <w:start w:val="single" w:sz="4" w:space="0" w:color="000000"/>
              <w:bottom w:val="double" w:sz="4" w:space="0" w:color="000000"/>
              <w:end w:val="double" w:sz="4" w:space="0" w:color="000000"/>
            </w:tcBorders>
          </w:tcPr>
          <w:p>
            <w:pPr>
              <w:pStyle w:val="Normal"/>
              <w:spacing w:before="120" w:after="120"/>
              <w:rPr>
                <w:b/>
                <w:sz w:val="22"/>
              </w:rPr>
            </w:pPr>
            <w:r>
              <w:rPr>
                <w:b/>
                <w:sz w:val="22"/>
              </w:rPr>
              <w:t>100.0%</w:t>
            </w:r>
          </w:p>
        </w:tc>
      </w:tr>
    </w:tbl>
    <w:p>
      <w:pPr>
        <w:pStyle w:val="Header"/>
        <w:tabs>
          <w:tab w:val="clear" w:pos="4493"/>
          <w:tab w:val="clear" w:pos="9000"/>
        </w:tabs>
        <w:ind w:hanging="426" w:start="426" w:end="0"/>
        <w:rPr>
          <w:lang w:val="en-US"/>
        </w:rPr>
      </w:pPr>
      <w:r>
        <w:rPr>
          <w:lang w:val="en-US"/>
        </w:rPr>
      </w:r>
    </w:p>
    <w:p>
      <w:pPr>
        <w:pStyle w:val="Header"/>
        <w:tabs>
          <w:tab w:val="clear" w:pos="4493"/>
          <w:tab w:val="clear" w:pos="9000"/>
        </w:tabs>
        <w:spacing w:before="0" w:after="240"/>
        <w:rPr>
          <w:lang w:val="en-US"/>
        </w:rPr>
      </w:pPr>
      <w:r>
        <w:rPr>
          <w:lang w:val="en-US"/>
        </w:rPr>
        <w:t>The equity contributions are allocated as follows:</w:t>
      </w:r>
    </w:p>
    <w:p>
      <w:pPr>
        <w:pStyle w:val="Header"/>
        <w:numPr>
          <w:ilvl w:val="0"/>
          <w:numId w:val="2"/>
        </w:numPr>
        <w:tabs>
          <w:tab w:val="clear" w:pos="4493"/>
          <w:tab w:val="clear" w:pos="9000"/>
        </w:tabs>
        <w:spacing w:before="0" w:after="240"/>
        <w:ind w:hanging="360" w:start="720" w:end="0"/>
        <w:rPr>
          <w:lang w:val="en-US"/>
        </w:rPr>
      </w:pPr>
      <w:r>
        <w:rPr>
          <w:lang w:val="en-US"/>
        </w:rPr>
        <w:t>ENA</w:t>
        <w:tab/>
        <w:tab/>
        <w:tab/>
        <w:tab/>
        <w:tab/>
        <w:t xml:space="preserve">$ 6.00m </w:t>
        <w:tab/>
        <w:t>(25%)</w:t>
      </w:r>
    </w:p>
    <w:p>
      <w:pPr>
        <w:pStyle w:val="Header"/>
        <w:numPr>
          <w:ilvl w:val="0"/>
          <w:numId w:val="2"/>
        </w:numPr>
        <w:tabs>
          <w:tab w:val="clear" w:pos="4493"/>
          <w:tab w:val="clear" w:pos="9000"/>
        </w:tabs>
        <w:spacing w:before="0" w:after="240"/>
        <w:ind w:hanging="360" w:start="720" w:end="0"/>
        <w:rPr>
          <w:lang w:val="en-US"/>
        </w:rPr>
      </w:pPr>
      <w:r>
        <w:rPr>
          <w:lang w:val="en-US"/>
        </w:rPr>
        <w:t>JEDI II</w:t>
        <w:tab/>
        <w:tab/>
        <w:tab/>
        <w:tab/>
        <w:tab/>
        <w:t xml:space="preserve">$ 6.00m </w:t>
        <w:tab/>
        <w:t>(25%)</w:t>
      </w:r>
    </w:p>
    <w:p>
      <w:pPr>
        <w:pStyle w:val="Header"/>
        <w:numPr>
          <w:ilvl w:val="0"/>
          <w:numId w:val="2"/>
        </w:numPr>
        <w:tabs>
          <w:tab w:val="clear" w:pos="4493"/>
          <w:tab w:val="clear" w:pos="9000"/>
        </w:tabs>
        <w:spacing w:before="0" w:after="240"/>
        <w:ind w:hanging="360" w:start="720" w:end="0"/>
        <w:rPr>
          <w:lang w:val="en-US"/>
        </w:rPr>
      </w:pPr>
      <w:r>
        <w:rPr>
          <w:lang w:val="en-US"/>
        </w:rPr>
        <w:t>RADR EMP LLC</w:t>
        <w:tab/>
        <w:tab/>
        <w:t xml:space="preserve">$12.00m </w:t>
        <w:tab/>
        <w:t>(50%)</w:t>
      </w:r>
    </w:p>
    <w:p>
      <w:pPr>
        <w:pStyle w:val="Header"/>
        <w:tabs>
          <w:tab w:val="clear" w:pos="4493"/>
          <w:tab w:val="clear" w:pos="9000"/>
        </w:tabs>
        <w:spacing w:before="0" w:after="240"/>
        <w:rPr>
          <w:lang w:val="en-US"/>
        </w:rPr>
      </w:pPr>
      <w:r>
        <w:rPr>
          <w:lang w:val="en-US"/>
        </w:rPr>
        <w:t>RADR EMP, LLC is an investment vehicle comprised of a combination of four high net worth individuals and trusts that have worked with Enron in the past to provide outside equity for Enron projects.</w:t>
      </w:r>
    </w:p>
    <w:p>
      <w:pPr>
        <w:pStyle w:val="heding4"/>
        <w:spacing w:before="0" w:after="240"/>
        <w:rPr/>
      </w:pPr>
      <w:r>
        <w:rPr/>
        <w:t>Also pursuant to the Facility Agreement, ENA is not permitted to directly or indirectly transfer, sell, assign or otherwise dispose of any of its direct or indirect ownership interest which results in either ENA (or Enron) directly or indirectly owning less than 25% of the partnership interests in the Borrower, or ENA (or Enron) ceasing, directly or indirectly, to be the sole managing member of the sole general partner of the Borrower, without majority lender approval.</w:t>
      </w:r>
    </w:p>
    <w:p>
      <w:pPr>
        <w:pStyle w:val="Header"/>
        <w:tabs>
          <w:tab w:val="clear" w:pos="4493"/>
          <w:tab w:val="clear" w:pos="9000"/>
        </w:tabs>
        <w:rPr>
          <w:lang w:val="en-US"/>
        </w:rPr>
      </w:pPr>
      <w:r>
        <w:rPr>
          <w:lang w:val="en-US"/>
        </w:rPr>
        <w:t>ENA has decided to secure the debt service reserve account balance through a corporate guarantee by its parent, Enron Corp.  The Enron surety amounts to a maximum of US$3.5 million (approximately 50% of the highest annual debt service figure during the term in the Base Case of the Financial Model).</w:t>
      </w:r>
    </w:p>
    <w:p>
      <w:pPr>
        <w:pStyle w:val="Heading3"/>
        <w:tabs>
          <w:tab w:val="clear" w:pos="360"/>
          <w:tab w:val="left" w:pos="720" w:leader="none"/>
        </w:tabs>
        <w:spacing w:before="240" w:after="240"/>
        <w:ind w:hanging="0" w:start="0"/>
        <w:rPr>
          <w:rFonts w:ascii="Times New Roman" w:hAnsi="Times New Roman" w:cs="Times New Roman"/>
        </w:rPr>
      </w:pPr>
      <w:bookmarkStart w:id="36" w:name="__RefHeading___Toc482880129"/>
      <w:bookmarkEnd w:id="36"/>
      <w:r>
        <w:rPr/>
        <w:t>Key Terms and Conditions of Senior Debt</w:t>
      </w:r>
    </w:p>
    <w:tbl>
      <w:tblPr>
        <w:tblW w:w="8748" w:type="dxa"/>
        <w:jc w:val="start"/>
        <w:tblInd w:w="0" w:type="dxa"/>
        <w:tblLayout w:type="fixed"/>
        <w:tblCellMar>
          <w:top w:w="0" w:type="dxa"/>
          <w:start w:w="108" w:type="dxa"/>
          <w:bottom w:w="0" w:type="dxa"/>
          <w:end w:w="108" w:type="dxa"/>
        </w:tblCellMar>
      </w:tblPr>
      <w:tblGrid>
        <w:gridCol w:w="2178"/>
        <w:gridCol w:w="450"/>
        <w:gridCol w:w="6120"/>
      </w:tblGrid>
      <w:tr>
        <w:trPr/>
        <w:tc>
          <w:tcPr>
            <w:tcW w:w="2178" w:type="dxa"/>
            <w:tcBorders/>
          </w:tcPr>
          <w:p>
            <w:pPr>
              <w:pStyle w:val="Normal"/>
              <w:rPr>
                <w:b/>
              </w:rPr>
            </w:pPr>
            <w:r>
              <w:rPr>
                <w:b/>
              </w:rPr>
              <w:t>Borrower:</w:t>
            </w:r>
          </w:p>
        </w:tc>
        <w:tc>
          <w:tcPr>
            <w:tcW w:w="450" w:type="dxa"/>
            <w:tcBorders/>
          </w:tcPr>
          <w:p>
            <w:pPr>
              <w:pStyle w:val="Normal"/>
              <w:snapToGrid w:val="false"/>
              <w:rPr>
                <w:b/>
              </w:rPr>
            </w:pPr>
            <w:r>
              <w:rPr>
                <w:b/>
              </w:rPr>
            </w:r>
          </w:p>
        </w:tc>
        <w:tc>
          <w:tcPr>
            <w:tcW w:w="6120" w:type="dxa"/>
            <w:tcBorders/>
          </w:tcPr>
          <w:p>
            <w:pPr>
              <w:pStyle w:val="Normal"/>
              <w:rPr/>
            </w:pPr>
            <w:r>
              <w:rPr/>
              <w:t>Las Vegas Cogeneration Limited Partnership, a Nevada limited partnership, the owner and operator of a 50 MW cogeneration facility located in North Las Vegas, NV (together with all related agreements and facilities, the “Project”).  The General and Limited Partners of the Borrower will be wholly owned subsidiaries of Southwest Power L.L.C., a Delaware limited liability company in which Enron North America Corp. (“ENA”) and its affiliates hold a substantial interest.  Ownership is structured to maintain qualifying facility (“QF”) status</w:t>
            </w:r>
            <w:r>
              <w:rPr>
                <w:b/>
              </w:rPr>
              <w:t xml:space="preserve">.  </w:t>
            </w:r>
          </w:p>
        </w:tc>
      </w:tr>
      <w:tr>
        <w:trPr/>
        <w:tc>
          <w:tcPr>
            <w:tcW w:w="2178" w:type="dxa"/>
            <w:tcBorders/>
          </w:tcPr>
          <w:p>
            <w:pPr>
              <w:pStyle w:val="Normal"/>
              <w:rPr>
                <w:b/>
              </w:rPr>
            </w:pPr>
            <w:r>
              <w:rPr>
                <w:b/>
              </w:rPr>
              <w:t>Underwriter:</w:t>
            </w:r>
          </w:p>
        </w:tc>
        <w:tc>
          <w:tcPr>
            <w:tcW w:w="450" w:type="dxa"/>
            <w:tcBorders/>
          </w:tcPr>
          <w:p>
            <w:pPr>
              <w:pStyle w:val="Normal"/>
              <w:snapToGrid w:val="false"/>
              <w:rPr>
                <w:b/>
              </w:rPr>
            </w:pPr>
            <w:r>
              <w:rPr>
                <w:b/>
              </w:rPr>
            </w:r>
          </w:p>
        </w:tc>
        <w:tc>
          <w:tcPr>
            <w:tcW w:w="6120" w:type="dxa"/>
            <w:tcBorders/>
          </w:tcPr>
          <w:p>
            <w:pPr>
              <w:pStyle w:val="Normal"/>
              <w:rPr/>
            </w:pPr>
            <w:r>
              <w:rPr/>
              <w:t>National Westminster Bank Plc (“NWB”), acting through Greenwich NatWest Structured Finance, Inc. (“GNW”) as Arranger.</w:t>
            </w:r>
          </w:p>
        </w:tc>
      </w:tr>
      <w:tr>
        <w:trPr/>
        <w:tc>
          <w:tcPr>
            <w:tcW w:w="2178" w:type="dxa"/>
            <w:tcBorders/>
          </w:tcPr>
          <w:p>
            <w:pPr>
              <w:pStyle w:val="Normal"/>
              <w:rPr>
                <w:b/>
              </w:rPr>
            </w:pPr>
            <w:r>
              <w:rPr>
                <w:b/>
              </w:rPr>
              <w:t>Lenders:</w:t>
            </w:r>
          </w:p>
        </w:tc>
        <w:tc>
          <w:tcPr>
            <w:tcW w:w="450" w:type="dxa"/>
            <w:tcBorders/>
          </w:tcPr>
          <w:p>
            <w:pPr>
              <w:pStyle w:val="Normal"/>
              <w:snapToGrid w:val="false"/>
              <w:rPr>
                <w:b/>
              </w:rPr>
            </w:pPr>
            <w:r>
              <w:rPr>
                <w:b/>
              </w:rPr>
            </w:r>
          </w:p>
        </w:tc>
        <w:tc>
          <w:tcPr>
            <w:tcW w:w="6120" w:type="dxa"/>
            <w:tcBorders/>
          </w:tcPr>
          <w:p>
            <w:pPr>
              <w:pStyle w:val="Normal"/>
              <w:rPr/>
            </w:pPr>
            <w:r>
              <w:rPr/>
              <w:t>A group of banks to be identified in general syndication.</w:t>
            </w:r>
          </w:p>
        </w:tc>
      </w:tr>
      <w:tr>
        <w:trPr/>
        <w:tc>
          <w:tcPr>
            <w:tcW w:w="2178" w:type="dxa"/>
            <w:tcBorders/>
          </w:tcPr>
          <w:p>
            <w:pPr>
              <w:pStyle w:val="header4"/>
              <w:spacing w:before="0" w:after="240"/>
              <w:rPr/>
            </w:pPr>
            <w:r>
              <w:rPr/>
              <w:t>Agent and LoC Issuing Bank:</w:t>
            </w:r>
          </w:p>
        </w:tc>
        <w:tc>
          <w:tcPr>
            <w:tcW w:w="450" w:type="dxa"/>
            <w:tcBorders/>
          </w:tcPr>
          <w:p>
            <w:pPr>
              <w:pStyle w:val="Normal"/>
              <w:snapToGrid w:val="false"/>
              <w:rPr/>
            </w:pPr>
            <w:r>
              <w:rPr/>
            </w:r>
          </w:p>
        </w:tc>
        <w:tc>
          <w:tcPr>
            <w:tcW w:w="6120" w:type="dxa"/>
            <w:tcBorders/>
          </w:tcPr>
          <w:p>
            <w:pPr>
              <w:pStyle w:val="Normal"/>
              <w:rPr/>
            </w:pPr>
            <w:r>
              <w:rPr/>
              <w:t>NWB.</w:t>
            </w:r>
          </w:p>
        </w:tc>
      </w:tr>
      <w:tr>
        <w:trPr/>
        <w:tc>
          <w:tcPr>
            <w:tcW w:w="2178" w:type="dxa"/>
            <w:tcBorders/>
          </w:tcPr>
          <w:p>
            <w:pPr>
              <w:pStyle w:val="Normal"/>
              <w:rPr>
                <w:b/>
              </w:rPr>
            </w:pPr>
            <w:r>
              <w:rPr>
                <w:b/>
              </w:rPr>
              <w:t>Closing Date:</w:t>
            </w:r>
          </w:p>
        </w:tc>
        <w:tc>
          <w:tcPr>
            <w:tcW w:w="450" w:type="dxa"/>
            <w:tcBorders/>
          </w:tcPr>
          <w:p>
            <w:pPr>
              <w:pStyle w:val="Normal"/>
              <w:snapToGrid w:val="false"/>
              <w:rPr>
                <w:b/>
              </w:rPr>
            </w:pPr>
            <w:r>
              <w:rPr>
                <w:b/>
              </w:rPr>
            </w:r>
          </w:p>
        </w:tc>
        <w:tc>
          <w:tcPr>
            <w:tcW w:w="6120" w:type="dxa"/>
            <w:tcBorders/>
          </w:tcPr>
          <w:p>
            <w:pPr>
              <w:pStyle w:val="Normal"/>
              <w:rPr/>
            </w:pPr>
            <w:r>
              <w:rPr/>
              <w:t>August 31, 1999</w:t>
            </w:r>
            <w:r>
              <w:rPr>
                <w:b/>
              </w:rPr>
              <w:t xml:space="preserve">.   </w:t>
            </w:r>
          </w:p>
        </w:tc>
      </w:tr>
    </w:tbl>
    <w:p>
      <w:pPr>
        <w:pStyle w:val="Normal"/>
        <w:rPr/>
      </w:pPr>
      <w:r>
        <w:rPr/>
      </w:r>
    </w:p>
    <w:p>
      <w:pPr>
        <w:pStyle w:val="Heading4"/>
        <w:spacing w:before="240" w:after="240"/>
        <w:ind w:hanging="0" w:start="0" w:end="0"/>
        <w:rPr>
          <w:rFonts w:ascii="Times New Roman" w:hAnsi="Times New Roman" w:cs="Times New Roman"/>
        </w:rPr>
      </w:pPr>
      <w:bookmarkStart w:id="37" w:name="__RefHeading___Toc482880130"/>
      <w:bookmarkEnd w:id="37"/>
      <w:r>
        <w:rPr>
          <w:rFonts w:cs="Times New Roman" w:ascii="Times New Roman" w:hAnsi="Times New Roman"/>
        </w:rPr>
        <w:t>Term Loan</w:t>
      </w:r>
    </w:p>
    <w:p>
      <w:pPr>
        <w:pStyle w:val="heding4"/>
        <w:rPr>
          <w:rFonts w:ascii="Times New Roman" w:hAnsi="Times New Roman" w:cs="Times New Roman"/>
        </w:rPr>
      </w:pPr>
      <w:r>
        <w:rPr>
          <w:rFonts w:cs="Times New Roman" w:ascii="Times New Roman" w:hAnsi="Times New Roman"/>
        </w:rPr>
      </w:r>
    </w:p>
    <w:tbl>
      <w:tblPr>
        <w:tblW w:w="8748" w:type="dxa"/>
        <w:jc w:val="start"/>
        <w:tblInd w:w="0" w:type="dxa"/>
        <w:tblLayout w:type="fixed"/>
        <w:tblCellMar>
          <w:top w:w="0" w:type="dxa"/>
          <w:start w:w="108" w:type="dxa"/>
          <w:bottom w:w="0" w:type="dxa"/>
          <w:end w:w="108" w:type="dxa"/>
        </w:tblCellMar>
      </w:tblPr>
      <w:tblGrid>
        <w:gridCol w:w="2178"/>
        <w:gridCol w:w="450"/>
        <w:gridCol w:w="3690"/>
        <w:gridCol w:w="2430"/>
      </w:tblGrid>
      <w:tr>
        <w:trPr/>
        <w:tc>
          <w:tcPr>
            <w:tcW w:w="2178" w:type="dxa"/>
            <w:tcBorders/>
          </w:tcPr>
          <w:p>
            <w:pPr>
              <w:pStyle w:val="Normal"/>
              <w:rPr>
                <w:b/>
              </w:rPr>
            </w:pPr>
            <w:r>
              <w:rPr>
                <w:b/>
              </w:rPr>
              <w:t>Amount:</w:t>
            </w:r>
          </w:p>
        </w:tc>
        <w:tc>
          <w:tcPr>
            <w:tcW w:w="450" w:type="dxa"/>
            <w:tcBorders/>
          </w:tcPr>
          <w:p>
            <w:pPr>
              <w:pStyle w:val="Normal"/>
              <w:snapToGrid w:val="false"/>
              <w:rPr>
                <w:b/>
              </w:rPr>
            </w:pPr>
            <w:r>
              <w:rPr>
                <w:b/>
              </w:rPr>
            </w:r>
          </w:p>
        </w:tc>
        <w:tc>
          <w:tcPr>
            <w:tcW w:w="6120" w:type="dxa"/>
            <w:gridSpan w:val="2"/>
            <w:tcBorders/>
          </w:tcPr>
          <w:p>
            <w:pPr>
              <w:pStyle w:val="Normal"/>
              <w:rPr/>
            </w:pPr>
            <w:r>
              <w:rPr/>
              <w:t>$56,500,000</w:t>
            </w:r>
          </w:p>
        </w:tc>
      </w:tr>
      <w:tr>
        <w:trPr/>
        <w:tc>
          <w:tcPr>
            <w:tcW w:w="2178" w:type="dxa"/>
            <w:tcBorders/>
          </w:tcPr>
          <w:p>
            <w:pPr>
              <w:pStyle w:val="Normal"/>
              <w:rPr>
                <w:b/>
              </w:rPr>
            </w:pPr>
            <w:r>
              <w:rPr>
                <w:b/>
              </w:rPr>
              <w:t>Use of Proceeds:</w:t>
            </w:r>
          </w:p>
        </w:tc>
        <w:tc>
          <w:tcPr>
            <w:tcW w:w="450" w:type="dxa"/>
            <w:tcBorders/>
          </w:tcPr>
          <w:p>
            <w:pPr>
              <w:pStyle w:val="Normal"/>
              <w:snapToGrid w:val="false"/>
              <w:rPr>
                <w:b/>
              </w:rPr>
            </w:pPr>
            <w:r>
              <w:rPr>
                <w:b/>
              </w:rPr>
            </w:r>
          </w:p>
        </w:tc>
        <w:tc>
          <w:tcPr>
            <w:tcW w:w="6120" w:type="dxa"/>
            <w:gridSpan w:val="2"/>
            <w:tcBorders/>
          </w:tcPr>
          <w:p>
            <w:pPr>
              <w:pStyle w:val="Normal"/>
              <w:rPr/>
            </w:pPr>
            <w:r>
              <w:rPr/>
              <w:t>Refinance existing indebtedness of the Borrower, finance certain capital improvements agreed prior to the Closing Date (including the purchase of a replacement GE LM 6000 PC gas turbine, as well as certain repairs and modifications to the HRSG), provide initial working capital, and pay transaction costs.</w:t>
            </w:r>
          </w:p>
        </w:tc>
      </w:tr>
      <w:tr>
        <w:trPr/>
        <w:tc>
          <w:tcPr>
            <w:tcW w:w="2178" w:type="dxa"/>
            <w:tcBorders/>
          </w:tcPr>
          <w:p>
            <w:pPr>
              <w:pStyle w:val="Normal"/>
              <w:rPr>
                <w:b/>
              </w:rPr>
            </w:pPr>
            <w:r>
              <w:rPr>
                <w:b/>
              </w:rPr>
              <w:t>Final Maturity Date:</w:t>
            </w:r>
          </w:p>
        </w:tc>
        <w:tc>
          <w:tcPr>
            <w:tcW w:w="450" w:type="dxa"/>
            <w:tcBorders/>
          </w:tcPr>
          <w:p>
            <w:pPr>
              <w:pStyle w:val="Normal"/>
              <w:snapToGrid w:val="false"/>
              <w:rPr>
                <w:b/>
              </w:rPr>
            </w:pPr>
            <w:r>
              <w:rPr>
                <w:b/>
              </w:rPr>
            </w:r>
          </w:p>
        </w:tc>
        <w:tc>
          <w:tcPr>
            <w:tcW w:w="6120" w:type="dxa"/>
            <w:gridSpan w:val="2"/>
            <w:tcBorders/>
          </w:tcPr>
          <w:p>
            <w:pPr>
              <w:pStyle w:val="Normal"/>
              <w:rPr/>
            </w:pPr>
            <w:r>
              <w:rPr/>
              <w:t>September 30, 2009 (10 years and 1 month).</w:t>
            </w:r>
          </w:p>
        </w:tc>
      </w:tr>
      <w:tr>
        <w:trPr/>
        <w:tc>
          <w:tcPr>
            <w:tcW w:w="2178" w:type="dxa"/>
            <w:tcBorders/>
          </w:tcPr>
          <w:p>
            <w:pPr>
              <w:pStyle w:val="Normal"/>
              <w:rPr>
                <w:b/>
              </w:rPr>
            </w:pPr>
            <w:r>
              <w:rPr>
                <w:b/>
              </w:rPr>
              <w:t>Interest:</w:t>
            </w:r>
          </w:p>
        </w:tc>
        <w:tc>
          <w:tcPr>
            <w:tcW w:w="450" w:type="dxa"/>
            <w:tcBorders/>
          </w:tcPr>
          <w:p>
            <w:pPr>
              <w:pStyle w:val="Normal"/>
              <w:snapToGrid w:val="false"/>
              <w:rPr>
                <w:b/>
              </w:rPr>
            </w:pPr>
            <w:r>
              <w:rPr>
                <w:b/>
              </w:rPr>
            </w:r>
          </w:p>
        </w:tc>
        <w:tc>
          <w:tcPr>
            <w:tcW w:w="6120" w:type="dxa"/>
            <w:gridSpan w:val="2"/>
            <w:tcBorders/>
          </w:tcPr>
          <w:p>
            <w:pPr>
              <w:pStyle w:val="Normal"/>
              <w:rPr/>
            </w:pPr>
            <w:r>
              <w:rPr/>
              <w:t>(a)  LIBOR plus:</w:t>
            </w:r>
          </w:p>
        </w:tc>
      </w:tr>
      <w:tr>
        <w:trPr/>
        <w:tc>
          <w:tcPr>
            <w:tcW w:w="2178" w:type="dxa"/>
            <w:tcBorders/>
          </w:tcPr>
          <w:p>
            <w:pPr>
              <w:pStyle w:val="Normal"/>
              <w:snapToGrid w:val="false"/>
              <w:rPr>
                <w:b/>
              </w:rPr>
            </w:pPr>
            <w:r>
              <w:rPr>
                <w:b/>
              </w:rPr>
            </w:r>
          </w:p>
        </w:tc>
        <w:tc>
          <w:tcPr>
            <w:tcW w:w="450" w:type="dxa"/>
            <w:tcBorders/>
          </w:tcPr>
          <w:p>
            <w:pPr>
              <w:pStyle w:val="Normal"/>
              <w:rPr>
                <w:rFonts w:eastAsia="TimesNewRoman"/>
              </w:rPr>
            </w:pPr>
            <w:r>
              <w:rPr>
                <w:rFonts w:eastAsia="TimesNewRoman"/>
              </w:rPr>
              <w:t xml:space="preserve"> </w:t>
            </w:r>
          </w:p>
        </w:tc>
        <w:tc>
          <w:tcPr>
            <w:tcW w:w="3690" w:type="dxa"/>
            <w:tcBorders/>
          </w:tcPr>
          <w:p>
            <w:pPr>
              <w:pStyle w:val="Normal"/>
              <w:rPr/>
            </w:pPr>
            <w:r>
              <w:rPr/>
              <w:t xml:space="preserve">From Closing Date to 30-Sep-02:   </w:t>
            </w:r>
          </w:p>
          <w:p>
            <w:pPr>
              <w:pStyle w:val="Normal"/>
              <w:rPr/>
            </w:pPr>
            <w:r>
              <w:rPr/>
              <w:t>From 01-Oct-02 to 30-Sep-05:</w:t>
            </w:r>
          </w:p>
          <w:p>
            <w:pPr>
              <w:pStyle w:val="Normal"/>
              <w:rPr/>
            </w:pPr>
            <w:r>
              <w:rPr/>
              <w:t xml:space="preserve">From 01-Oct-05 to 30-Sep-09:   </w:t>
            </w:r>
          </w:p>
        </w:tc>
        <w:tc>
          <w:tcPr>
            <w:tcW w:w="2430" w:type="dxa"/>
            <w:tcBorders/>
          </w:tcPr>
          <w:p>
            <w:pPr>
              <w:pStyle w:val="Normal"/>
              <w:rPr/>
            </w:pPr>
            <w:r>
              <w:rPr/>
              <w:t>1.125%</w:t>
            </w:r>
          </w:p>
          <w:p>
            <w:pPr>
              <w:pStyle w:val="Normal"/>
              <w:rPr/>
            </w:pPr>
            <w:r>
              <w:rPr/>
              <w:t>1.375%</w:t>
            </w:r>
          </w:p>
          <w:p>
            <w:pPr>
              <w:pStyle w:val="Normal"/>
              <w:rPr>
                <w:b/>
                <w:i/>
                <w:i/>
              </w:rPr>
            </w:pPr>
            <w:r>
              <w:rPr/>
              <w:t>1.625%</w:t>
            </w:r>
          </w:p>
        </w:tc>
      </w:tr>
      <w:tr>
        <w:trPr>
          <w:trHeight w:val="108" w:hRule="atLeast"/>
        </w:trPr>
        <w:tc>
          <w:tcPr>
            <w:tcW w:w="2178" w:type="dxa"/>
            <w:tcBorders/>
          </w:tcPr>
          <w:p>
            <w:pPr>
              <w:pStyle w:val="header4"/>
              <w:snapToGrid w:val="false"/>
              <w:spacing w:before="0" w:after="0"/>
              <w:rPr>
                <w:b/>
                <w:i/>
                <w:i/>
              </w:rPr>
            </w:pPr>
            <w:r>
              <w:rPr>
                <w:b/>
                <w:i/>
              </w:rPr>
            </w:r>
          </w:p>
        </w:tc>
        <w:tc>
          <w:tcPr>
            <w:tcW w:w="450" w:type="dxa"/>
            <w:tcBorders/>
          </w:tcPr>
          <w:p>
            <w:pPr>
              <w:pStyle w:val="Normal"/>
              <w:snapToGrid w:val="false"/>
              <w:rPr/>
            </w:pPr>
            <w:r>
              <w:rPr/>
            </w:r>
          </w:p>
        </w:tc>
        <w:tc>
          <w:tcPr>
            <w:tcW w:w="6120" w:type="dxa"/>
            <w:gridSpan w:val="2"/>
            <w:tcBorders/>
          </w:tcPr>
          <w:p>
            <w:pPr>
              <w:pStyle w:val="Normal"/>
              <w:rPr/>
            </w:pPr>
            <w:r>
              <w:rPr/>
              <w:t>(b)  or Base Rate plus:</w:t>
            </w:r>
          </w:p>
        </w:tc>
      </w:tr>
      <w:tr>
        <w:trPr/>
        <w:tc>
          <w:tcPr>
            <w:tcW w:w="2178" w:type="dxa"/>
            <w:tcBorders/>
          </w:tcPr>
          <w:p>
            <w:pPr>
              <w:pStyle w:val="Normal"/>
              <w:snapToGrid w:val="false"/>
              <w:rPr>
                <w:b/>
              </w:rPr>
            </w:pPr>
            <w:r>
              <w:rPr>
                <w:b/>
              </w:rPr>
            </w:r>
          </w:p>
        </w:tc>
        <w:tc>
          <w:tcPr>
            <w:tcW w:w="450" w:type="dxa"/>
            <w:tcBorders/>
          </w:tcPr>
          <w:p>
            <w:pPr>
              <w:pStyle w:val="Normal"/>
              <w:snapToGrid w:val="false"/>
              <w:rPr>
                <w:b/>
              </w:rPr>
            </w:pPr>
            <w:r>
              <w:rPr>
                <w:b/>
              </w:rPr>
            </w:r>
          </w:p>
        </w:tc>
        <w:tc>
          <w:tcPr>
            <w:tcW w:w="3690" w:type="dxa"/>
            <w:tcBorders/>
          </w:tcPr>
          <w:p>
            <w:pPr>
              <w:pStyle w:val="BodyText2"/>
              <w:rPr>
                <w:rFonts w:ascii="Times New Roman" w:hAnsi="Times New Roman" w:cs="Times New Roman"/>
                <w:lang w:val="en-US"/>
              </w:rPr>
            </w:pPr>
            <w:r>
              <w:rPr>
                <w:rFonts w:cs="Times New Roman" w:ascii="Times New Roman" w:hAnsi="Times New Roman"/>
                <w:lang w:val="en-US"/>
              </w:rPr>
              <w:t xml:space="preserve">From Closing Date to 30-Sep-02:   </w:t>
            </w:r>
          </w:p>
          <w:p>
            <w:pPr>
              <w:pStyle w:val="Normal"/>
              <w:rPr/>
            </w:pPr>
            <w:r>
              <w:rPr/>
              <w:t>From 01-Oct-02 to 30-Sep-05:</w:t>
            </w:r>
          </w:p>
          <w:p>
            <w:pPr>
              <w:pStyle w:val="Normal"/>
              <w:rPr/>
            </w:pPr>
            <w:r>
              <w:rPr/>
              <w:t xml:space="preserve">From 01-Oct-05 to 30-Sep-09:   </w:t>
            </w:r>
          </w:p>
        </w:tc>
        <w:tc>
          <w:tcPr>
            <w:tcW w:w="2430" w:type="dxa"/>
            <w:tcBorders/>
          </w:tcPr>
          <w:p>
            <w:pPr>
              <w:pStyle w:val="Normal"/>
              <w:rPr/>
            </w:pPr>
            <w:r>
              <w:rPr/>
              <w:t>0.375%</w:t>
            </w:r>
          </w:p>
          <w:p>
            <w:pPr>
              <w:pStyle w:val="Normal"/>
              <w:rPr/>
            </w:pPr>
            <w:r>
              <w:rPr/>
              <w:t>0.625%</w:t>
            </w:r>
          </w:p>
          <w:p>
            <w:pPr>
              <w:pStyle w:val="Normal"/>
              <w:rPr/>
            </w:pPr>
            <w:r>
              <w:rPr/>
              <w:t>0.875%</w:t>
            </w:r>
          </w:p>
        </w:tc>
      </w:tr>
      <w:tr>
        <w:trPr/>
        <w:tc>
          <w:tcPr>
            <w:tcW w:w="2178" w:type="dxa"/>
            <w:tcBorders/>
          </w:tcPr>
          <w:p>
            <w:pPr>
              <w:pStyle w:val="Normal"/>
              <w:snapToGrid w:val="false"/>
              <w:rPr>
                <w:b/>
              </w:rPr>
            </w:pPr>
            <w:r>
              <w:rPr>
                <w:b/>
              </w:rPr>
            </w:r>
          </w:p>
        </w:tc>
        <w:tc>
          <w:tcPr>
            <w:tcW w:w="450" w:type="dxa"/>
            <w:tcBorders/>
          </w:tcPr>
          <w:p>
            <w:pPr>
              <w:pStyle w:val="Normal"/>
              <w:snapToGrid w:val="false"/>
              <w:rPr>
                <w:b/>
              </w:rPr>
            </w:pPr>
            <w:r>
              <w:rPr>
                <w:b/>
              </w:rPr>
            </w:r>
          </w:p>
        </w:tc>
        <w:tc>
          <w:tcPr>
            <w:tcW w:w="6120" w:type="dxa"/>
            <w:gridSpan w:val="2"/>
            <w:tcBorders/>
          </w:tcPr>
          <w:p>
            <w:pPr>
              <w:pStyle w:val="Normal"/>
              <w:rPr/>
            </w:pPr>
            <w:r>
              <w:rPr/>
              <w:t xml:space="preserve">The Borrower shall purchase interest rate protection in a manner mutually acceptable to Arranger, Agent and Borrower. </w:t>
            </w:r>
          </w:p>
        </w:tc>
      </w:tr>
      <w:tr>
        <w:trPr>
          <w:trHeight w:val="1256" w:hRule="atLeast"/>
        </w:trPr>
        <w:tc>
          <w:tcPr>
            <w:tcW w:w="2178" w:type="dxa"/>
            <w:tcBorders/>
          </w:tcPr>
          <w:p>
            <w:pPr>
              <w:pStyle w:val="Normal"/>
              <w:rPr>
                <w:b/>
              </w:rPr>
            </w:pPr>
            <w:r>
              <w:rPr>
                <w:b/>
              </w:rPr>
              <w:t>Principal Amortization and Interest Payments:</w:t>
            </w:r>
          </w:p>
        </w:tc>
        <w:tc>
          <w:tcPr>
            <w:tcW w:w="450" w:type="dxa"/>
            <w:tcBorders/>
          </w:tcPr>
          <w:p>
            <w:pPr>
              <w:pStyle w:val="Normal"/>
              <w:snapToGrid w:val="false"/>
              <w:rPr>
                <w:b/>
              </w:rPr>
            </w:pPr>
            <w:r>
              <w:rPr>
                <w:b/>
              </w:rPr>
            </w:r>
          </w:p>
        </w:tc>
        <w:tc>
          <w:tcPr>
            <w:tcW w:w="6120" w:type="dxa"/>
            <w:gridSpan w:val="2"/>
            <w:tcBorders/>
          </w:tcPr>
          <w:p>
            <w:pPr>
              <w:pStyle w:val="Normal"/>
              <w:rPr/>
            </w:pPr>
            <w:r>
              <w:rPr/>
              <w:t>Scheduled quarterly amortization of principal as per Exhibit A, with a bullet payment of remaining principal due and payable on the Final Maturity Date.  Interest payable at the end of each interest period, but in any case, no less frequently than quarterly.</w:t>
            </w:r>
          </w:p>
        </w:tc>
      </w:tr>
    </w:tbl>
    <w:p>
      <w:pPr>
        <w:pStyle w:val="Normal"/>
        <w:rPr/>
      </w:pPr>
      <w:r>
        <w:rPr/>
      </w:r>
    </w:p>
    <w:p>
      <w:pPr>
        <w:pStyle w:val="Heading4"/>
        <w:ind w:hanging="0" w:start="0"/>
        <w:rPr/>
      </w:pPr>
      <w:bookmarkStart w:id="38" w:name="__RefHeading___Toc482880131"/>
      <w:bookmarkEnd w:id="38"/>
      <w:r>
        <w:rPr/>
        <w:t>Standby Letter Of Credit – Southwest Gas</w:t>
      </w:r>
    </w:p>
    <w:tbl>
      <w:tblPr>
        <w:tblW w:w="8748" w:type="dxa"/>
        <w:jc w:val="start"/>
        <w:tblInd w:w="0" w:type="dxa"/>
        <w:tblLayout w:type="fixed"/>
        <w:tblCellMar>
          <w:top w:w="0" w:type="dxa"/>
          <w:start w:w="108" w:type="dxa"/>
          <w:bottom w:w="0" w:type="dxa"/>
          <w:end w:w="108" w:type="dxa"/>
        </w:tblCellMar>
      </w:tblPr>
      <w:tblGrid>
        <w:gridCol w:w="2178"/>
        <w:gridCol w:w="450"/>
        <w:gridCol w:w="6120"/>
      </w:tblGrid>
      <w:tr>
        <w:trPr/>
        <w:tc>
          <w:tcPr>
            <w:tcW w:w="2178" w:type="dxa"/>
            <w:tcBorders/>
          </w:tcPr>
          <w:p>
            <w:pPr>
              <w:pStyle w:val="Normal"/>
              <w:rPr>
                <w:b/>
              </w:rPr>
            </w:pPr>
            <w:r>
              <w:rPr>
                <w:b/>
              </w:rPr>
              <w:t>Beneficiary:</w:t>
            </w:r>
          </w:p>
        </w:tc>
        <w:tc>
          <w:tcPr>
            <w:tcW w:w="450" w:type="dxa"/>
            <w:tcBorders/>
          </w:tcPr>
          <w:p>
            <w:pPr>
              <w:pStyle w:val="Normal"/>
              <w:snapToGrid w:val="false"/>
              <w:rPr>
                <w:b/>
                <w:smallCaps/>
              </w:rPr>
            </w:pPr>
            <w:r>
              <w:rPr>
                <w:b/>
                <w:smallCaps/>
              </w:rPr>
            </w:r>
          </w:p>
        </w:tc>
        <w:tc>
          <w:tcPr>
            <w:tcW w:w="6120" w:type="dxa"/>
            <w:tcBorders/>
          </w:tcPr>
          <w:p>
            <w:pPr>
              <w:pStyle w:val="Normal"/>
              <w:rPr/>
            </w:pPr>
            <w:r>
              <w:rPr/>
              <w:t>Southwest Gas Corporation (“Southwest Gas”)</w:t>
            </w:r>
          </w:p>
        </w:tc>
      </w:tr>
      <w:tr>
        <w:trPr/>
        <w:tc>
          <w:tcPr>
            <w:tcW w:w="2178" w:type="dxa"/>
            <w:tcBorders/>
          </w:tcPr>
          <w:p>
            <w:pPr>
              <w:pStyle w:val="Normal"/>
              <w:rPr>
                <w:b/>
              </w:rPr>
            </w:pPr>
            <w:r>
              <w:rPr>
                <w:b/>
              </w:rPr>
              <w:t>Initial Face Amount:</w:t>
            </w:r>
          </w:p>
        </w:tc>
        <w:tc>
          <w:tcPr>
            <w:tcW w:w="450" w:type="dxa"/>
            <w:tcBorders/>
          </w:tcPr>
          <w:p>
            <w:pPr>
              <w:pStyle w:val="Normal"/>
              <w:snapToGrid w:val="false"/>
              <w:rPr>
                <w:b/>
              </w:rPr>
            </w:pPr>
            <w:r>
              <w:rPr>
                <w:b/>
              </w:rPr>
            </w:r>
          </w:p>
        </w:tc>
        <w:tc>
          <w:tcPr>
            <w:tcW w:w="6120" w:type="dxa"/>
            <w:tcBorders/>
          </w:tcPr>
          <w:p>
            <w:pPr>
              <w:pStyle w:val="Normal"/>
              <w:rPr/>
            </w:pPr>
            <w:r>
              <w:rPr/>
              <w:t>$888,896</w:t>
            </w:r>
          </w:p>
        </w:tc>
      </w:tr>
      <w:tr>
        <w:trPr/>
        <w:tc>
          <w:tcPr>
            <w:tcW w:w="2178" w:type="dxa"/>
            <w:tcBorders/>
          </w:tcPr>
          <w:p>
            <w:pPr>
              <w:pStyle w:val="Normal"/>
              <w:rPr>
                <w:b/>
              </w:rPr>
            </w:pPr>
            <w:r>
              <w:rPr>
                <w:b/>
              </w:rPr>
              <w:t>Purpose:</w:t>
            </w:r>
          </w:p>
        </w:tc>
        <w:tc>
          <w:tcPr>
            <w:tcW w:w="450" w:type="dxa"/>
            <w:tcBorders/>
          </w:tcPr>
          <w:p>
            <w:pPr>
              <w:pStyle w:val="BodyTextIndent"/>
              <w:snapToGrid w:val="false"/>
              <w:rPr>
                <w:b/>
              </w:rPr>
            </w:pPr>
            <w:r>
              <w:rPr>
                <w:b/>
              </w:rPr>
            </w:r>
          </w:p>
        </w:tc>
        <w:tc>
          <w:tcPr>
            <w:tcW w:w="6120" w:type="dxa"/>
            <w:tcBorders/>
          </w:tcPr>
          <w:p>
            <w:pPr>
              <w:pStyle w:val="BodyTextIndent"/>
              <w:ind w:start="0" w:end="0"/>
              <w:rPr/>
            </w:pPr>
            <w:r>
              <w:rPr/>
              <w:t>To assure Southwest Gas of the Borrower’s performance under the Southwest Gas Transportation Agreement, specifically the recovery by Southwest Gas of capital costs incurred by it in constructing a spur pipeline from the interconnection with the Kern River Gas Transmission system to the Project site.</w:t>
            </w:r>
          </w:p>
        </w:tc>
      </w:tr>
      <w:tr>
        <w:trPr/>
        <w:tc>
          <w:tcPr>
            <w:tcW w:w="2178" w:type="dxa"/>
            <w:tcBorders/>
          </w:tcPr>
          <w:p>
            <w:pPr>
              <w:pStyle w:val="Normal"/>
              <w:rPr>
                <w:b/>
              </w:rPr>
            </w:pPr>
            <w:r>
              <w:rPr>
                <w:b/>
              </w:rPr>
              <w:t>Term:</w:t>
            </w:r>
          </w:p>
        </w:tc>
        <w:tc>
          <w:tcPr>
            <w:tcW w:w="450" w:type="dxa"/>
            <w:tcBorders/>
          </w:tcPr>
          <w:p>
            <w:pPr>
              <w:pStyle w:val="Normal"/>
              <w:snapToGrid w:val="false"/>
              <w:rPr>
                <w:b/>
              </w:rPr>
            </w:pPr>
            <w:r>
              <w:rPr>
                <w:b/>
              </w:rPr>
            </w:r>
          </w:p>
        </w:tc>
        <w:tc>
          <w:tcPr>
            <w:tcW w:w="6120" w:type="dxa"/>
            <w:tcBorders/>
          </w:tcPr>
          <w:p>
            <w:pPr>
              <w:pStyle w:val="Normal"/>
              <w:rPr/>
            </w:pPr>
            <w:r>
              <w:rPr/>
              <w:t>3 years.</w:t>
            </w:r>
          </w:p>
        </w:tc>
      </w:tr>
      <w:tr>
        <w:trPr/>
        <w:tc>
          <w:tcPr>
            <w:tcW w:w="2178" w:type="dxa"/>
            <w:tcBorders/>
          </w:tcPr>
          <w:p>
            <w:pPr>
              <w:pStyle w:val="Normal"/>
              <w:rPr>
                <w:b/>
              </w:rPr>
            </w:pPr>
            <w:r>
              <w:rPr>
                <w:b/>
              </w:rPr>
              <w:t>Reduction Schedule:</w:t>
            </w:r>
          </w:p>
        </w:tc>
        <w:tc>
          <w:tcPr>
            <w:tcW w:w="450" w:type="dxa"/>
            <w:tcBorders/>
          </w:tcPr>
          <w:p>
            <w:pPr>
              <w:pStyle w:val="Normal"/>
              <w:snapToGrid w:val="false"/>
              <w:rPr>
                <w:b/>
              </w:rPr>
            </w:pPr>
            <w:r>
              <w:rPr>
                <w:b/>
              </w:rPr>
            </w:r>
          </w:p>
        </w:tc>
        <w:tc>
          <w:tcPr>
            <w:tcW w:w="6120" w:type="dxa"/>
            <w:tcBorders/>
          </w:tcPr>
          <w:p>
            <w:pPr>
              <w:pStyle w:val="Normal"/>
              <w:rPr/>
            </w:pPr>
            <w:r>
              <w:rPr/>
              <w:t>See Exhibit B.</w:t>
            </w:r>
          </w:p>
        </w:tc>
      </w:tr>
      <w:tr>
        <w:trPr/>
        <w:tc>
          <w:tcPr>
            <w:tcW w:w="2178" w:type="dxa"/>
            <w:tcBorders/>
          </w:tcPr>
          <w:p>
            <w:pPr>
              <w:pStyle w:val="Normal"/>
              <w:rPr>
                <w:b/>
              </w:rPr>
            </w:pPr>
            <w:r>
              <w:rPr>
                <w:b/>
              </w:rPr>
              <w:t>Letter of Credit Commission:</w:t>
            </w:r>
          </w:p>
        </w:tc>
        <w:tc>
          <w:tcPr>
            <w:tcW w:w="450" w:type="dxa"/>
            <w:tcBorders/>
          </w:tcPr>
          <w:p>
            <w:pPr>
              <w:pStyle w:val="Normal"/>
              <w:snapToGrid w:val="false"/>
              <w:rPr>
                <w:b/>
              </w:rPr>
            </w:pPr>
            <w:r>
              <w:rPr>
                <w:b/>
              </w:rPr>
            </w:r>
          </w:p>
        </w:tc>
        <w:tc>
          <w:tcPr>
            <w:tcW w:w="6120" w:type="dxa"/>
            <w:tcBorders/>
          </w:tcPr>
          <w:p>
            <w:pPr>
              <w:pStyle w:val="Normal"/>
              <w:rPr/>
            </w:pPr>
            <w:r>
              <w:rPr/>
              <w:t>Same as LIBOR margin on Term Loan.</w:t>
            </w:r>
          </w:p>
        </w:tc>
      </w:tr>
      <w:tr>
        <w:trPr/>
        <w:tc>
          <w:tcPr>
            <w:tcW w:w="2178" w:type="dxa"/>
            <w:tcBorders/>
          </w:tcPr>
          <w:p>
            <w:pPr>
              <w:pStyle w:val="Normal"/>
              <w:rPr>
                <w:b/>
              </w:rPr>
            </w:pPr>
            <w:r>
              <w:rPr>
                <w:b/>
              </w:rPr>
              <w:t>Permitted Draws:</w:t>
            </w:r>
          </w:p>
        </w:tc>
        <w:tc>
          <w:tcPr>
            <w:tcW w:w="450" w:type="dxa"/>
            <w:tcBorders/>
          </w:tcPr>
          <w:p>
            <w:pPr>
              <w:pStyle w:val="Normal"/>
              <w:snapToGrid w:val="false"/>
              <w:rPr>
                <w:b/>
              </w:rPr>
            </w:pPr>
            <w:r>
              <w:rPr>
                <w:b/>
              </w:rPr>
            </w:r>
          </w:p>
        </w:tc>
        <w:tc>
          <w:tcPr>
            <w:tcW w:w="6120" w:type="dxa"/>
            <w:tcBorders/>
          </w:tcPr>
          <w:p>
            <w:pPr>
              <w:pStyle w:val="Normal"/>
              <w:numPr>
                <w:ilvl w:val="0"/>
                <w:numId w:val="13"/>
              </w:numPr>
              <w:rPr/>
            </w:pPr>
            <w:r>
              <w:rPr/>
              <w:t>Upon receipt by the Issuing Bank of a certificate from Southwest Gas stating that it is entitled to draw on the letter of credit because of non-performance by the Borrower under the Southwest Gas Transportation Agreement; or</w:t>
            </w:r>
          </w:p>
          <w:p>
            <w:pPr>
              <w:pStyle w:val="Normal"/>
              <w:rPr/>
            </w:pPr>
            <w:r>
              <w:rPr/>
            </w:r>
          </w:p>
          <w:p>
            <w:pPr>
              <w:pStyle w:val="Normal"/>
              <w:numPr>
                <w:ilvl w:val="0"/>
                <w:numId w:val="5"/>
              </w:numPr>
              <w:rPr/>
            </w:pPr>
            <w:r>
              <w:rPr/>
              <w:t>No more than 30 days prior to its expiry, upon the failure of the Issuing Bank to extend the letter of credit, or of the Borrower to procure a replacement the letter of credit.</w:t>
            </w:r>
          </w:p>
        </w:tc>
      </w:tr>
      <w:tr>
        <w:trPr/>
        <w:tc>
          <w:tcPr>
            <w:tcW w:w="2178" w:type="dxa"/>
            <w:tcBorders/>
          </w:tcPr>
          <w:p>
            <w:pPr>
              <w:pStyle w:val="Normal"/>
              <w:rPr>
                <w:b/>
              </w:rPr>
            </w:pPr>
            <w:r>
              <w:rPr>
                <w:b/>
              </w:rPr>
              <w:t>Post-Draw Interest Rate:</w:t>
            </w:r>
          </w:p>
        </w:tc>
        <w:tc>
          <w:tcPr>
            <w:tcW w:w="450" w:type="dxa"/>
            <w:tcBorders/>
          </w:tcPr>
          <w:p>
            <w:pPr>
              <w:pStyle w:val="Normal"/>
              <w:snapToGrid w:val="false"/>
              <w:rPr>
                <w:b/>
              </w:rPr>
            </w:pPr>
            <w:r>
              <w:rPr>
                <w:b/>
              </w:rPr>
            </w:r>
          </w:p>
        </w:tc>
        <w:tc>
          <w:tcPr>
            <w:tcW w:w="6120" w:type="dxa"/>
            <w:tcBorders/>
          </w:tcPr>
          <w:p>
            <w:pPr>
              <w:pStyle w:val="Normal"/>
              <w:rPr/>
            </w:pPr>
            <w:r>
              <w:rPr/>
              <w:t>Base Rate + 2.0%.</w:t>
            </w:r>
          </w:p>
        </w:tc>
      </w:tr>
      <w:tr>
        <w:trPr/>
        <w:tc>
          <w:tcPr>
            <w:tcW w:w="2178" w:type="dxa"/>
            <w:tcBorders/>
          </w:tcPr>
          <w:p>
            <w:pPr>
              <w:pStyle w:val="Normal"/>
              <w:rPr>
                <w:b/>
              </w:rPr>
            </w:pPr>
            <w:r>
              <w:rPr>
                <w:b/>
              </w:rPr>
              <w:t>Reimbursement Obligation:</w:t>
            </w:r>
          </w:p>
        </w:tc>
        <w:tc>
          <w:tcPr>
            <w:tcW w:w="450" w:type="dxa"/>
            <w:tcBorders/>
          </w:tcPr>
          <w:p>
            <w:pPr>
              <w:pStyle w:val="Normal"/>
              <w:snapToGrid w:val="false"/>
              <w:rPr>
                <w:b/>
              </w:rPr>
            </w:pPr>
            <w:r>
              <w:rPr>
                <w:b/>
              </w:rPr>
            </w:r>
          </w:p>
        </w:tc>
        <w:tc>
          <w:tcPr>
            <w:tcW w:w="6120" w:type="dxa"/>
            <w:tcBorders/>
          </w:tcPr>
          <w:p>
            <w:pPr>
              <w:pStyle w:val="Normal"/>
              <w:rPr/>
            </w:pPr>
            <w:r>
              <w:rPr/>
              <w:t>Upon a draw on the letter of credit, the Borrower shall have the obligation to reimburse the Issuing Bank from 100% of cash flow available immediately prior to the payment of scheduled interest on the Term Loan in the Cash Flow Waterfall.</w:t>
            </w:r>
          </w:p>
        </w:tc>
      </w:tr>
    </w:tbl>
    <w:p>
      <w:pPr>
        <w:pStyle w:val="Normal"/>
        <w:spacing w:before="0" w:after="240"/>
        <w:rPr>
          <w:b/>
        </w:rPr>
      </w:pPr>
      <w:r>
        <w:rPr>
          <w:b/>
        </w:rPr>
      </w:r>
    </w:p>
    <w:p>
      <w:pPr>
        <w:pStyle w:val="Heading4"/>
        <w:ind w:hanging="0" w:start="0"/>
        <w:rPr/>
      </w:pPr>
      <w:bookmarkStart w:id="39" w:name="__RefHeading___Toc482880132"/>
      <w:bookmarkEnd w:id="39"/>
      <w:r>
        <w:rPr/>
        <w:t>Standby Letter Of Credit – Duke Fuels</w:t>
      </w:r>
    </w:p>
    <w:tbl>
      <w:tblPr>
        <w:tblW w:w="8748" w:type="dxa"/>
        <w:jc w:val="start"/>
        <w:tblInd w:w="0" w:type="dxa"/>
        <w:tblLayout w:type="fixed"/>
        <w:tblCellMar>
          <w:top w:w="0" w:type="dxa"/>
          <w:start w:w="108" w:type="dxa"/>
          <w:bottom w:w="0" w:type="dxa"/>
          <w:end w:w="108" w:type="dxa"/>
        </w:tblCellMar>
      </w:tblPr>
      <w:tblGrid>
        <w:gridCol w:w="2178"/>
        <w:gridCol w:w="450"/>
        <w:gridCol w:w="6120"/>
      </w:tblGrid>
      <w:tr>
        <w:trPr/>
        <w:tc>
          <w:tcPr>
            <w:tcW w:w="2178" w:type="dxa"/>
            <w:tcBorders/>
          </w:tcPr>
          <w:p>
            <w:pPr>
              <w:pStyle w:val="Normal"/>
              <w:rPr>
                <w:b/>
              </w:rPr>
            </w:pPr>
            <w:r>
              <w:rPr>
                <w:b/>
              </w:rPr>
              <w:t>Beneficiary:</w:t>
            </w:r>
          </w:p>
        </w:tc>
        <w:tc>
          <w:tcPr>
            <w:tcW w:w="450" w:type="dxa"/>
            <w:tcBorders/>
          </w:tcPr>
          <w:p>
            <w:pPr>
              <w:pStyle w:val="Normal"/>
              <w:snapToGrid w:val="false"/>
              <w:rPr>
                <w:b/>
              </w:rPr>
            </w:pPr>
            <w:r>
              <w:rPr>
                <w:b/>
              </w:rPr>
            </w:r>
          </w:p>
        </w:tc>
        <w:tc>
          <w:tcPr>
            <w:tcW w:w="6120" w:type="dxa"/>
            <w:tcBorders/>
          </w:tcPr>
          <w:p>
            <w:pPr>
              <w:pStyle w:val="Normal"/>
              <w:rPr/>
            </w:pPr>
            <w:r>
              <w:rPr/>
              <w:t>Duke Energy Fuels, L.P. (“Duke Fuels”).</w:t>
            </w:r>
          </w:p>
        </w:tc>
      </w:tr>
      <w:tr>
        <w:trPr/>
        <w:tc>
          <w:tcPr>
            <w:tcW w:w="2178" w:type="dxa"/>
            <w:tcBorders/>
          </w:tcPr>
          <w:p>
            <w:pPr>
              <w:pStyle w:val="Normal"/>
              <w:rPr>
                <w:b/>
              </w:rPr>
            </w:pPr>
            <w:r>
              <w:rPr>
                <w:b/>
              </w:rPr>
              <w:t>Face Amount:</w:t>
            </w:r>
          </w:p>
        </w:tc>
        <w:tc>
          <w:tcPr>
            <w:tcW w:w="450" w:type="dxa"/>
            <w:tcBorders/>
          </w:tcPr>
          <w:p>
            <w:pPr>
              <w:pStyle w:val="Normal"/>
              <w:snapToGrid w:val="false"/>
              <w:rPr>
                <w:b/>
              </w:rPr>
            </w:pPr>
            <w:r>
              <w:rPr>
                <w:b/>
              </w:rPr>
            </w:r>
          </w:p>
        </w:tc>
        <w:tc>
          <w:tcPr>
            <w:tcW w:w="6120" w:type="dxa"/>
            <w:tcBorders/>
          </w:tcPr>
          <w:p>
            <w:pPr>
              <w:pStyle w:val="Normal"/>
              <w:rPr/>
            </w:pPr>
            <w:r>
              <w:rPr/>
              <w:t>$3,000,000</w:t>
            </w:r>
          </w:p>
        </w:tc>
      </w:tr>
      <w:tr>
        <w:trPr>
          <w:trHeight w:val="513" w:hRule="atLeast"/>
        </w:trPr>
        <w:tc>
          <w:tcPr>
            <w:tcW w:w="2178" w:type="dxa"/>
            <w:tcBorders/>
          </w:tcPr>
          <w:p>
            <w:pPr>
              <w:pStyle w:val="Normal"/>
              <w:rPr>
                <w:b/>
              </w:rPr>
            </w:pPr>
            <w:r>
              <w:rPr>
                <w:b/>
              </w:rPr>
              <w:t>Purpose:</w:t>
            </w:r>
          </w:p>
        </w:tc>
        <w:tc>
          <w:tcPr>
            <w:tcW w:w="450" w:type="dxa"/>
            <w:tcBorders/>
          </w:tcPr>
          <w:p>
            <w:pPr>
              <w:pStyle w:val="Normal"/>
              <w:snapToGrid w:val="false"/>
              <w:rPr>
                <w:b/>
              </w:rPr>
            </w:pPr>
            <w:r>
              <w:rPr>
                <w:b/>
              </w:rPr>
            </w:r>
          </w:p>
        </w:tc>
        <w:tc>
          <w:tcPr>
            <w:tcW w:w="6120" w:type="dxa"/>
            <w:tcBorders/>
          </w:tcPr>
          <w:p>
            <w:pPr>
              <w:pStyle w:val="Normal"/>
              <w:rPr/>
            </w:pPr>
            <w:r>
              <w:rPr/>
              <w:t>To assure Duke Fuels of the Borrower’s performance under the Duke Fuels Gas Supply Agreement.</w:t>
            </w:r>
          </w:p>
        </w:tc>
      </w:tr>
      <w:tr>
        <w:trPr/>
        <w:tc>
          <w:tcPr>
            <w:tcW w:w="2178" w:type="dxa"/>
            <w:tcBorders/>
          </w:tcPr>
          <w:p>
            <w:pPr>
              <w:pStyle w:val="Normal"/>
              <w:rPr>
                <w:b/>
              </w:rPr>
            </w:pPr>
            <w:r>
              <w:rPr>
                <w:b/>
              </w:rPr>
              <w:t>Term:</w:t>
            </w:r>
          </w:p>
        </w:tc>
        <w:tc>
          <w:tcPr>
            <w:tcW w:w="450" w:type="dxa"/>
            <w:tcBorders/>
          </w:tcPr>
          <w:p>
            <w:pPr>
              <w:pStyle w:val="Normal"/>
              <w:snapToGrid w:val="false"/>
              <w:rPr>
                <w:b/>
              </w:rPr>
            </w:pPr>
            <w:r>
              <w:rPr>
                <w:b/>
              </w:rPr>
            </w:r>
          </w:p>
        </w:tc>
        <w:tc>
          <w:tcPr>
            <w:tcW w:w="6120" w:type="dxa"/>
            <w:tcBorders/>
          </w:tcPr>
          <w:p>
            <w:pPr>
              <w:pStyle w:val="Normal"/>
              <w:rPr/>
            </w:pPr>
            <w:r>
              <w:rPr/>
              <w:t>3 years, with no interim reductions.</w:t>
            </w:r>
          </w:p>
        </w:tc>
      </w:tr>
      <w:tr>
        <w:trPr/>
        <w:tc>
          <w:tcPr>
            <w:tcW w:w="2178" w:type="dxa"/>
            <w:tcBorders/>
          </w:tcPr>
          <w:p>
            <w:pPr>
              <w:pStyle w:val="Normal"/>
              <w:rPr>
                <w:b/>
              </w:rPr>
            </w:pPr>
            <w:r>
              <w:rPr>
                <w:b/>
              </w:rPr>
              <w:t>Letter of Credit Commission:</w:t>
            </w:r>
          </w:p>
        </w:tc>
        <w:tc>
          <w:tcPr>
            <w:tcW w:w="450" w:type="dxa"/>
            <w:tcBorders/>
          </w:tcPr>
          <w:p>
            <w:pPr>
              <w:pStyle w:val="Normal"/>
              <w:snapToGrid w:val="false"/>
              <w:rPr>
                <w:b/>
              </w:rPr>
            </w:pPr>
            <w:r>
              <w:rPr>
                <w:b/>
              </w:rPr>
            </w:r>
          </w:p>
        </w:tc>
        <w:tc>
          <w:tcPr>
            <w:tcW w:w="6120" w:type="dxa"/>
            <w:tcBorders/>
          </w:tcPr>
          <w:p>
            <w:pPr>
              <w:pStyle w:val="Normal"/>
              <w:rPr/>
            </w:pPr>
            <w:r>
              <w:rPr/>
              <w:t>Same as LIBOR margin on Term Loan.</w:t>
            </w:r>
          </w:p>
        </w:tc>
      </w:tr>
      <w:tr>
        <w:trPr/>
        <w:tc>
          <w:tcPr>
            <w:tcW w:w="2178" w:type="dxa"/>
            <w:tcBorders/>
          </w:tcPr>
          <w:p>
            <w:pPr>
              <w:pStyle w:val="Normal"/>
              <w:rPr>
                <w:b/>
              </w:rPr>
            </w:pPr>
            <w:r>
              <w:rPr>
                <w:b/>
              </w:rPr>
              <w:t>Permitted Draws:</w:t>
            </w:r>
          </w:p>
        </w:tc>
        <w:tc>
          <w:tcPr>
            <w:tcW w:w="450" w:type="dxa"/>
            <w:tcBorders/>
          </w:tcPr>
          <w:p>
            <w:pPr>
              <w:pStyle w:val="Normal"/>
              <w:snapToGrid w:val="false"/>
              <w:rPr>
                <w:b/>
              </w:rPr>
            </w:pPr>
            <w:r>
              <w:rPr>
                <w:b/>
              </w:rPr>
            </w:r>
          </w:p>
        </w:tc>
        <w:tc>
          <w:tcPr>
            <w:tcW w:w="6120" w:type="dxa"/>
            <w:tcBorders/>
          </w:tcPr>
          <w:p>
            <w:pPr>
              <w:pStyle w:val="Normal"/>
              <w:numPr>
                <w:ilvl w:val="0"/>
                <w:numId w:val="13"/>
              </w:numPr>
              <w:rPr/>
            </w:pPr>
            <w:r>
              <w:rPr/>
              <w:t>Upon receipt by the Issuing Bank of a certificate from Duke Fuels stating that it is entitled to draw on the letter of credit because of non-performance by the Borrower under the Duke Fuels Gas Supply Agreement; or</w:t>
            </w:r>
          </w:p>
          <w:p>
            <w:pPr>
              <w:pStyle w:val="Normal"/>
              <w:rPr/>
            </w:pPr>
            <w:r>
              <w:rPr/>
            </w:r>
          </w:p>
          <w:p>
            <w:pPr>
              <w:pStyle w:val="Normal"/>
              <w:numPr>
                <w:ilvl w:val="0"/>
                <w:numId w:val="12"/>
              </w:numPr>
              <w:rPr/>
            </w:pPr>
            <w:r>
              <w:rPr/>
              <w:t>No more than 30 days prior to its expiry, upon the failure of the Issuing Bank to extend the letter of credit, or of the Borrower to procure a replacement the letter of credit.</w:t>
            </w:r>
          </w:p>
        </w:tc>
      </w:tr>
      <w:tr>
        <w:trPr/>
        <w:tc>
          <w:tcPr>
            <w:tcW w:w="2178" w:type="dxa"/>
            <w:tcBorders/>
          </w:tcPr>
          <w:p>
            <w:pPr>
              <w:pStyle w:val="Normal"/>
              <w:rPr>
                <w:b/>
              </w:rPr>
            </w:pPr>
            <w:r>
              <w:rPr>
                <w:b/>
              </w:rPr>
              <w:t>Post-Draw Interest Rate:</w:t>
            </w:r>
          </w:p>
        </w:tc>
        <w:tc>
          <w:tcPr>
            <w:tcW w:w="450" w:type="dxa"/>
            <w:tcBorders/>
          </w:tcPr>
          <w:p>
            <w:pPr>
              <w:pStyle w:val="Normal"/>
              <w:snapToGrid w:val="false"/>
              <w:rPr>
                <w:b/>
              </w:rPr>
            </w:pPr>
            <w:r>
              <w:rPr>
                <w:b/>
              </w:rPr>
            </w:r>
          </w:p>
        </w:tc>
        <w:tc>
          <w:tcPr>
            <w:tcW w:w="6120" w:type="dxa"/>
            <w:tcBorders/>
          </w:tcPr>
          <w:p>
            <w:pPr>
              <w:pStyle w:val="Normal"/>
              <w:rPr/>
            </w:pPr>
            <w:r>
              <w:rPr/>
              <w:t>Base Rate + 2.0%.</w:t>
            </w:r>
          </w:p>
        </w:tc>
      </w:tr>
      <w:tr>
        <w:trPr/>
        <w:tc>
          <w:tcPr>
            <w:tcW w:w="2178" w:type="dxa"/>
            <w:tcBorders/>
          </w:tcPr>
          <w:p>
            <w:pPr>
              <w:pStyle w:val="Normal"/>
              <w:rPr>
                <w:b/>
              </w:rPr>
            </w:pPr>
            <w:r>
              <w:rPr>
                <w:b/>
              </w:rPr>
              <w:t>Reimbursement Obligation:</w:t>
            </w:r>
          </w:p>
        </w:tc>
        <w:tc>
          <w:tcPr>
            <w:tcW w:w="450" w:type="dxa"/>
            <w:tcBorders/>
          </w:tcPr>
          <w:p>
            <w:pPr>
              <w:pStyle w:val="Normal"/>
              <w:snapToGrid w:val="false"/>
              <w:rPr>
                <w:b/>
              </w:rPr>
            </w:pPr>
            <w:r>
              <w:rPr>
                <w:b/>
              </w:rPr>
            </w:r>
          </w:p>
        </w:tc>
        <w:tc>
          <w:tcPr>
            <w:tcW w:w="6120" w:type="dxa"/>
            <w:tcBorders/>
          </w:tcPr>
          <w:p>
            <w:pPr>
              <w:pStyle w:val="Normal"/>
              <w:rPr/>
            </w:pPr>
            <w:r>
              <w:rPr/>
              <w:t>Upon a draw on the letter of credit, the Borrower shall have the obligation to reimburse the Issuing Bank from 100% of cash flow available immediately prior to the payment of scheduled interest on the Term Loan in the Cash Flow Waterfall.</w:t>
            </w:r>
          </w:p>
        </w:tc>
      </w:tr>
    </w:tbl>
    <w:p>
      <w:pPr>
        <w:pStyle w:val="Normal"/>
        <w:rPr/>
      </w:pPr>
      <w:r>
        <w:rPr/>
      </w:r>
    </w:p>
    <w:p>
      <w:pPr>
        <w:pStyle w:val="Heading3"/>
        <w:tabs>
          <w:tab w:val="clear" w:pos="360"/>
          <w:tab w:val="left" w:pos="720" w:leader="none"/>
        </w:tabs>
        <w:spacing w:before="240" w:after="240"/>
        <w:ind w:hanging="0" w:start="0"/>
        <w:rPr>
          <w:rFonts w:ascii="Times New Roman" w:hAnsi="Times New Roman" w:cs="Times New Roman"/>
        </w:rPr>
      </w:pPr>
      <w:bookmarkStart w:id="40" w:name="__RefHeading___Toc482880133"/>
      <w:bookmarkEnd w:id="40"/>
      <w:r>
        <w:rPr>
          <w:rFonts w:cs="Times New Roman" w:ascii="Times New Roman" w:hAnsi="Times New Roman"/>
        </w:rPr>
        <w:t>Financial Hedging</w:t>
      </w:r>
    </w:p>
    <w:p>
      <w:pPr>
        <w:pStyle w:val="Header"/>
        <w:tabs>
          <w:tab w:val="clear" w:pos="4493"/>
          <w:tab w:val="clear" w:pos="9000"/>
        </w:tabs>
        <w:rPr/>
      </w:pPr>
      <w:r>
        <w:rPr>
          <w:rFonts w:cs="Times New Roman" w:ascii="Times New Roman" w:hAnsi="Times New Roman"/>
          <w:lang w:val="en-US"/>
        </w:rPr>
        <w:t xml:space="preserve">ENA has entered into a 10-year interest rate swap (“IRS”) with LVCLP for 100% of the Senior Credit Facility with a strike price of 6.5%.  All swap obligations are secured </w:t>
      </w:r>
      <w:r>
        <w:rPr>
          <w:rFonts w:cs="Times New Roman" w:ascii="Times New Roman" w:hAnsi="Times New Roman"/>
          <w:i/>
          <w:lang w:val="en-US"/>
        </w:rPr>
        <w:t>pari passu</w:t>
      </w:r>
      <w:r>
        <w:rPr>
          <w:rFonts w:cs="Times New Roman" w:ascii="Times New Roman" w:hAnsi="Times New Roman"/>
          <w:lang w:val="en-US"/>
        </w:rPr>
        <w:t xml:space="preserve"> with the Senior Credit Facility.</w:t>
      </w:r>
      <w:r>
        <w:br w:type="page"/>
      </w:r>
    </w:p>
    <w:p>
      <w:pPr>
        <w:pStyle w:val="Header"/>
        <w:tabs>
          <w:tab w:val="clear" w:pos="4493"/>
          <w:tab w:val="clear" w:pos="9000"/>
        </w:tabs>
        <w:jc w:val="center"/>
        <w:rPr>
          <w:b/>
        </w:rPr>
      </w:pPr>
      <w:r>
        <w:rPr>
          <w:b/>
        </w:rPr>
        <w:t>EXHIBIT A</w:t>
      </w:r>
    </w:p>
    <w:p>
      <w:pPr>
        <w:pStyle w:val="Normal"/>
        <w:jc w:val="center"/>
        <w:rPr>
          <w:b/>
        </w:rPr>
      </w:pPr>
      <w:r>
        <w:rPr>
          <w:b/>
        </w:rPr>
      </w:r>
    </w:p>
    <w:p>
      <w:pPr>
        <w:pStyle w:val="Normal"/>
        <w:jc w:val="center"/>
        <w:rPr>
          <w:b/>
        </w:rPr>
      </w:pPr>
      <w:r>
        <w:rPr>
          <w:b/>
        </w:rPr>
        <w:t>TERM LOAN</w:t>
      </w:r>
    </w:p>
    <w:p>
      <w:pPr>
        <w:pStyle w:val="Normal"/>
        <w:jc w:val="center"/>
        <w:rPr>
          <w:b/>
        </w:rPr>
      </w:pPr>
      <w:r>
        <w:rPr>
          <w:b/>
        </w:rPr>
        <w:t>AMORTIZATION SCHEDULE</w:t>
      </w:r>
    </w:p>
    <w:p>
      <w:pPr>
        <w:pStyle w:val="Normal"/>
        <w:jc w:val="center"/>
        <w:rPr/>
      </w:pPr>
      <w:r>
        <w:rPr>
          <w:rFonts w:eastAsia="TimesNewRoman"/>
        </w:rPr>
        <w:t xml:space="preserve"> </w:t>
      </w:r>
      <w:r>
        <w:rPr/>
        <w:t>(Amounts in US$000s)</w:t>
      </w:r>
    </w:p>
    <w:p>
      <w:pPr>
        <w:pStyle w:val="Normal"/>
        <w:rPr/>
      </w:pPr>
      <w:r>
        <w:rPr/>
      </w:r>
    </w:p>
    <w:tbl>
      <w:tblPr>
        <w:tblW w:w="7110" w:type="dxa"/>
        <w:jc w:val="start"/>
        <w:tblInd w:w="1110" w:type="dxa"/>
        <w:tblLayout w:type="fixed"/>
        <w:tblCellMar>
          <w:top w:w="0" w:type="dxa"/>
          <w:start w:w="30" w:type="dxa"/>
          <w:bottom w:w="0" w:type="dxa"/>
          <w:end w:w="30" w:type="dxa"/>
        </w:tblCellMar>
      </w:tblPr>
      <w:tblGrid>
        <w:gridCol w:w="1530"/>
        <w:gridCol w:w="1350"/>
        <w:gridCol w:w="2250"/>
        <w:gridCol w:w="1980"/>
      </w:tblGrid>
      <w:tr>
        <w:trPr/>
        <w:tc>
          <w:tcPr>
            <w:tcW w:w="1530" w:type="dxa"/>
            <w:tcBorders>
              <w:top w:val="single" w:sz="6" w:space="0" w:color="000000"/>
              <w:start w:val="single" w:sz="6" w:space="0" w:color="000000"/>
              <w:end w:val="single" w:sz="6" w:space="0" w:color="000000"/>
            </w:tcBorders>
          </w:tcPr>
          <w:p>
            <w:pPr>
              <w:pStyle w:val="Normal"/>
              <w:jc w:val="center"/>
              <w:rPr>
                <w:b/>
                <w:color w:val="000000"/>
                <w:sz w:val="20"/>
              </w:rPr>
            </w:pPr>
            <w:r>
              <w:rPr>
                <w:b/>
                <w:color w:val="000000"/>
                <w:sz w:val="20"/>
              </w:rPr>
              <w:t>Date</w:t>
            </w:r>
          </w:p>
        </w:tc>
        <w:tc>
          <w:tcPr>
            <w:tcW w:w="1350" w:type="dxa"/>
            <w:tcBorders>
              <w:top w:val="single" w:sz="6" w:space="0" w:color="000000"/>
              <w:start w:val="single" w:sz="6" w:space="0" w:color="000000"/>
              <w:end w:val="single" w:sz="6" w:space="0" w:color="000000"/>
            </w:tcBorders>
          </w:tcPr>
          <w:p>
            <w:pPr>
              <w:pStyle w:val="Normal"/>
              <w:jc w:val="center"/>
              <w:rPr>
                <w:b/>
                <w:color w:val="000000"/>
                <w:sz w:val="20"/>
              </w:rPr>
            </w:pPr>
            <w:r>
              <w:rPr>
                <w:b/>
                <w:color w:val="000000"/>
                <w:sz w:val="20"/>
              </w:rPr>
              <w:t>Repayment</w:t>
            </w:r>
          </w:p>
        </w:tc>
        <w:tc>
          <w:tcPr>
            <w:tcW w:w="2250" w:type="dxa"/>
            <w:tcBorders>
              <w:top w:val="single" w:sz="6" w:space="0" w:color="000000"/>
              <w:end w:val="single" w:sz="6" w:space="0" w:color="000000"/>
            </w:tcBorders>
          </w:tcPr>
          <w:p>
            <w:pPr>
              <w:pStyle w:val="Normal"/>
              <w:jc w:val="center"/>
              <w:rPr>
                <w:b/>
                <w:color w:val="000000"/>
                <w:sz w:val="20"/>
              </w:rPr>
            </w:pPr>
            <w:r>
              <w:rPr>
                <w:b/>
                <w:color w:val="000000"/>
                <w:sz w:val="20"/>
              </w:rPr>
              <w:t>Balance Outstanding</w:t>
            </w:r>
          </w:p>
        </w:tc>
        <w:tc>
          <w:tcPr>
            <w:tcW w:w="1980" w:type="dxa"/>
            <w:tcBorders>
              <w:top w:val="single" w:sz="6" w:space="0" w:color="000000"/>
              <w:start w:val="single" w:sz="6" w:space="0" w:color="000000"/>
              <w:end w:val="single" w:sz="6" w:space="0" w:color="000000"/>
            </w:tcBorders>
          </w:tcPr>
          <w:p>
            <w:pPr>
              <w:pStyle w:val="Normal"/>
              <w:jc w:val="center"/>
              <w:rPr>
                <w:b/>
                <w:color w:val="000000"/>
                <w:sz w:val="20"/>
              </w:rPr>
            </w:pPr>
            <w:r>
              <w:rPr>
                <w:b/>
                <w:color w:val="000000"/>
                <w:sz w:val="20"/>
              </w:rPr>
              <w:t>%age Outstanding</w:t>
            </w:r>
          </w:p>
        </w:tc>
      </w:tr>
      <w:tr>
        <w:trPr/>
        <w:tc>
          <w:tcPr>
            <w:tcW w:w="1530" w:type="dxa"/>
            <w:tcBorders>
              <w:start w:val="single" w:sz="6" w:space="0" w:color="000000"/>
              <w:bottom w:val="single" w:sz="6" w:space="0" w:color="000000"/>
              <w:end w:val="single" w:sz="6" w:space="0" w:color="000000"/>
            </w:tcBorders>
          </w:tcPr>
          <w:p>
            <w:pPr>
              <w:pStyle w:val="Normal"/>
              <w:snapToGrid w:val="false"/>
              <w:jc w:val="center"/>
              <w:rPr>
                <w:b/>
                <w:color w:val="000000"/>
                <w:sz w:val="20"/>
              </w:rPr>
            </w:pPr>
            <w:r>
              <w:rPr>
                <w:b/>
                <w:color w:val="000000"/>
                <w:sz w:val="20"/>
              </w:rPr>
            </w:r>
          </w:p>
        </w:tc>
        <w:tc>
          <w:tcPr>
            <w:tcW w:w="1350" w:type="dxa"/>
            <w:tcBorders>
              <w:start w:val="single" w:sz="6" w:space="0" w:color="000000"/>
              <w:bottom w:val="single" w:sz="6" w:space="0" w:color="000000"/>
              <w:end w:val="single" w:sz="6" w:space="0" w:color="000000"/>
            </w:tcBorders>
          </w:tcPr>
          <w:p>
            <w:pPr>
              <w:pStyle w:val="Normal"/>
              <w:jc w:val="center"/>
              <w:rPr>
                <w:b/>
                <w:color w:val="000000"/>
                <w:sz w:val="20"/>
              </w:rPr>
            </w:pPr>
            <w:r>
              <w:rPr>
                <w:b/>
                <w:color w:val="000000"/>
                <w:sz w:val="20"/>
              </w:rPr>
              <w:t>($000s)</w:t>
            </w:r>
          </w:p>
        </w:tc>
        <w:tc>
          <w:tcPr>
            <w:tcW w:w="2250" w:type="dxa"/>
            <w:tcBorders>
              <w:start w:val="single" w:sz="6" w:space="0" w:color="000000"/>
              <w:bottom w:val="single" w:sz="6" w:space="0" w:color="000000"/>
              <w:end w:val="single" w:sz="6" w:space="0" w:color="000000"/>
            </w:tcBorders>
          </w:tcPr>
          <w:p>
            <w:pPr>
              <w:pStyle w:val="Normal"/>
              <w:jc w:val="center"/>
              <w:rPr>
                <w:b/>
                <w:color w:val="000000"/>
                <w:sz w:val="20"/>
              </w:rPr>
            </w:pPr>
            <w:r>
              <w:rPr>
                <w:b/>
                <w:color w:val="000000"/>
                <w:sz w:val="20"/>
              </w:rPr>
              <w:t>($000s)</w:t>
            </w:r>
          </w:p>
        </w:tc>
        <w:tc>
          <w:tcPr>
            <w:tcW w:w="1980" w:type="dxa"/>
            <w:tcBorders>
              <w:start w:val="single" w:sz="6" w:space="0" w:color="000000"/>
              <w:bottom w:val="single" w:sz="6" w:space="0" w:color="000000"/>
              <w:end w:val="single" w:sz="6" w:space="0" w:color="000000"/>
            </w:tcBorders>
          </w:tcPr>
          <w:p>
            <w:pPr>
              <w:pStyle w:val="Normal"/>
              <w:snapToGrid w:val="false"/>
              <w:jc w:val="end"/>
              <w:rPr>
                <w:rFonts w:ascii="Arial" w:hAnsi="Arial" w:cs="Arial"/>
                <w:b/>
                <w:color w:val="000000"/>
                <w:sz w:val="20"/>
              </w:rPr>
            </w:pPr>
            <w:r>
              <w:rPr>
                <w:rFonts w:cs="Arial" w:ascii="Arial" w:hAnsi="Arial"/>
                <w:b/>
                <w:color w:val="000000"/>
                <w:sz w:val="20"/>
              </w:rPr>
            </w:r>
          </w:p>
        </w:tc>
      </w:tr>
      <w:tr>
        <w:trPr>
          <w:trHeight w:val="318" w:hRule="atLeast"/>
        </w:trPr>
        <w:tc>
          <w:tcPr>
            <w:tcW w:w="1530" w:type="dxa"/>
            <w:tcBorders>
              <w:top w:val="single" w:sz="6" w:space="0" w:color="000000"/>
              <w:start w:val="single" w:sz="6" w:space="0" w:color="000000"/>
              <w:end w:val="single" w:sz="6" w:space="0" w:color="000000"/>
            </w:tcBorders>
          </w:tcPr>
          <w:p>
            <w:pPr>
              <w:pStyle w:val="Normal"/>
              <w:jc w:val="center"/>
              <w:rPr>
                <w:color w:val="000000"/>
                <w:sz w:val="20"/>
              </w:rPr>
            </w:pPr>
            <w:r>
              <w:rPr>
                <w:color w:val="000000"/>
                <w:sz w:val="20"/>
              </w:rPr>
              <w:t>Opening</w:t>
            </w:r>
          </w:p>
        </w:tc>
        <w:tc>
          <w:tcPr>
            <w:tcW w:w="1350" w:type="dxa"/>
            <w:tcBorders>
              <w:top w:val="single" w:sz="6" w:space="0" w:color="000000"/>
              <w:start w:val="single" w:sz="6" w:space="0" w:color="000000"/>
              <w:end w:val="single" w:sz="6" w:space="0" w:color="000000"/>
            </w:tcBorders>
          </w:tcPr>
          <w:p>
            <w:pPr>
              <w:pStyle w:val="Normal"/>
              <w:snapToGrid w:val="false"/>
              <w:ind w:end="509"/>
              <w:jc w:val="end"/>
              <w:rPr>
                <w:b/>
                <w:color w:val="000000"/>
                <w:sz w:val="20"/>
              </w:rPr>
            </w:pPr>
            <w:r>
              <w:rPr>
                <w:b/>
                <w:color w:val="000000"/>
                <w:sz w:val="20"/>
              </w:rPr>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56,500</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100.0%</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31-Dec-99</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(391)</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56,109</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99.3%</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31-Mar-00</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(106)</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56,003</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99.1%</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30-Jun-00</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(521)</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55,482</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98.2%</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30-Sep-00</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(602)</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54,880</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97.1%</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31-Dec-00</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(373)</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54,507</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96.5%</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31-Mar-01</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(361)</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54,146</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95.8%</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30-Jun-01</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(603)</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53,543</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94.8%</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30-Sep-01</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(666)</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52,877</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93.6%</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31-Dec-01</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(518)</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52,359</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92.7%</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31-Mar-02</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(534)</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51,825</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91.7%</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30-Jun-02</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(760)</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51,065</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90.4%</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30-Sep-02</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(873)</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50,192</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88.8%</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31-Dec-02</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(334)</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49,858</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88.2%</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31-Mar-03</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(298)</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49,560</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87.7%</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30-Jun-03</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(507)</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49,053</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86.8%</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30-Sep-03</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(614)</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48,439</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85.7%</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31-Dec-03</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(683)</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47,756</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84.5%</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31-Mar-04</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(632)</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47,124</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83.4%</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30-Jun-04</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(809)</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46,315</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82.0%</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30-Sep-04</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(951)</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45,364</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80.3%</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31-Dec-04</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(781)</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44,583</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78.9%</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31-Mar-05</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(740)</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43,843</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77.6%</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30-Jun-05</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(966)</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42,877</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75.9%</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30-Sep-05</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(1,114)</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41,763</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73.9%</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31-Dec-05</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(439)</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41,324</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73.1%</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31-Mar-06</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(375)</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40,949</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72.5%</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30-Jun-06</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(572)</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40,377</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71.5%</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30-Sep-06</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(694)</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39,683</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70.2%</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31-Dec-06</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(502)</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39,181</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69.3%</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31-Mar-07</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(455)</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38,726</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68.5%</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30-Jun-07</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(661)</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38,065</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67.4%</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30-Sep-07</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(783)</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37,282</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66.0%</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31-Dec-07</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(936)</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36,346</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64.3%</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31-Mar-08</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(891)</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35,455</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62.8%</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30-Jun-08</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(1,099)</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34,356</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60.8%</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30-Sep-08</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(1,216)</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33,140</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58.7%</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31-Dec-08</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(1,037)</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32,103</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56.8%</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31-Mar-09</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(977)</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31,126</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55.1%</w:t>
            </w:r>
          </w:p>
        </w:tc>
      </w:tr>
      <w:tr>
        <w:trPr/>
        <w:tc>
          <w:tcPr>
            <w:tcW w:w="1530" w:type="dxa"/>
            <w:tcBorders>
              <w:start w:val="single" w:sz="6" w:space="0" w:color="000000"/>
              <w:end w:val="single" w:sz="6" w:space="0" w:color="000000"/>
            </w:tcBorders>
          </w:tcPr>
          <w:p>
            <w:pPr>
              <w:pStyle w:val="Normal"/>
              <w:jc w:val="center"/>
              <w:rPr>
                <w:color w:val="000000"/>
                <w:sz w:val="20"/>
              </w:rPr>
            </w:pPr>
            <w:r>
              <w:rPr>
                <w:color w:val="000000"/>
                <w:sz w:val="20"/>
              </w:rPr>
              <w:t>30-Jun-09</w:t>
            </w:r>
          </w:p>
        </w:tc>
        <w:tc>
          <w:tcPr>
            <w:tcW w:w="1350" w:type="dxa"/>
            <w:tcBorders>
              <w:start w:val="single" w:sz="6" w:space="0" w:color="000000"/>
              <w:end w:val="single" w:sz="6" w:space="0" w:color="000000"/>
            </w:tcBorders>
          </w:tcPr>
          <w:p>
            <w:pPr>
              <w:pStyle w:val="Normal"/>
              <w:ind w:end="330"/>
              <w:jc w:val="end"/>
              <w:rPr>
                <w:color w:val="000000"/>
                <w:sz w:val="20"/>
              </w:rPr>
            </w:pPr>
            <w:r>
              <w:rPr>
                <w:color w:val="000000"/>
                <w:sz w:val="20"/>
              </w:rPr>
              <w:t>(1,205)</w:t>
            </w:r>
          </w:p>
        </w:tc>
        <w:tc>
          <w:tcPr>
            <w:tcW w:w="2250" w:type="dxa"/>
            <w:tcBorders>
              <w:start w:val="single" w:sz="6" w:space="0" w:color="000000"/>
              <w:end w:val="single" w:sz="6" w:space="0" w:color="000000"/>
            </w:tcBorders>
          </w:tcPr>
          <w:p>
            <w:pPr>
              <w:pStyle w:val="Normal"/>
              <w:jc w:val="center"/>
              <w:rPr>
                <w:color w:val="000000"/>
                <w:sz w:val="20"/>
              </w:rPr>
            </w:pPr>
            <w:r>
              <w:rPr>
                <w:color w:val="000000"/>
                <w:sz w:val="20"/>
              </w:rPr>
              <w:t>29,921</w:t>
            </w:r>
          </w:p>
        </w:tc>
        <w:tc>
          <w:tcPr>
            <w:tcW w:w="1980" w:type="dxa"/>
            <w:tcBorders>
              <w:start w:val="single" w:sz="6" w:space="0" w:color="000000"/>
              <w:end w:val="single" w:sz="6" w:space="0" w:color="000000"/>
            </w:tcBorders>
          </w:tcPr>
          <w:p>
            <w:pPr>
              <w:pStyle w:val="Normal"/>
              <w:jc w:val="center"/>
              <w:rPr>
                <w:color w:val="000000"/>
                <w:sz w:val="20"/>
              </w:rPr>
            </w:pPr>
            <w:r>
              <w:rPr>
                <w:color w:val="000000"/>
                <w:sz w:val="20"/>
              </w:rPr>
              <w:t>53.0%</w:t>
            </w:r>
          </w:p>
        </w:tc>
      </w:tr>
      <w:tr>
        <w:trPr/>
        <w:tc>
          <w:tcPr>
            <w:tcW w:w="1530" w:type="dxa"/>
            <w:tcBorders>
              <w:start w:val="single" w:sz="6" w:space="0" w:color="000000"/>
              <w:bottom w:val="single" w:sz="6" w:space="0" w:color="000000"/>
              <w:end w:val="single" w:sz="6" w:space="0" w:color="000000"/>
            </w:tcBorders>
          </w:tcPr>
          <w:p>
            <w:pPr>
              <w:pStyle w:val="Normal"/>
              <w:jc w:val="center"/>
              <w:rPr>
                <w:color w:val="000000"/>
                <w:sz w:val="20"/>
              </w:rPr>
            </w:pPr>
            <w:r>
              <w:rPr>
                <w:color w:val="000000"/>
                <w:sz w:val="20"/>
              </w:rPr>
              <w:t>30-Sep-09</w:t>
            </w:r>
          </w:p>
        </w:tc>
        <w:tc>
          <w:tcPr>
            <w:tcW w:w="1350" w:type="dxa"/>
            <w:tcBorders>
              <w:start w:val="single" w:sz="6" w:space="0" w:color="000000"/>
              <w:bottom w:val="single" w:sz="6" w:space="0" w:color="000000"/>
              <w:end w:val="single" w:sz="6" w:space="0" w:color="000000"/>
            </w:tcBorders>
          </w:tcPr>
          <w:p>
            <w:pPr>
              <w:pStyle w:val="Normal"/>
              <w:ind w:end="330"/>
              <w:jc w:val="end"/>
              <w:rPr>
                <w:color w:val="000000"/>
                <w:sz w:val="20"/>
              </w:rPr>
            </w:pPr>
            <w:r>
              <w:rPr>
                <w:color w:val="000000"/>
                <w:sz w:val="20"/>
              </w:rPr>
              <w:t>(29,921)</w:t>
            </w:r>
          </w:p>
        </w:tc>
        <w:tc>
          <w:tcPr>
            <w:tcW w:w="2250" w:type="dxa"/>
            <w:tcBorders>
              <w:start w:val="single" w:sz="6" w:space="0" w:color="000000"/>
              <w:bottom w:val="single" w:sz="6" w:space="0" w:color="000000"/>
              <w:end w:val="single" w:sz="6" w:space="0" w:color="000000"/>
            </w:tcBorders>
          </w:tcPr>
          <w:p>
            <w:pPr>
              <w:pStyle w:val="Normal"/>
              <w:jc w:val="center"/>
              <w:rPr>
                <w:color w:val="000000"/>
                <w:sz w:val="20"/>
              </w:rPr>
            </w:pPr>
            <w:r>
              <w:rPr>
                <w:color w:val="000000"/>
                <w:sz w:val="20"/>
              </w:rPr>
              <w:t>0</w:t>
            </w:r>
          </w:p>
        </w:tc>
        <w:tc>
          <w:tcPr>
            <w:tcW w:w="1980" w:type="dxa"/>
            <w:tcBorders>
              <w:start w:val="single" w:sz="6" w:space="0" w:color="000000"/>
              <w:bottom w:val="single" w:sz="6" w:space="0" w:color="000000"/>
              <w:end w:val="single" w:sz="6" w:space="0" w:color="000000"/>
            </w:tcBorders>
          </w:tcPr>
          <w:p>
            <w:pPr>
              <w:pStyle w:val="Normal"/>
              <w:jc w:val="center"/>
              <w:rPr>
                <w:color w:val="000000"/>
                <w:sz w:val="20"/>
              </w:rPr>
            </w:pPr>
            <w:r>
              <w:rPr>
                <w:color w:val="000000"/>
                <w:sz w:val="20"/>
              </w:rPr>
              <w:t>0.0%</w:t>
            </w:r>
          </w:p>
        </w:tc>
      </w:tr>
    </w:tbl>
    <w:p>
      <w:pPr>
        <w:pStyle w:val="Normal"/>
        <w:jc w:val="center"/>
        <w:rPr>
          <w:b/>
          <w:sz w:val="20"/>
        </w:rPr>
      </w:pPr>
      <w:r>
        <w:rPr>
          <w:b/>
          <w:sz w:val="20"/>
        </w:rPr>
      </w:r>
    </w:p>
    <w:p>
      <w:pPr>
        <w:pStyle w:val="Normal"/>
        <w:rPr>
          <w:b/>
          <w:sz w:val="20"/>
        </w:rPr>
      </w:pPr>
      <w:r>
        <w:rPr>
          <w:b/>
          <w:sz w:val="20"/>
        </w:rPr>
      </w:r>
      <w:r>
        <w:br w:type="page"/>
      </w:r>
    </w:p>
    <w:p>
      <w:pPr>
        <w:pStyle w:val="Normal"/>
        <w:rPr>
          <w:sz w:val="20"/>
        </w:rPr>
      </w:pPr>
      <w:r>
        <w:rPr>
          <w:sz w:val="20"/>
        </w:rPr>
      </w:r>
    </w:p>
    <w:p>
      <w:pPr>
        <w:pStyle w:val="Normal"/>
        <w:jc w:val="center"/>
        <w:rPr>
          <w:b/>
        </w:rPr>
      </w:pPr>
      <w:r>
        <w:rPr>
          <w:b/>
        </w:rPr>
        <w:t>EXHIBIT B</w:t>
      </w:r>
    </w:p>
    <w:p>
      <w:pPr>
        <w:pStyle w:val="Normal"/>
        <w:rPr>
          <w:b/>
        </w:rPr>
      </w:pPr>
      <w:r>
        <w:rPr>
          <w:b/>
        </w:rPr>
      </w:r>
    </w:p>
    <w:tbl>
      <w:tblPr>
        <w:tblW w:w="8640" w:type="dxa"/>
        <w:jc w:val="start"/>
        <w:tblInd w:w="18" w:type="dxa"/>
        <w:tblLayout w:type="fixed"/>
        <w:tblCellMar>
          <w:top w:w="0" w:type="dxa"/>
          <w:start w:w="108" w:type="dxa"/>
          <w:bottom w:w="0" w:type="dxa"/>
          <w:end w:w="108" w:type="dxa"/>
        </w:tblCellMar>
      </w:tblPr>
      <w:tblGrid>
        <w:gridCol w:w="2880"/>
        <w:gridCol w:w="2070"/>
        <w:gridCol w:w="1890"/>
        <w:gridCol w:w="1800"/>
      </w:tblGrid>
      <w:tr>
        <w:trPr>
          <w:trHeight w:val="448" w:hRule="atLeast"/>
        </w:trPr>
        <w:tc>
          <w:tcPr>
            <w:tcW w:w="2880" w:type="dxa"/>
            <w:vMerge w:val="restart"/>
            <w:tcBorders>
              <w:top w:val="single" w:sz="4" w:space="0" w:color="000000"/>
              <w:start w:val="double" w:sz="4" w:space="0" w:color="000000"/>
              <w:end w:val="single" w:sz="4" w:space="0" w:color="000000"/>
            </w:tcBorders>
          </w:tcPr>
          <w:p>
            <w:pPr>
              <w:pStyle w:val="Header"/>
              <w:tabs>
                <w:tab w:val="clear" w:pos="4493"/>
                <w:tab w:val="clear" w:pos="9000"/>
              </w:tabs>
              <w:spacing w:before="120" w:after="120"/>
              <w:rPr/>
            </w:pPr>
            <w:r>
              <w:rPr/>
              <w:t>Reduction Schedule Southwest Gas Letter of Credit:</w:t>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3464" w:leader="none"/>
                <w:tab w:val="left" w:pos="4463" w:leader="none"/>
                <w:tab w:val="left" w:pos="5531" w:leader="none"/>
              </w:tabs>
              <w:spacing w:before="60" w:after="60"/>
              <w:ind w:hanging="360" w:start="432" w:end="252"/>
              <w:jc w:val="center"/>
              <w:rPr>
                <w:b/>
              </w:rPr>
            </w:pPr>
            <w:r>
              <w:rPr>
                <w:b/>
              </w:rPr>
              <w:t>Date</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22"/>
              <w:jc w:val="center"/>
              <w:rPr>
                <w:b/>
              </w:rPr>
            </w:pPr>
            <w:r>
              <w:rPr>
                <w:b/>
              </w:rPr>
              <w:t>Reduction</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22"/>
              <w:jc w:val="center"/>
              <w:rPr>
                <w:b/>
              </w:rPr>
            </w:pPr>
            <w:r>
              <w:rPr>
                <w:b/>
              </w:rPr>
              <w:t>Balance</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b/>
              </w:rPr>
            </w:pPr>
            <w:r>
              <w:rPr>
                <w:b/>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3464" w:leader="none"/>
                <w:tab w:val="left" w:pos="4463" w:leader="none"/>
                <w:tab w:val="left" w:pos="5531" w:leader="none"/>
              </w:tabs>
              <w:spacing w:before="60" w:after="60"/>
              <w:ind w:hanging="360" w:start="432" w:end="252"/>
              <w:jc w:val="center"/>
              <w:rPr/>
            </w:pPr>
            <w:r>
              <w:rPr/>
              <w:t>Initial</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napToGrid w:val="false"/>
              <w:spacing w:before="60" w:after="60"/>
              <w:ind w:start="488" w:end="481"/>
              <w:jc w:val="center"/>
              <w:rPr/>
            </w:pPr>
            <w:r>
              <w:rPr/>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888,896</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18" w:leader="none"/>
                <w:tab w:val="left" w:pos="3464" w:leader="none"/>
                <w:tab w:val="left" w:pos="4463" w:leader="none"/>
                <w:tab w:val="left" w:pos="5531" w:leader="none"/>
              </w:tabs>
              <w:spacing w:before="60" w:after="60"/>
              <w:ind w:firstLine="18" w:start="-18" w:end="286"/>
              <w:jc w:val="center"/>
              <w:rPr/>
            </w:pPr>
            <w:r>
              <w:rPr/>
              <w:t>10-May-00</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pacing w:before="60" w:after="60"/>
              <w:ind w:start="488" w:end="481"/>
              <w:jc w:val="center"/>
              <w:rPr/>
            </w:pPr>
            <w:r>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855,712</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86"/>
              <w:jc w:val="center"/>
              <w:rPr/>
            </w:pPr>
            <w:r>
              <w:rPr/>
              <w:t>10-May-01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pacing w:before="60" w:after="60"/>
              <w:ind w:start="488" w:end="481"/>
              <w:jc w:val="center"/>
              <w:rPr/>
            </w:pPr>
            <w:r>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822,528</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86"/>
              <w:jc w:val="center"/>
              <w:rPr/>
            </w:pPr>
            <w:r>
              <w:rPr/>
              <w:t>10-May-02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pacing w:before="60" w:after="60"/>
              <w:ind w:start="488" w:end="481"/>
              <w:jc w:val="center"/>
              <w:rPr/>
            </w:pPr>
            <w:r>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789,344</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86"/>
              <w:jc w:val="center"/>
              <w:rPr/>
            </w:pPr>
            <w:r>
              <w:rPr/>
              <w:t>10-May-03</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pacing w:before="60" w:after="60"/>
              <w:ind w:start="488" w:end="481"/>
              <w:jc w:val="center"/>
              <w:rPr/>
            </w:pPr>
            <w:r>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756,160</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86"/>
              <w:jc w:val="center"/>
              <w:rPr/>
            </w:pPr>
            <w:r>
              <w:rPr/>
              <w:t>10-May-04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pacing w:before="60" w:after="60"/>
              <w:ind w:start="488" w:end="481"/>
              <w:jc w:val="center"/>
              <w:rPr/>
            </w:pPr>
            <w:r>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722,976</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86"/>
              <w:jc w:val="center"/>
              <w:rPr/>
            </w:pPr>
            <w:r>
              <w:rPr/>
              <w:t>10-May-05</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pacing w:before="60" w:after="60"/>
              <w:ind w:start="488" w:end="481"/>
              <w:jc w:val="center"/>
              <w:rPr/>
            </w:pPr>
            <w:r>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689,792</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86"/>
              <w:jc w:val="center"/>
              <w:rPr/>
            </w:pPr>
            <w:r>
              <w:rPr/>
              <w:t>10-May-06</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pacing w:before="60" w:after="60"/>
              <w:ind w:start="488" w:end="481"/>
              <w:jc w:val="center"/>
              <w:rPr/>
            </w:pPr>
            <w:r>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656,608</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86"/>
              <w:jc w:val="center"/>
              <w:rPr/>
            </w:pPr>
            <w:r>
              <w:rPr/>
              <w:t>10-May-07</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pacing w:before="60" w:after="60"/>
              <w:ind w:start="488" w:end="481"/>
              <w:jc w:val="center"/>
              <w:rPr/>
            </w:pPr>
            <w:r>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623,424</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86"/>
              <w:jc w:val="center"/>
              <w:rPr/>
            </w:pPr>
            <w:r>
              <w:rPr/>
              <w:t>10-May-08</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pacing w:before="60" w:after="60"/>
              <w:ind w:start="488" w:end="481"/>
              <w:jc w:val="center"/>
              <w:rPr/>
            </w:pPr>
            <w:r>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590,240</w:t>
            </w:r>
          </w:p>
        </w:tc>
      </w:tr>
      <w:tr>
        <w:trPr>
          <w:trHeight w:val="442" w:hRule="atLeast"/>
        </w:trPr>
        <w:tc>
          <w:tcPr>
            <w:tcW w:w="2880" w:type="dxa"/>
            <w:vMerge w:val="continue"/>
            <w:tcBorders>
              <w:top w:val="single" w:sz="4" w:space="0" w:color="000000"/>
              <w:start w:val="double" w:sz="4" w:space="0" w:color="000000"/>
              <w:end w:val="single" w:sz="4" w:space="0" w:color="000000"/>
            </w:tcBorders>
          </w:tcPr>
          <w:p>
            <w:pPr>
              <w:pStyle w:val="Header"/>
              <w:tabs>
                <w:tab w:val="clear" w:pos="4493"/>
                <w:tab w:val="clear" w:pos="9000"/>
              </w:tabs>
              <w:snapToGrid w:val="false"/>
              <w:spacing w:before="120" w:after="12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0" w:leader="none"/>
                <w:tab w:val="left" w:pos="3464" w:leader="none"/>
                <w:tab w:val="left" w:pos="4463" w:leader="none"/>
                <w:tab w:val="left" w:pos="5531" w:leader="none"/>
              </w:tabs>
              <w:spacing w:before="60" w:after="60"/>
              <w:ind w:end="286"/>
              <w:jc w:val="center"/>
              <w:rPr/>
            </w:pPr>
            <w:r>
              <w:rPr/>
              <w:t>10-May-09</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360"/>
                <w:tab w:val="left" w:pos="848" w:leader="none"/>
                <w:tab w:val="left" w:pos="3464" w:leader="none"/>
                <w:tab w:val="left" w:pos="4463" w:leader="none"/>
                <w:tab w:val="left" w:pos="5531" w:leader="none"/>
              </w:tabs>
              <w:spacing w:before="60" w:after="60"/>
              <w:ind w:start="488" w:end="481"/>
              <w:rPr/>
            </w:pPr>
            <w:r>
              <w:rPr/>
              <w:t>33,184</w:t>
            </w:r>
          </w:p>
        </w:tc>
        <w:tc>
          <w:tcPr>
            <w:tcW w:w="1800" w:type="dxa"/>
            <w:tcBorders>
              <w:top w:val="single" w:sz="4" w:space="0" w:color="000000"/>
              <w:start w:val="single" w:sz="4" w:space="0" w:color="000000"/>
              <w:bottom w:val="single" w:sz="4" w:space="0" w:color="000000"/>
              <w:end w:val="double" w:sz="4" w:space="0" w:color="000000"/>
            </w:tcBorders>
          </w:tcPr>
          <w:p>
            <w:pPr>
              <w:pStyle w:val="Normal"/>
              <w:tabs>
                <w:tab w:val="clear" w:pos="360"/>
                <w:tab w:val="left" w:pos="3464" w:leader="none"/>
                <w:tab w:val="left" w:pos="4463" w:leader="none"/>
                <w:tab w:val="left" w:pos="5531" w:leader="none"/>
              </w:tabs>
              <w:spacing w:before="60" w:after="60"/>
              <w:ind w:end="481"/>
              <w:jc w:val="center"/>
              <w:rPr/>
            </w:pPr>
            <w:r>
              <w:rPr/>
              <w:t>557,056</w:t>
            </w:r>
          </w:p>
        </w:tc>
      </w:tr>
    </w:tbl>
    <w:p>
      <w:pPr>
        <w:pStyle w:val="Heading1"/>
        <w:ind w:hanging="0" w:start="0"/>
        <w:rPr/>
      </w:pPr>
      <w:bookmarkStart w:id="41" w:name="__RefHeading___Toc482880134"/>
      <w:bookmarkEnd w:id="41"/>
      <w:r>
        <w:rPr/>
        <w:t>Las Vegas Cogeneration II, L.L.C.</w:t>
      </w:r>
    </w:p>
    <w:p>
      <w:pPr>
        <w:pStyle w:val="Heading2"/>
        <w:ind w:hanging="0" w:start="0"/>
        <w:rPr>
          <w:rFonts w:ascii="Times New Roman" w:hAnsi="Times New Roman" w:cs="Times New Roman"/>
        </w:rPr>
      </w:pPr>
      <w:bookmarkStart w:id="42" w:name="__RefHeading___Toc482880135"/>
      <w:bookmarkEnd w:id="42"/>
      <w:r>
        <w:rPr>
          <w:rFonts w:cs="Times New Roman" w:ascii="Times New Roman" w:hAnsi="Times New Roman"/>
        </w:rPr>
        <w:t>Project Description</w:t>
      </w:r>
    </w:p>
    <w:p>
      <w:pPr>
        <w:pStyle w:val="Heading3"/>
        <w:spacing w:before="240" w:after="240"/>
        <w:ind w:hanging="0" w:start="0"/>
        <w:rPr>
          <w:rFonts w:ascii="Times New Roman" w:hAnsi="Times New Roman" w:cs="Times New Roman"/>
        </w:rPr>
      </w:pPr>
      <w:bookmarkStart w:id="43" w:name="__RefHeading___Toc482880136"/>
      <w:bookmarkEnd w:id="43"/>
      <w:r>
        <w:rPr>
          <w:rFonts w:cs="Times New Roman" w:ascii="Times New Roman" w:hAnsi="Times New Roman"/>
        </w:rPr>
        <w:t>Location and Project Site</w:t>
      </w:r>
    </w:p>
    <w:p>
      <w:pPr>
        <w:pStyle w:val="Normal"/>
        <w:rPr/>
      </w:pPr>
      <w:r>
        <w:rPr/>
        <w:t>A 220 MW natural gas fired plant consisting of two, two-on-one combined cycle units.  The Las Vegas Cogen II Project (LVC II) will use four GE LM6000 PC gas turbines with Enhanced Sprint (spray cooling), each rated at approximately 43 MW, four HRSG’s and two steam turbines in a site-optimized configuration. LVC II is an expansion of the existing 54 MW Las Vegas Cogeneration Project acquired in August 1999. LVC II will be located adjacent to the Las Vegas Cogeneration Project on an approximate four-acre tract of land located at 1701 East Alexander Road, North Las Vegas, NV, in Clark County.  The Southwest Gas Corporation pipeline, the Nevada Power electric transmission and the City of Las Vegas water supply are all located at the boundaries of the Project site.</w:t>
      </w:r>
    </w:p>
    <w:p>
      <w:pPr>
        <w:pStyle w:val="Heading3"/>
        <w:spacing w:before="240" w:after="240"/>
        <w:ind w:hanging="0" w:start="0"/>
        <w:rPr>
          <w:rFonts w:ascii="Times New Roman" w:hAnsi="Times New Roman" w:cs="Times New Roman"/>
        </w:rPr>
      </w:pPr>
      <w:bookmarkStart w:id="44" w:name="__RefHeading___Toc482880137"/>
      <w:bookmarkEnd w:id="44"/>
      <w:r>
        <w:rPr>
          <w:rFonts w:cs="Times New Roman" w:ascii="Times New Roman" w:hAnsi="Times New Roman"/>
        </w:rPr>
        <w:t>Technical Description</w:t>
      </w:r>
    </w:p>
    <w:p>
      <w:pPr>
        <w:pStyle w:val="Heading4"/>
        <w:spacing w:before="240" w:after="240"/>
        <w:ind w:hanging="0" w:start="0"/>
        <w:rPr>
          <w:rFonts w:ascii="Times New Roman" w:hAnsi="Times New Roman" w:cs="Times New Roman"/>
        </w:rPr>
      </w:pPr>
      <w:bookmarkStart w:id="45" w:name="__RefHeading___Toc482880138"/>
      <w:bookmarkEnd w:id="45"/>
      <w:r>
        <w:rPr>
          <w:rFonts w:cs="Times New Roman" w:ascii="Times New Roman" w:hAnsi="Times New Roman"/>
        </w:rPr>
        <w:t>Equipment</w:t>
      </w:r>
    </w:p>
    <w:p>
      <w:pPr>
        <w:pStyle w:val="Normal"/>
        <w:ind w:start="360" w:end="0"/>
        <w:rPr/>
      </w:pPr>
      <w:r>
        <w:rPr/>
        <w:t>The plant will be outfitted with four GE LM 6000 PC gas turbines.  Inlet cooling will be used on the gas turbines to maximize plant output during warm ambient conditions. The gas turbines and transformers for the project are owned by a special purpose entity (West LB). Transfer of the equipment to the Project will occur during plant construction.</w:t>
      </w:r>
    </w:p>
    <w:p>
      <w:pPr>
        <w:pStyle w:val="Heading4"/>
        <w:spacing w:before="240" w:after="240"/>
        <w:ind w:hanging="0" w:start="0" w:end="0"/>
        <w:rPr>
          <w:rFonts w:ascii="Times New Roman" w:hAnsi="Times New Roman" w:cs="Times New Roman"/>
        </w:rPr>
      </w:pPr>
      <w:bookmarkStart w:id="46" w:name="__RefHeading___Toc482880139"/>
      <w:bookmarkEnd w:id="46"/>
      <w:r>
        <w:rPr>
          <w:rFonts w:cs="Times New Roman" w:ascii="Times New Roman" w:hAnsi="Times New Roman"/>
        </w:rPr>
        <w:t>Capacity</w:t>
      </w:r>
    </w:p>
    <w:p>
      <w:pPr>
        <w:pStyle w:val="Normal"/>
        <w:rPr/>
      </w:pPr>
      <w:r>
        <w:rPr/>
        <w:t>Given the varying ambient temperature in the Las Vegas area, the net output is expected to vary from 210-222 MW, for a yearly average output of 216 MW.  With the use of inlet cooling on the gas turbines, the average net output can be improved to 220 MW.</w:t>
      </w:r>
    </w:p>
    <w:p>
      <w:pPr>
        <w:pStyle w:val="Normal"/>
        <w:rPr/>
      </w:pPr>
      <w:r>
        <w:rPr/>
        <w:t>The heat rate can also vary from 7,720-7,820 Btu/kWh throughout the year and will average 7,760 on a yearly basis. The use of inlet cooling on the gas turbines will increase the heat rate approximately 40 Btu/kWh.</w:t>
      </w:r>
    </w:p>
    <w:p>
      <w:pPr>
        <w:pStyle w:val="Heading3"/>
        <w:ind w:hanging="0" w:start="0"/>
        <w:rPr/>
      </w:pPr>
      <w:bookmarkStart w:id="47" w:name="__RefHeading___Toc482880140"/>
      <w:bookmarkEnd w:id="47"/>
      <w:r>
        <w:rPr/>
        <w:t>Permits and environment</w:t>
      </w:r>
    </w:p>
    <w:p>
      <w:pPr>
        <w:pStyle w:val="Normal"/>
        <w:rPr/>
      </w:pPr>
      <w:r>
        <w:rPr/>
      </w:r>
    </w:p>
    <w:p>
      <w:pPr>
        <w:pStyle w:val="Normal"/>
        <w:rPr>
          <w:b/>
          <w:u w:val="single"/>
        </w:rPr>
      </w:pPr>
      <w:r>
        <w:rPr>
          <w:b/>
          <w:u w:val="single"/>
        </w:rPr>
        <w:t>Waste Water</w:t>
      </w:r>
    </w:p>
    <w:p>
      <w:pPr>
        <w:pStyle w:val="Normal"/>
        <w:rPr/>
      </w:pPr>
      <w:r>
        <w:rPr/>
        <w:t>Wastewater will be discharged by the city of North Las Vegas.  LVC II is seeking a variance to total dissolved solids limitation to allow a reduction in its water use and therefore its variable operating cost.</w:t>
      </w:r>
    </w:p>
    <w:p>
      <w:pPr>
        <w:pStyle w:val="Normal"/>
        <w:rPr/>
      </w:pPr>
      <w:r>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Air</w:t>
      </w:r>
    </w:p>
    <w:p>
      <w:pPr>
        <w:pStyle w:val="Normal"/>
        <w:rPr/>
      </w:pPr>
      <w:r>
        <w:rPr/>
        <w:t>Clark County has completed its initial review of the air permit application.  All of the changes requested by the agency are achievable.  The project’s design has been adjusted to increase the degree of Nox and CO removal so the annual emissions of these pollutants will be below considered “major” by the county which should expedite the approval process.</w:t>
      </w:r>
    </w:p>
    <w:p>
      <w:pPr>
        <w:pStyle w:val="Normal"/>
        <w:rPr/>
      </w:pPr>
      <w:r>
        <w:rPr/>
      </w:r>
    </w:p>
    <w:p>
      <w:pPr>
        <w:pStyle w:val="Normal"/>
        <w:rPr>
          <w:b/>
          <w:u w:val="single"/>
        </w:rPr>
      </w:pPr>
      <w:r>
        <w:rPr>
          <w:b/>
          <w:u w:val="single"/>
        </w:rPr>
        <w:t>Noise</w:t>
      </w:r>
    </w:p>
    <w:p>
      <w:pPr>
        <w:pStyle w:val="Normal"/>
        <w:rPr/>
      </w:pPr>
      <w:r>
        <w:rPr/>
        <w:t>The land use site has been served as industrial, which allows for the construction of the new power generating facility.  The project design is currently being evaluated to comply with the cities noise standard to assure compliance.</w:t>
      </w:r>
    </w:p>
    <w:p>
      <w:pPr>
        <w:pStyle w:val="Normal"/>
        <w:rPr/>
      </w:pPr>
      <w:r>
        <w:rPr/>
      </w:r>
    </w:p>
    <w:p>
      <w:pPr>
        <w:pStyle w:val="Heading3"/>
        <w:spacing w:before="240" w:after="240"/>
        <w:ind w:hanging="0" w:start="0"/>
        <w:rPr>
          <w:rFonts w:ascii="Times New Roman" w:hAnsi="Times New Roman" w:cs="Times New Roman"/>
        </w:rPr>
      </w:pPr>
      <w:bookmarkStart w:id="48" w:name="__RefHeading___Toc482880141"/>
      <w:bookmarkEnd w:id="48"/>
      <w:r>
        <w:rPr>
          <w:rFonts w:cs="Times New Roman" w:ascii="Times New Roman" w:hAnsi="Times New Roman"/>
        </w:rPr>
        <w:t>Interconnection and transmission</w:t>
      </w:r>
    </w:p>
    <w:p>
      <w:pPr>
        <w:pStyle w:val="Normal"/>
        <w:rPr/>
      </w:pPr>
      <w:r>
        <w:rPr/>
        <w:t>LVC II will interconnect with the Nevada Power Commision’s system at the existing 138kv substation on site.  A meeting was held with NPC’s staff on May 10</w:t>
      </w:r>
      <w:r>
        <w:rPr>
          <w:vertAlign w:val="superscript"/>
        </w:rPr>
        <w:t>th</w:t>
      </w:r>
      <w:r>
        <w:rPr/>
        <w:t>, 2000 to discuss interconnection requirements.  NPC will perform a study to define the interconnection requirements, which will begin during the first week of June with the visit of the NPC engineering staff to the plant site.</w:t>
      </w:r>
    </w:p>
    <w:p>
      <w:pPr>
        <w:pStyle w:val="Normal"/>
        <w:rPr/>
      </w:pPr>
      <w:r>
        <w:rPr/>
      </w:r>
    </w:p>
    <w:p>
      <w:pPr>
        <w:pStyle w:val="Heading3"/>
        <w:spacing w:before="240" w:after="240"/>
        <w:ind w:hanging="0" w:start="0"/>
        <w:rPr>
          <w:rFonts w:ascii="Times New Roman" w:hAnsi="Times New Roman" w:cs="Times New Roman"/>
        </w:rPr>
      </w:pPr>
      <w:bookmarkStart w:id="49" w:name="__RefHeading___Toc482880142"/>
      <w:bookmarkEnd w:id="49"/>
      <w:r>
        <w:rPr>
          <w:rFonts w:cs="Times New Roman" w:ascii="Times New Roman" w:hAnsi="Times New Roman"/>
        </w:rPr>
        <w:t>Contractual Structure</w:t>
      </w:r>
    </w:p>
    <w:p>
      <w:pPr>
        <w:pStyle w:val="Normal"/>
        <w:rPr/>
      </w:pPr>
      <w:r>
        <w:rPr/>
        <w:t>The ownership structure for LVC II has been designed to take advantage of the existing Southwest Power ownership.  As a merchant and fair value, off-balance sheet entitiy, SWP will own 100% of LVC II.  Development funding will be provided by a market based bridge loan facility from ENA.</w:t>
      </w:r>
    </w:p>
    <w:p>
      <w:pPr>
        <w:pStyle w:val="Normal"/>
        <w:rPr/>
      </w:pPr>
      <w:r>
        <w:rPr/>
      </w:r>
    </w:p>
    <w:p>
      <w:pPr>
        <w:pStyle w:val="Normal"/>
        <w:rPr/>
      </w:pPr>
      <w:r>
        <w:rPr/>
      </w:r>
    </w:p>
    <w:p>
      <w:pPr>
        <w:pStyle w:val="Normal"/>
        <w:rPr/>
      </w:pPr>
      <w:r>
        <w:rPr/>
      </w:r>
    </w:p>
    <w:p>
      <w:pPr>
        <w:pStyle w:val="Normal"/>
        <w:rPr>
          <w:lang w:val="en-CA" w:eastAsia="en-CA"/>
        </w:rPr>
      </w:pPr>
      <w:r>
        <w:rPr>
          <w:lang w:val="en-CA" w:eastAsia="en-CA"/>
        </w:rPr>
        <w:object w:dxaOrig="3276" w:dyaOrig="2476">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24.95pt;margin-top:-555.4pt;width:513.5pt;height:278.05pt;mso-wrap-distance-left:9.05pt;mso-wrap-distance-right:9.05pt;mso-position-horizontal-relative:text;mso-position-vertical-relative:text" filled="f" o:ole="">
            <v:imagedata r:id="rId15" o:title=""/>
            <w10:wrap type="topAndBottom"/>
          </v:shape>
          <o:OLEObject Type="Embed" ProgID="" ShapeID="ole_rId14" DrawAspect="Content" ObjectID="_1061010592" r:id="rId14"/>
        </w:object>
      </w:r>
    </w:p>
    <w:p>
      <w:pPr>
        <w:pStyle w:val="Normal"/>
        <w:spacing w:before="0" w:after="240"/>
        <w:ind w:end="4018"/>
        <w:rPr>
          <w:sz w:val="18"/>
        </w:rPr>
      </w:pPr>
      <w:r>
        <w:rPr>
          <w:sz w:val="18"/>
        </w:rPr>
        <w:t>*ENA loans funds to LVC II in order to fund development expenses prior to construction finance takeout. In addition, ENA will assist Southwest Power, L.L.C. in the development of LVC II through the Corporate Services Agreement.</w:t>
      </w:r>
    </w:p>
    <w:p>
      <w:pPr>
        <w:pStyle w:val="Normal"/>
        <w:ind w:end="4014"/>
        <w:rPr>
          <w:sz w:val="18"/>
        </w:rPr>
      </w:pPr>
      <w:r>
        <w:rPr>
          <w:sz w:val="18"/>
        </w:rPr>
        <w:t>Installation of four LM 6000 in combined cycle would require total capital costs of approximately $1240 MM (including transaction costs). The final installed structure and most beneficial financial structure have not yet been established.</w:t>
      </w:r>
    </w:p>
    <w:p>
      <w:pPr>
        <w:pStyle w:val="Heading3"/>
        <w:spacing w:before="240" w:after="240"/>
        <w:ind w:hanging="0" w:start="0"/>
        <w:rPr>
          <w:rFonts w:ascii="Times New Roman" w:hAnsi="Times New Roman" w:cs="Times New Roman"/>
          <w:i/>
          <w:i/>
          <w:sz w:val="22"/>
        </w:rPr>
      </w:pPr>
      <w:bookmarkStart w:id="50" w:name="__RefHeading___Toc482880143"/>
      <w:bookmarkEnd w:id="50"/>
      <w:r>
        <w:rPr>
          <w:rFonts w:cs="Times New Roman" w:ascii="Times New Roman" w:hAnsi="Times New Roman"/>
        </w:rPr>
        <w:t>Energy Sale Agreements</w:t>
      </w:r>
    </w:p>
    <w:p>
      <w:pPr>
        <w:pStyle w:val="BodyTextIndent3"/>
        <w:spacing w:before="0" w:after="240"/>
        <w:ind w:start="0" w:end="0"/>
        <w:rPr/>
      </w:pPr>
      <w:r>
        <w:rPr/>
        <w:t>The Project is being evaluated as a stand-alone merchant facility.  Power would be sold to either NPC or in the California energy markets.  Once deregulation is implemented in Nevada, LVC II can also sell ancillary services. A tolling agreement with ENA is also being considered for a period from 1-20 years as part of the GENCO transaction.</w:t>
      </w:r>
    </w:p>
    <w:p>
      <w:pPr>
        <w:pStyle w:val="Heading3"/>
        <w:spacing w:before="240" w:after="240"/>
        <w:ind w:hanging="0" w:start="0"/>
        <w:rPr>
          <w:rFonts w:ascii="Times New Roman" w:hAnsi="Times New Roman" w:cs="Times New Roman"/>
        </w:rPr>
      </w:pPr>
      <w:bookmarkStart w:id="51" w:name="__RefHeading___Toc482880144"/>
      <w:bookmarkEnd w:id="51"/>
      <w:r>
        <w:rPr>
          <w:rFonts w:cs="Times New Roman" w:ascii="Times New Roman" w:hAnsi="Times New Roman"/>
        </w:rPr>
        <w:t>Gas Supply and Transportation Arrangements</w:t>
      </w:r>
    </w:p>
    <w:p>
      <w:pPr>
        <w:pStyle w:val="Normal"/>
        <w:spacing w:before="0" w:after="240"/>
        <w:rPr/>
      </w:pPr>
      <w:r>
        <w:rPr/>
        <w:t>An engineering review of the existing 8 inch line that currently supplies LVC, LP revealed that a new 4.3 mile pipeline from the Kern River main line, or compression, will be needed to transport gas from Kern to LVC II.</w:t>
      </w:r>
    </w:p>
    <w:p>
      <w:pPr>
        <w:pStyle w:val="BodyText"/>
        <w:spacing w:before="0" w:after="240"/>
        <w:rPr/>
      </w:pPr>
      <w:r>
        <w:rPr/>
        <w:t>Work is in progress to determine the most cost-effective means of transporting gas to LVC II from Kern River.  The cost of installing a new 4.3-inch pipeline (12 to 16 inches in diameter) will be compared with purchasing delivery from Southwest Gas Company.</w:t>
      </w:r>
    </w:p>
    <w:p>
      <w:pPr>
        <w:pStyle w:val="Normal"/>
        <w:spacing w:before="0" w:after="240"/>
        <w:rPr/>
      </w:pPr>
      <w:r>
        <w:rPr/>
        <w:t>Several alternatives are being investigated to secure firm transportation on Kern.  These include participating in the current open season and the purchase of existing released space.</w:t>
      </w:r>
    </w:p>
    <w:p>
      <w:pPr>
        <w:pStyle w:val="Heading3"/>
        <w:spacing w:before="240" w:after="240"/>
        <w:ind w:hanging="0" w:start="0"/>
        <w:rPr>
          <w:rFonts w:ascii="Times New Roman" w:hAnsi="Times New Roman" w:cs="Times New Roman"/>
        </w:rPr>
      </w:pPr>
      <w:bookmarkStart w:id="52" w:name="__RefHeading___Toc482880145"/>
      <w:bookmarkEnd w:id="52"/>
      <w:r>
        <w:rPr>
          <w:rFonts w:cs="Times New Roman" w:ascii="Times New Roman" w:hAnsi="Times New Roman"/>
        </w:rPr>
        <w:t>Operations &amp; Maintenance Agreements</w:t>
      </w:r>
    </w:p>
    <w:p>
      <w:pPr>
        <w:pStyle w:val="BodyText2"/>
        <w:rPr>
          <w:rFonts w:ascii="Times New Roman" w:hAnsi="Times New Roman" w:cs="Times New Roman"/>
          <w:lang w:val="en-US"/>
        </w:rPr>
      </w:pPr>
      <w:r>
        <w:rPr>
          <w:rFonts w:cs="Times New Roman" w:ascii="Times New Roman" w:hAnsi="Times New Roman"/>
          <w:lang w:val="en-US"/>
        </w:rPr>
        <w:t>LVC II will contract for O&amp;M services from LVC, LP under a separate O&amp;M agreement.  The O&amp;M services will include all normal operation, repair and maintenance activities required to operate the facility in a safe and reliable manner.  LVC II will pay LVC, LP a market base O&amp;M fee of $150,000 per year which escalates at CPI.</w:t>
      </w:r>
    </w:p>
    <w:p>
      <w:pPr>
        <w:pStyle w:val="Heading3"/>
        <w:spacing w:before="240" w:after="240"/>
        <w:ind w:hanging="0" w:start="0"/>
        <w:rPr>
          <w:rFonts w:ascii="Times New Roman" w:hAnsi="Times New Roman" w:cs="Times New Roman"/>
        </w:rPr>
      </w:pPr>
      <w:bookmarkStart w:id="53" w:name="__RefHeading___Toc482880146"/>
      <w:bookmarkEnd w:id="53"/>
      <w:r>
        <w:rPr>
          <w:rFonts w:cs="Times New Roman" w:ascii="Times New Roman" w:hAnsi="Times New Roman"/>
        </w:rPr>
        <w:t>Site opton agreement</w:t>
      </w:r>
    </w:p>
    <w:p>
      <w:pPr>
        <w:pStyle w:val="Normal"/>
        <w:rPr/>
      </w:pPr>
      <w:r>
        <w:rPr/>
        <w:t xml:space="preserve">LVC II and LVC, LP will enter into a 30 year site option agreement on a five acre parcel of land for the purpose of building the expansion.  The cost of the option is $50,000.  Until the option is exercised, LVC II will make lease pmts to LVC, LP of $150,000 escalating at CPI.   </w:t>
      </w:r>
    </w:p>
    <w:p>
      <w:pPr>
        <w:pStyle w:val="Normal"/>
        <w:ind w:start="720" w:end="0"/>
        <w:rPr/>
      </w:pPr>
      <w:r>
        <w:rPr/>
      </w:r>
    </w:p>
    <w:p>
      <w:pPr>
        <w:pStyle w:val="Heading3"/>
        <w:spacing w:before="240" w:after="240"/>
        <w:ind w:hanging="0" w:start="0"/>
        <w:rPr/>
      </w:pPr>
      <w:bookmarkStart w:id="54" w:name="__RefHeading___Toc482880147"/>
      <w:bookmarkEnd w:id="54"/>
      <w:r>
        <w:rPr/>
        <w:t>Estimated Timetable</w:t>
      </w:r>
    </w:p>
    <w:tbl>
      <w:tblPr>
        <w:tblW w:w="9360" w:type="dxa"/>
        <w:jc w:val="start"/>
        <w:tblInd w:w="-90" w:type="dxa"/>
        <w:tblLayout w:type="fixed"/>
        <w:tblCellMar>
          <w:top w:w="0" w:type="dxa"/>
          <w:start w:w="0" w:type="dxa"/>
          <w:bottom w:w="0" w:type="dxa"/>
          <w:end w:w="0" w:type="dxa"/>
        </w:tblCellMar>
      </w:tblPr>
      <w:tblGrid>
        <w:gridCol w:w="2250"/>
        <w:gridCol w:w="630"/>
        <w:gridCol w:w="2925"/>
        <w:gridCol w:w="585"/>
        <w:gridCol w:w="2970"/>
      </w:tblGrid>
      <w:tr>
        <w:trPr/>
        <w:tc>
          <w:tcPr>
            <w:tcW w:w="2250" w:type="dxa"/>
            <w:tcBorders/>
          </w:tcPr>
          <w:p>
            <w:pPr>
              <w:pStyle w:val="TableHeadings"/>
              <w:spacing w:before="0" w:after="0"/>
              <w:ind w:start="90" w:end="0"/>
              <w:jc w:val="both"/>
              <w:rPr>
                <w:rFonts w:ascii="Times New Roman" w:hAnsi="Times New Roman" w:cs="Times New Roman"/>
                <w:i/>
                <w:i/>
                <w:caps w:val="false"/>
                <w:smallCaps w:val="false"/>
                <w:sz w:val="24"/>
              </w:rPr>
            </w:pPr>
            <w:r>
              <w:rPr>
                <w:rFonts w:cs="Times New Roman" w:ascii="Times New Roman" w:hAnsi="Times New Roman"/>
                <w:i/>
                <w:caps w:val="false"/>
                <w:smallCaps w:val="false"/>
                <w:sz w:val="24"/>
              </w:rPr>
              <w:t>Estimated Timetable</w:t>
            </w:r>
          </w:p>
        </w:tc>
        <w:tc>
          <w:tcPr>
            <w:tcW w:w="3555" w:type="dxa"/>
            <w:gridSpan w:val="2"/>
            <w:tcBorders>
              <w:top w:val="single" w:sz="18" w:space="0" w:color="000000"/>
              <w:bottom w:val="single" w:sz="6" w:space="0" w:color="000000"/>
            </w:tcBorders>
            <w:vAlign w:val="bottom"/>
          </w:tcPr>
          <w:p>
            <w:pPr>
              <w:pStyle w:val="Normal"/>
              <w:rPr>
                <w:caps/>
              </w:rPr>
            </w:pPr>
            <w:r>
              <w:rPr>
                <w:caps/>
              </w:rPr>
              <w:tab/>
              <w:tab/>
              <w:tab/>
              <w:t>Activity</w:t>
            </w:r>
          </w:p>
        </w:tc>
        <w:tc>
          <w:tcPr>
            <w:tcW w:w="3555" w:type="dxa"/>
            <w:gridSpan w:val="2"/>
            <w:tcBorders>
              <w:top w:val="single" w:sz="18" w:space="0" w:color="000000"/>
              <w:bottom w:val="single" w:sz="6" w:space="0" w:color="000000"/>
            </w:tcBorders>
            <w:vAlign w:val="bottom"/>
          </w:tcPr>
          <w:p>
            <w:pPr>
              <w:pStyle w:val="Normal"/>
              <w:rPr>
                <w:caps/>
              </w:rPr>
            </w:pPr>
            <w:r>
              <w:rPr>
                <w:caps/>
              </w:rPr>
              <w:tab/>
              <w:tab/>
              <w:t>Timetable</w:t>
            </w:r>
          </w:p>
        </w:tc>
      </w:tr>
      <w:tr>
        <w:trPr/>
        <w:tc>
          <w:tcPr>
            <w:tcW w:w="2250" w:type="dxa"/>
            <w:tcBorders/>
          </w:tcPr>
          <w:p>
            <w:pPr>
              <w:pStyle w:val="Normal"/>
              <w:snapToGrid w:val="false"/>
              <w:rPr>
                <w:caps/>
              </w:rPr>
            </w:pPr>
            <w:r>
              <w:rPr>
                <w:caps/>
              </w:rPr>
            </w:r>
          </w:p>
        </w:tc>
        <w:tc>
          <w:tcPr>
            <w:tcW w:w="630" w:type="dxa"/>
            <w:tcBorders/>
          </w:tcPr>
          <w:p>
            <w:pPr>
              <w:pStyle w:val="Normal"/>
              <w:snapToGrid w:val="false"/>
              <w:rPr/>
            </w:pPr>
            <w:r>
              <w:rPr/>
            </w:r>
          </w:p>
        </w:tc>
        <w:tc>
          <w:tcPr>
            <w:tcW w:w="3510" w:type="dxa"/>
            <w:gridSpan w:val="2"/>
            <w:tcBorders/>
          </w:tcPr>
          <w:p>
            <w:pPr>
              <w:pStyle w:val="Normal"/>
              <w:rPr>
                <w:b/>
              </w:rPr>
            </w:pPr>
            <w:r>
              <w:rPr/>
              <w:t>Receipt of Permits</w:t>
            </w:r>
          </w:p>
        </w:tc>
        <w:tc>
          <w:tcPr>
            <w:tcW w:w="2970" w:type="dxa"/>
            <w:tcBorders/>
          </w:tcPr>
          <w:p>
            <w:pPr>
              <w:pStyle w:val="Normal"/>
              <w:rPr/>
            </w:pPr>
            <w:r>
              <w:rPr/>
              <w:t>November 2000</w:t>
            </w:r>
          </w:p>
        </w:tc>
      </w:tr>
      <w:tr>
        <w:trPr/>
        <w:tc>
          <w:tcPr>
            <w:tcW w:w="2250" w:type="dxa"/>
            <w:tcBorders/>
          </w:tcPr>
          <w:p>
            <w:pPr>
              <w:pStyle w:val="Normal"/>
              <w:snapToGrid w:val="false"/>
              <w:rPr/>
            </w:pPr>
            <w:r>
              <w:rPr/>
            </w:r>
          </w:p>
        </w:tc>
        <w:tc>
          <w:tcPr>
            <w:tcW w:w="630" w:type="dxa"/>
            <w:tcBorders/>
          </w:tcPr>
          <w:p>
            <w:pPr>
              <w:pStyle w:val="Normal"/>
              <w:snapToGrid w:val="false"/>
              <w:rPr/>
            </w:pPr>
            <w:r>
              <w:rPr/>
            </w:r>
          </w:p>
        </w:tc>
        <w:tc>
          <w:tcPr>
            <w:tcW w:w="3510" w:type="dxa"/>
            <w:gridSpan w:val="2"/>
            <w:tcBorders/>
          </w:tcPr>
          <w:p>
            <w:pPr>
              <w:pStyle w:val="Normal"/>
              <w:rPr/>
            </w:pPr>
            <w:r>
              <w:rPr/>
              <w:t>Construction Financing</w:t>
            </w:r>
          </w:p>
        </w:tc>
        <w:tc>
          <w:tcPr>
            <w:tcW w:w="2970" w:type="dxa"/>
            <w:tcBorders/>
          </w:tcPr>
          <w:p>
            <w:pPr>
              <w:pStyle w:val="Normal"/>
              <w:rPr/>
            </w:pPr>
            <w:r>
              <w:rPr/>
              <w:t>December 2000</w:t>
            </w:r>
          </w:p>
        </w:tc>
      </w:tr>
      <w:tr>
        <w:trPr/>
        <w:tc>
          <w:tcPr>
            <w:tcW w:w="2250" w:type="dxa"/>
            <w:tcBorders/>
          </w:tcPr>
          <w:p>
            <w:pPr>
              <w:pStyle w:val="Normal"/>
              <w:snapToGrid w:val="false"/>
              <w:rPr/>
            </w:pPr>
            <w:r>
              <w:rPr/>
            </w:r>
          </w:p>
        </w:tc>
        <w:tc>
          <w:tcPr>
            <w:tcW w:w="630" w:type="dxa"/>
            <w:tcBorders/>
          </w:tcPr>
          <w:p>
            <w:pPr>
              <w:pStyle w:val="Normal"/>
              <w:snapToGrid w:val="false"/>
              <w:rPr/>
            </w:pPr>
            <w:r>
              <w:rPr/>
            </w:r>
          </w:p>
        </w:tc>
        <w:tc>
          <w:tcPr>
            <w:tcW w:w="3510" w:type="dxa"/>
            <w:gridSpan w:val="2"/>
            <w:tcBorders/>
          </w:tcPr>
          <w:p>
            <w:pPr>
              <w:pStyle w:val="Normal"/>
              <w:rPr/>
            </w:pPr>
            <w:r>
              <w:rPr/>
              <w:t>Start of Construction</w:t>
            </w:r>
          </w:p>
        </w:tc>
        <w:tc>
          <w:tcPr>
            <w:tcW w:w="2970" w:type="dxa"/>
            <w:tcBorders/>
          </w:tcPr>
          <w:p>
            <w:pPr>
              <w:pStyle w:val="Normal"/>
              <w:rPr>
                <w:b/>
              </w:rPr>
            </w:pPr>
            <w:r>
              <w:rPr/>
              <w:t>December 2000</w:t>
            </w:r>
          </w:p>
        </w:tc>
      </w:tr>
      <w:tr>
        <w:trPr/>
        <w:tc>
          <w:tcPr>
            <w:tcW w:w="2250" w:type="dxa"/>
            <w:tcBorders/>
          </w:tcPr>
          <w:p>
            <w:pPr>
              <w:pStyle w:val="Normal"/>
              <w:snapToGrid w:val="false"/>
              <w:rPr>
                <w:b/>
              </w:rPr>
            </w:pPr>
            <w:r>
              <w:rPr>
                <w:b/>
              </w:rPr>
            </w:r>
          </w:p>
        </w:tc>
        <w:tc>
          <w:tcPr>
            <w:tcW w:w="630" w:type="dxa"/>
            <w:tcBorders/>
          </w:tcPr>
          <w:p>
            <w:pPr>
              <w:pStyle w:val="Normal"/>
              <w:snapToGrid w:val="false"/>
              <w:rPr/>
            </w:pPr>
            <w:r>
              <w:rPr/>
            </w:r>
          </w:p>
        </w:tc>
        <w:tc>
          <w:tcPr>
            <w:tcW w:w="3510" w:type="dxa"/>
            <w:gridSpan w:val="2"/>
            <w:tcBorders/>
          </w:tcPr>
          <w:p>
            <w:pPr>
              <w:pStyle w:val="Normal"/>
              <w:rPr>
                <w:b/>
              </w:rPr>
            </w:pPr>
            <w:r>
              <w:rPr/>
              <w:t>Testing</w:t>
            </w:r>
          </w:p>
        </w:tc>
        <w:tc>
          <w:tcPr>
            <w:tcW w:w="2970" w:type="dxa"/>
            <w:tcBorders/>
          </w:tcPr>
          <w:p>
            <w:pPr>
              <w:pStyle w:val="Normal"/>
              <w:rPr/>
            </w:pPr>
            <w:r>
              <w:rPr/>
              <w:t>November 2001</w:t>
            </w:r>
          </w:p>
        </w:tc>
      </w:tr>
      <w:tr>
        <w:trPr/>
        <w:tc>
          <w:tcPr>
            <w:tcW w:w="2250" w:type="dxa"/>
            <w:tcBorders/>
          </w:tcPr>
          <w:p>
            <w:pPr>
              <w:pStyle w:val="Normal"/>
              <w:snapToGrid w:val="false"/>
              <w:rPr/>
            </w:pPr>
            <w:r>
              <w:rPr/>
            </w:r>
          </w:p>
        </w:tc>
        <w:tc>
          <w:tcPr>
            <w:tcW w:w="630" w:type="dxa"/>
            <w:tcBorders>
              <w:bottom w:val="single" w:sz="6" w:space="0" w:color="000000"/>
            </w:tcBorders>
          </w:tcPr>
          <w:p>
            <w:pPr>
              <w:pStyle w:val="Normal"/>
              <w:snapToGrid w:val="false"/>
              <w:rPr/>
            </w:pPr>
            <w:r>
              <w:rPr/>
            </w:r>
          </w:p>
        </w:tc>
        <w:tc>
          <w:tcPr>
            <w:tcW w:w="3510" w:type="dxa"/>
            <w:gridSpan w:val="2"/>
            <w:tcBorders>
              <w:bottom w:val="single" w:sz="6" w:space="0" w:color="000000"/>
            </w:tcBorders>
          </w:tcPr>
          <w:p>
            <w:pPr>
              <w:pStyle w:val="Normal"/>
              <w:rPr/>
            </w:pPr>
            <w:r>
              <w:rPr/>
              <w:t>Commercial Operation</w:t>
            </w:r>
          </w:p>
        </w:tc>
        <w:tc>
          <w:tcPr>
            <w:tcW w:w="2970" w:type="dxa"/>
            <w:tcBorders>
              <w:bottom w:val="single" w:sz="6" w:space="0" w:color="000000"/>
            </w:tcBorders>
          </w:tcPr>
          <w:p>
            <w:pPr>
              <w:pStyle w:val="Normal"/>
              <w:rPr>
                <w:b/>
              </w:rPr>
            </w:pPr>
            <w:r>
              <w:rPr/>
              <w:t>March 2002</w:t>
            </w:r>
          </w:p>
        </w:tc>
      </w:tr>
    </w:tbl>
    <w:p>
      <w:pPr>
        <w:pStyle w:val="Normal"/>
        <w:rPr/>
      </w:pPr>
      <w:r>
        <w:rPr/>
      </w:r>
    </w:p>
    <w:p>
      <w:pPr>
        <w:pStyle w:val="Normal"/>
        <w:rPr>
          <w:sz w:val="20"/>
        </w:rPr>
      </w:pPr>
      <w:r>
        <w:rPr>
          <w:sz w:val="20"/>
        </w:rPr>
        <w:t>*For more details on the timetable, see Appendi</w:t>
      </w:r>
      <w:r>
        <w:rPr/>
        <w:t xml:space="preserve">x B for the Milestones Schedule and </w:t>
      </w:r>
      <w:r>
        <w:rPr>
          <w:sz w:val="20"/>
        </w:rPr>
        <w:t xml:space="preserve">Appendix </w:t>
      </w:r>
      <w:r>
        <w:rPr/>
        <w:t>C</w:t>
      </w:r>
      <w:r>
        <w:rPr>
          <w:sz w:val="20"/>
        </w:rPr>
        <w:t xml:space="preserve"> for the Project Control Matrix</w:t>
      </w:r>
      <w:r>
        <w:rPr/>
        <w:t>.</w:t>
      </w:r>
    </w:p>
    <w:p>
      <w:pPr>
        <w:pStyle w:val="Normal"/>
        <w:rPr>
          <w:sz w:val="20"/>
        </w:rPr>
      </w:pPr>
      <w:r>
        <w:rPr>
          <w:sz w:val="20"/>
        </w:rPr>
      </w:r>
    </w:p>
    <w:p>
      <w:pPr>
        <w:pStyle w:val="Normal"/>
        <w:rPr/>
      </w:pPr>
      <w:r>
        <w:rPr/>
      </w:r>
    </w:p>
    <w:p>
      <w:pPr>
        <w:pStyle w:val="Normal"/>
        <w:ind w:start="720" w:end="0"/>
        <w:rPr/>
      </w:pPr>
      <w:r>
        <w:rPr/>
      </w:r>
    </w:p>
    <w:p>
      <w:pPr>
        <w:pStyle w:val="Heading3"/>
        <w:spacing w:before="240" w:after="240"/>
        <w:ind w:hanging="0" w:start="0"/>
        <w:rPr/>
      </w:pPr>
      <w:bookmarkStart w:id="55" w:name="__RefHeading___Toc482880148"/>
      <w:bookmarkEnd w:id="55"/>
      <w:r>
        <w:rPr/>
        <w:t>Development Budget Cost Estimates</w:t>
      </w:r>
    </w:p>
    <w:p>
      <w:pPr>
        <w:pStyle w:val="Normal"/>
        <w:tabs>
          <w:tab w:val="clear" w:pos="360"/>
          <w:tab w:val="decimal" w:pos="5760" w:leader="none"/>
        </w:tabs>
        <w:spacing w:before="0" w:after="120"/>
        <w:ind w:start="1440" w:end="0"/>
        <w:rPr>
          <w:b/>
        </w:rPr>
      </w:pPr>
      <w:r>
        <w:rPr>
          <w:b/>
        </w:rPr>
        <w:t>Development Cost</w:t>
      </w:r>
    </w:p>
    <w:p>
      <w:pPr>
        <w:pStyle w:val="Normal"/>
        <w:tabs>
          <w:tab w:val="clear" w:pos="360"/>
          <w:tab w:val="decimal" w:pos="5760" w:leader="none"/>
        </w:tabs>
        <w:spacing w:before="0" w:after="120"/>
        <w:ind w:start="1440" w:end="0"/>
        <w:rPr>
          <w:b/>
        </w:rPr>
      </w:pPr>
      <w:r>
        <w:rPr>
          <w:b/>
        </w:rPr>
        <w:t>Pre-closing</w:t>
      </w:r>
    </w:p>
    <w:p>
      <w:pPr>
        <w:pStyle w:val="Normal"/>
        <w:tabs>
          <w:tab w:val="clear" w:pos="360"/>
          <w:tab w:val="decimal" w:pos="5760" w:leader="none"/>
        </w:tabs>
        <w:spacing w:before="0" w:after="120"/>
        <w:ind w:start="1440" w:end="0"/>
        <w:rPr/>
      </w:pPr>
      <w:r>
        <w:rPr/>
        <w:t>Engineering</w:t>
        <w:tab/>
        <w:t>$161,600</w:t>
      </w:r>
    </w:p>
    <w:p>
      <w:pPr>
        <w:pStyle w:val="Normal"/>
        <w:tabs>
          <w:tab w:val="clear" w:pos="360"/>
          <w:tab w:val="decimal" w:pos="5760" w:leader="none"/>
        </w:tabs>
        <w:spacing w:before="0" w:after="120"/>
        <w:ind w:start="1440" w:end="0"/>
        <w:rPr/>
      </w:pPr>
      <w:r>
        <w:rPr/>
        <w:t>Interconnects</w:t>
        <w:tab/>
        <w:t>$101,500</w:t>
      </w:r>
    </w:p>
    <w:p>
      <w:pPr>
        <w:pStyle w:val="Normal"/>
        <w:tabs>
          <w:tab w:val="clear" w:pos="360"/>
          <w:tab w:val="decimal" w:pos="5760" w:leader="none"/>
        </w:tabs>
        <w:spacing w:before="0" w:after="120"/>
        <w:ind w:start="1440" w:end="0"/>
        <w:rPr/>
      </w:pPr>
      <w:r>
        <w:rPr/>
        <w:t>Permitting / CEC Support</w:t>
        <w:tab/>
        <w:t>$200,500</w:t>
      </w:r>
    </w:p>
    <w:p>
      <w:pPr>
        <w:pStyle w:val="Normal"/>
        <w:tabs>
          <w:tab w:val="clear" w:pos="360"/>
          <w:tab w:val="decimal" w:pos="5760" w:leader="none"/>
        </w:tabs>
        <w:spacing w:before="0" w:after="120"/>
        <w:ind w:start="1440" w:end="0"/>
        <w:rPr/>
      </w:pPr>
      <w:r>
        <w:rPr/>
        <w:t>Land</w:t>
        <w:tab/>
        <w:t>$145,000</w:t>
      </w:r>
    </w:p>
    <w:p>
      <w:pPr>
        <w:pStyle w:val="Normal"/>
        <w:tabs>
          <w:tab w:val="clear" w:pos="360"/>
          <w:tab w:val="decimal" w:pos="5760" w:leader="none"/>
        </w:tabs>
        <w:spacing w:before="0" w:after="120"/>
        <w:ind w:start="1440" w:end="0"/>
        <w:rPr/>
      </w:pPr>
      <w:r>
        <w:rPr/>
        <w:t>Consulting</w:t>
        <w:tab/>
        <w:t>$125,000</w:t>
      </w:r>
    </w:p>
    <w:p>
      <w:pPr>
        <w:pStyle w:val="Normal"/>
        <w:tabs>
          <w:tab w:val="clear" w:pos="360"/>
          <w:tab w:val="decimal" w:pos="5760" w:leader="none"/>
        </w:tabs>
        <w:spacing w:before="0" w:after="120"/>
        <w:ind w:start="1440" w:end="0"/>
        <w:rPr/>
      </w:pPr>
      <w:r>
        <w:rPr/>
        <w:t>Legal</w:t>
        <w:tab/>
        <w:t>$500,000</w:t>
      </w:r>
    </w:p>
    <w:p>
      <w:pPr>
        <w:pStyle w:val="Normal"/>
        <w:tabs>
          <w:tab w:val="clear" w:pos="360"/>
          <w:tab w:val="decimal" w:pos="5760" w:leader="none"/>
        </w:tabs>
        <w:spacing w:before="0" w:after="120"/>
        <w:ind w:start="1440" w:end="0"/>
        <w:rPr/>
      </w:pPr>
      <w:r>
        <w:rPr/>
        <w:t>Payments to LVCLP</w:t>
        <w:tab/>
        <w:t>$140,000</w:t>
      </w:r>
    </w:p>
    <w:p>
      <w:pPr>
        <w:pStyle w:val="Normal"/>
        <w:tabs>
          <w:tab w:val="clear" w:pos="360"/>
          <w:tab w:val="decimal" w:pos="5760" w:leader="none"/>
        </w:tabs>
        <w:spacing w:before="0" w:after="120"/>
        <w:ind w:start="1440" w:end="0"/>
        <w:rPr/>
      </w:pPr>
      <w:r>
        <w:rPr/>
        <w:t>Air Pollution Offsets</w:t>
        <w:tab/>
        <w:t>$250,000</w:t>
      </w:r>
    </w:p>
    <w:p>
      <w:pPr>
        <w:pStyle w:val="Normal"/>
        <w:tabs>
          <w:tab w:val="clear" w:pos="360"/>
          <w:tab w:val="decimal" w:pos="5760" w:leader="none"/>
        </w:tabs>
        <w:spacing w:before="0" w:after="120"/>
        <w:ind w:start="1440" w:end="0"/>
        <w:rPr/>
      </w:pPr>
      <w:r>
        <w:rPr/>
        <w:t>Contingency</w:t>
        <w:tab/>
        <w:t>$250,000</w:t>
      </w:r>
    </w:p>
    <w:p>
      <w:pPr>
        <w:pStyle w:val="Normal"/>
        <w:tabs>
          <w:tab w:val="clear" w:pos="360"/>
          <w:tab w:val="decimal" w:pos="5760" w:leader="none"/>
        </w:tabs>
        <w:spacing w:before="0" w:after="120"/>
        <w:ind w:start="1440" w:end="0"/>
        <w:rPr>
          <w:b/>
          <w:i/>
          <w:i/>
        </w:rPr>
      </w:pPr>
      <w:r>
        <w:rPr>
          <w:b/>
          <w:i/>
        </w:rPr>
        <w:t>Total Pre-closing</w:t>
        <w:tab/>
        <w:t>$1,873,600</w:t>
      </w:r>
    </w:p>
    <w:p>
      <w:pPr>
        <w:pStyle w:val="Normal"/>
        <w:tabs>
          <w:tab w:val="clear" w:pos="360"/>
          <w:tab w:val="decimal" w:pos="5760" w:leader="none"/>
        </w:tabs>
        <w:spacing w:before="0" w:after="120"/>
        <w:ind w:start="1440" w:end="0"/>
        <w:rPr>
          <w:b/>
          <w:i/>
          <w:i/>
        </w:rPr>
      </w:pPr>
      <w:r>
        <w:rPr>
          <w:b/>
          <w:i/>
        </w:rPr>
      </w:r>
    </w:p>
    <w:p>
      <w:pPr>
        <w:pStyle w:val="Normal"/>
        <w:tabs>
          <w:tab w:val="clear" w:pos="360"/>
          <w:tab w:val="decimal" w:pos="5760" w:leader="none"/>
        </w:tabs>
        <w:spacing w:before="0" w:after="120"/>
        <w:ind w:start="1440" w:end="0"/>
        <w:rPr>
          <w:b/>
        </w:rPr>
      </w:pPr>
      <w:r>
        <w:rPr>
          <w:b/>
        </w:rPr>
        <w:t>Closing</w:t>
      </w:r>
    </w:p>
    <w:p>
      <w:pPr>
        <w:pStyle w:val="Normal"/>
        <w:tabs>
          <w:tab w:val="clear" w:pos="360"/>
          <w:tab w:val="decimal" w:pos="5760" w:leader="none"/>
        </w:tabs>
        <w:spacing w:before="0" w:after="120"/>
        <w:ind w:start="1440" w:end="0"/>
        <w:rPr/>
      </w:pPr>
      <w:r>
        <w:rPr/>
        <w:t>Lender Origination Fee</w:t>
        <w:tab/>
        <w:t>$1,098,146</w:t>
      </w:r>
    </w:p>
    <w:p>
      <w:pPr>
        <w:pStyle w:val="Normal"/>
        <w:tabs>
          <w:tab w:val="clear" w:pos="360"/>
          <w:tab w:val="decimal" w:pos="5760" w:leader="none"/>
        </w:tabs>
        <w:spacing w:before="0" w:after="120"/>
        <w:ind w:start="1440" w:end="0"/>
        <w:rPr/>
      </w:pPr>
      <w:r>
        <w:rPr/>
        <w:t>Soft Cost</w:t>
        <w:tab/>
        <w:t>$2,151,538</w:t>
      </w:r>
    </w:p>
    <w:p>
      <w:pPr>
        <w:pStyle w:val="Normal"/>
        <w:tabs>
          <w:tab w:val="clear" w:pos="360"/>
          <w:tab w:val="decimal" w:pos="5760" w:leader="none"/>
        </w:tabs>
        <w:spacing w:before="0" w:after="120"/>
        <w:ind w:start="1440" w:end="0"/>
        <w:rPr>
          <w:b/>
          <w:i/>
          <w:i/>
        </w:rPr>
      </w:pPr>
      <w:r>
        <w:rPr>
          <w:b/>
          <w:i/>
        </w:rPr>
        <w:t>Total Closing</w:t>
        <w:tab/>
        <w:t>$3,249,684</w:t>
      </w:r>
    </w:p>
    <w:p>
      <w:pPr>
        <w:pStyle w:val="Normal"/>
        <w:tabs>
          <w:tab w:val="clear" w:pos="360"/>
          <w:tab w:val="decimal" w:pos="5760" w:leader="none"/>
        </w:tabs>
        <w:spacing w:before="0" w:after="120"/>
        <w:ind w:start="1440" w:end="0"/>
        <w:rPr>
          <w:b/>
          <w:i/>
          <w:i/>
        </w:rPr>
      </w:pPr>
      <w:r>
        <w:rPr>
          <w:b/>
          <w:i/>
        </w:rPr>
      </w:r>
    </w:p>
    <w:p>
      <w:pPr>
        <w:pStyle w:val="Normal"/>
        <w:tabs>
          <w:tab w:val="clear" w:pos="360"/>
          <w:tab w:val="decimal" w:pos="5760" w:leader="none"/>
        </w:tabs>
        <w:spacing w:before="0" w:after="120"/>
        <w:ind w:start="1440" w:end="0"/>
        <w:rPr>
          <w:b/>
        </w:rPr>
      </w:pPr>
      <w:r>
        <w:rPr>
          <w:b/>
        </w:rPr>
        <w:t>Total Development Cost</w:t>
        <w:tab/>
        <w:t>$5,123,284</w:t>
      </w:r>
    </w:p>
    <w:p>
      <w:pPr>
        <w:pStyle w:val="Heading3"/>
        <w:ind w:hanging="0" w:start="0"/>
        <w:rPr/>
      </w:pPr>
      <w:bookmarkStart w:id="56" w:name="__RefHeading___Toc482880149"/>
      <w:bookmarkEnd w:id="56"/>
      <w:r>
        <w:rPr/>
        <w:t>Expected Finance Structure</w:t>
      </w:r>
    </w:p>
    <w:p>
      <w:pPr>
        <w:pStyle w:val="Normal"/>
        <w:rPr/>
      </w:pPr>
      <w:r>
        <w:rPr/>
      </w:r>
    </w:p>
    <w:p>
      <w:pPr>
        <w:pStyle w:val="Normal"/>
        <w:rPr/>
      </w:pPr>
      <w:r>
        <w:rPr/>
        <w:t>The financing structure can vary depending on whether LVC II will operate entirely as merchant facility or whether power offtake will be contracted to local municipalities or within a GENCO structure.  If PPAs or tolling agreements are put in place, LVC II  will be able to take on more leverage.</w:t>
      </w:r>
      <w:r>
        <w:br w:type="page"/>
      </w:r>
    </w:p>
    <w:p>
      <w:pPr>
        <w:pStyle w:val="heding4"/>
        <w:rPr/>
      </w:pPr>
      <w:r>
        <w:rPr/>
      </w:r>
    </w:p>
    <w:tbl>
      <w:tblPr>
        <w:tblW w:w="8370" w:type="dxa"/>
        <w:jc w:val="start"/>
        <w:tblInd w:w="828" w:type="dxa"/>
        <w:tblLayout w:type="fixed"/>
        <w:tblCellMar>
          <w:top w:w="0" w:type="dxa"/>
          <w:start w:w="108" w:type="dxa"/>
          <w:bottom w:w="0" w:type="dxa"/>
          <w:end w:w="108" w:type="dxa"/>
        </w:tblCellMar>
      </w:tblPr>
      <w:tblGrid>
        <w:gridCol w:w="2610"/>
        <w:gridCol w:w="5760"/>
      </w:tblGrid>
      <w:tr>
        <w:trPr/>
        <w:tc>
          <w:tcPr>
            <w:tcW w:w="2610" w:type="dxa"/>
            <w:tcBorders/>
          </w:tcPr>
          <w:p>
            <w:pPr>
              <w:pStyle w:val="Normal"/>
              <w:rPr>
                <w:sz w:val="22"/>
              </w:rPr>
            </w:pPr>
            <w:r>
              <w:rPr>
                <w:sz w:val="22"/>
              </w:rPr>
              <w:t>Amount:</w:t>
            </w:r>
          </w:p>
        </w:tc>
        <w:tc>
          <w:tcPr>
            <w:tcW w:w="5760" w:type="dxa"/>
            <w:tcBorders/>
          </w:tcPr>
          <w:p>
            <w:pPr>
              <w:pStyle w:val="Normal"/>
              <w:rPr>
                <w:sz w:val="22"/>
              </w:rPr>
            </w:pPr>
            <w:r>
              <w:rPr>
                <w:sz w:val="22"/>
              </w:rPr>
              <w:t>$72,000,000 (approximate)</w:t>
            </w:r>
          </w:p>
          <w:p>
            <w:pPr>
              <w:pStyle w:val="Normal"/>
              <w:rPr>
                <w:sz w:val="22"/>
              </w:rPr>
            </w:pPr>
            <w:r>
              <w:rPr>
                <w:sz w:val="22"/>
              </w:rPr>
            </w:r>
          </w:p>
        </w:tc>
      </w:tr>
      <w:tr>
        <w:trPr>
          <w:trHeight w:val="540" w:hRule="atLeast"/>
        </w:trPr>
        <w:tc>
          <w:tcPr>
            <w:tcW w:w="2610" w:type="dxa"/>
            <w:tcBorders/>
          </w:tcPr>
          <w:p>
            <w:pPr>
              <w:pStyle w:val="Normal"/>
              <w:rPr>
                <w:sz w:val="22"/>
              </w:rPr>
            </w:pPr>
            <w:r>
              <w:rPr>
                <w:sz w:val="22"/>
              </w:rPr>
              <w:t>Term:</w:t>
            </w:r>
          </w:p>
        </w:tc>
        <w:tc>
          <w:tcPr>
            <w:tcW w:w="5760" w:type="dxa"/>
            <w:tcBorders/>
          </w:tcPr>
          <w:p>
            <w:pPr>
              <w:pStyle w:val="Normal"/>
              <w:rPr>
                <w:sz w:val="22"/>
              </w:rPr>
            </w:pPr>
            <w:r>
              <w:rPr>
                <w:sz w:val="22"/>
              </w:rPr>
              <w:t>15 years</w:t>
            </w:r>
          </w:p>
          <w:p>
            <w:pPr>
              <w:pStyle w:val="Normal"/>
              <w:rPr>
                <w:sz w:val="22"/>
              </w:rPr>
            </w:pPr>
            <w:r>
              <w:rPr>
                <w:sz w:val="22"/>
              </w:rPr>
            </w:r>
          </w:p>
        </w:tc>
      </w:tr>
      <w:tr>
        <w:trPr/>
        <w:tc>
          <w:tcPr>
            <w:tcW w:w="2610" w:type="dxa"/>
            <w:tcBorders/>
          </w:tcPr>
          <w:p>
            <w:pPr>
              <w:pStyle w:val="Normal"/>
              <w:rPr>
                <w:sz w:val="22"/>
              </w:rPr>
            </w:pPr>
            <w:r>
              <w:rPr>
                <w:sz w:val="22"/>
              </w:rPr>
              <w:t>Interest Rate:</w:t>
            </w:r>
          </w:p>
        </w:tc>
        <w:tc>
          <w:tcPr>
            <w:tcW w:w="5760" w:type="dxa"/>
            <w:tcBorders/>
          </w:tcPr>
          <w:p>
            <w:pPr>
              <w:pStyle w:val="Normal"/>
              <w:rPr>
                <w:sz w:val="22"/>
              </w:rPr>
            </w:pPr>
            <w:r>
              <w:rPr>
                <w:sz w:val="22"/>
              </w:rPr>
              <w:t>8% - 10 year fixed Libor rate plus a spread:</w:t>
            </w:r>
          </w:p>
          <w:p>
            <w:pPr>
              <w:pStyle w:val="Normal"/>
              <w:ind w:hanging="630" w:start="630" w:end="0"/>
              <w:rPr>
                <w:sz w:val="22"/>
              </w:rPr>
            </w:pPr>
            <w:r>
              <w:rPr>
                <w:sz w:val="22"/>
              </w:rPr>
              <w:t>137.5 bps during construction and the first three years of operations.</w:t>
            </w:r>
          </w:p>
          <w:p>
            <w:pPr>
              <w:pStyle w:val="Normal"/>
              <w:rPr>
                <w:sz w:val="22"/>
              </w:rPr>
            </w:pPr>
            <w:r>
              <w:rPr>
                <w:sz w:val="22"/>
              </w:rPr>
              <w:t>150 bps for years 4-15.</w:t>
            </w:r>
          </w:p>
          <w:p>
            <w:pPr>
              <w:pStyle w:val="Normal"/>
              <w:ind w:hanging="630" w:start="630" w:end="0"/>
              <w:rPr>
                <w:sz w:val="22"/>
              </w:rPr>
            </w:pPr>
            <w:r>
              <w:rPr>
                <w:sz w:val="22"/>
              </w:rPr>
            </w:r>
          </w:p>
        </w:tc>
      </w:tr>
      <w:tr>
        <w:trPr/>
        <w:tc>
          <w:tcPr>
            <w:tcW w:w="2610" w:type="dxa"/>
            <w:tcBorders/>
          </w:tcPr>
          <w:p>
            <w:pPr>
              <w:pStyle w:val="Body"/>
              <w:spacing w:before="0" w:after="0"/>
              <w:rPr/>
            </w:pPr>
            <w:r>
              <w:rPr/>
              <w:t>Financial Close Date:</w:t>
            </w:r>
          </w:p>
        </w:tc>
        <w:tc>
          <w:tcPr>
            <w:tcW w:w="5760" w:type="dxa"/>
            <w:tcBorders/>
          </w:tcPr>
          <w:p>
            <w:pPr>
              <w:pStyle w:val="Body"/>
              <w:spacing w:before="0" w:after="0"/>
              <w:rPr/>
            </w:pPr>
            <w:r>
              <w:rPr/>
              <w:t>11/31/00</w:t>
            </w:r>
          </w:p>
          <w:p>
            <w:pPr>
              <w:pStyle w:val="Body"/>
              <w:spacing w:before="0" w:after="0"/>
              <w:rPr/>
            </w:pPr>
            <w:r>
              <w:rPr/>
            </w:r>
          </w:p>
        </w:tc>
      </w:tr>
      <w:tr>
        <w:trPr/>
        <w:tc>
          <w:tcPr>
            <w:tcW w:w="2610" w:type="dxa"/>
            <w:tcBorders/>
          </w:tcPr>
          <w:p>
            <w:pPr>
              <w:pStyle w:val="Normal"/>
              <w:rPr/>
            </w:pPr>
            <w:r>
              <w:rPr/>
              <w:t xml:space="preserve">Capital Structure </w:t>
            </w:r>
          </w:p>
          <w:p>
            <w:pPr>
              <w:pStyle w:val="Normal"/>
              <w:rPr/>
            </w:pPr>
            <w:r>
              <w:rPr/>
              <w:t>(debt to equity):</w:t>
            </w:r>
          </w:p>
        </w:tc>
        <w:tc>
          <w:tcPr>
            <w:tcW w:w="5760" w:type="dxa"/>
            <w:tcBorders/>
          </w:tcPr>
          <w:p>
            <w:pPr>
              <w:pStyle w:val="Normal"/>
              <w:rPr/>
            </w:pPr>
            <w:r>
              <w:rPr/>
              <w:t>During Construction – 89% / 11%</w:t>
            </w:r>
          </w:p>
          <w:p>
            <w:pPr>
              <w:pStyle w:val="Normal"/>
              <w:rPr/>
            </w:pPr>
            <w:r>
              <w:rPr/>
              <w:t>During Operations – 50% / 50% (as a merchant facility)</w:t>
            </w:r>
          </w:p>
          <w:p>
            <w:pPr>
              <w:pStyle w:val="Normal"/>
              <w:rPr/>
            </w:pPr>
            <w:r>
              <w:rPr>
                <w:rFonts w:eastAsia="TimesNewRoman"/>
              </w:rPr>
              <w:t xml:space="preserve">                             </w:t>
            </w:r>
            <w:r>
              <w:rPr/>
              <w:t>60% / 40% (with off-take agreements)</w:t>
            </w:r>
          </w:p>
          <w:p>
            <w:pPr>
              <w:pStyle w:val="Normal"/>
              <w:rPr/>
            </w:pPr>
            <w:r>
              <w:rPr/>
            </w:r>
          </w:p>
        </w:tc>
      </w:tr>
      <w:tr>
        <w:trPr>
          <w:trHeight w:val="522" w:hRule="atLeast"/>
        </w:trPr>
        <w:tc>
          <w:tcPr>
            <w:tcW w:w="2610" w:type="dxa"/>
            <w:tcBorders/>
          </w:tcPr>
          <w:p>
            <w:pPr>
              <w:pStyle w:val="Body"/>
              <w:spacing w:before="0" w:after="0"/>
              <w:rPr/>
            </w:pPr>
            <w:r>
              <w:rPr/>
              <w:t xml:space="preserve">Debt Service Reserve:              </w:t>
            </w:r>
          </w:p>
        </w:tc>
        <w:tc>
          <w:tcPr>
            <w:tcW w:w="5760" w:type="dxa"/>
            <w:tcBorders/>
          </w:tcPr>
          <w:p>
            <w:pPr>
              <w:pStyle w:val="Body"/>
              <w:spacing w:before="0" w:after="0"/>
              <w:rPr/>
            </w:pPr>
            <w:r>
              <w:rPr/>
              <w:t>Value would be on 12 months of debt service</w:t>
            </w:r>
          </w:p>
          <w:p>
            <w:pPr>
              <w:pStyle w:val="Body"/>
              <w:spacing w:before="0" w:after="0"/>
              <w:rPr/>
            </w:pPr>
            <w:r>
              <w:rPr/>
            </w:r>
          </w:p>
        </w:tc>
      </w:tr>
      <w:tr>
        <w:trPr>
          <w:trHeight w:val="495" w:hRule="atLeast"/>
        </w:trPr>
        <w:tc>
          <w:tcPr>
            <w:tcW w:w="2610" w:type="dxa"/>
            <w:tcBorders/>
          </w:tcPr>
          <w:p>
            <w:pPr>
              <w:pStyle w:val="Normal"/>
              <w:rPr/>
            </w:pPr>
            <w:r>
              <w:rPr/>
              <w:t>or Letter of Credit:</w:t>
            </w:r>
          </w:p>
        </w:tc>
        <w:tc>
          <w:tcPr>
            <w:tcW w:w="5760" w:type="dxa"/>
            <w:tcBorders/>
          </w:tcPr>
          <w:p>
            <w:pPr>
              <w:pStyle w:val="Normal"/>
              <w:rPr/>
            </w:pPr>
            <w:r>
              <w:rPr/>
              <w:t>Fee is 1.5% on 6 months of debt service</w:t>
            </w:r>
          </w:p>
        </w:tc>
      </w:tr>
      <w:tr>
        <w:trPr/>
        <w:tc>
          <w:tcPr>
            <w:tcW w:w="2610" w:type="dxa"/>
            <w:tcBorders/>
          </w:tcPr>
          <w:p>
            <w:pPr>
              <w:pStyle w:val="heding4"/>
              <w:rPr/>
            </w:pPr>
            <w:r>
              <w:rPr/>
              <w:t>Loan Origination Fee:</w:t>
            </w:r>
          </w:p>
        </w:tc>
        <w:tc>
          <w:tcPr>
            <w:tcW w:w="5760" w:type="dxa"/>
            <w:tcBorders/>
          </w:tcPr>
          <w:p>
            <w:pPr>
              <w:pStyle w:val="Normal"/>
              <w:rPr/>
            </w:pPr>
            <w:r>
              <w:rPr/>
              <w:t>1.5% of loan amount</w:t>
            </w:r>
          </w:p>
          <w:p>
            <w:pPr>
              <w:pStyle w:val="Normal"/>
              <w:rPr/>
            </w:pPr>
            <w:r>
              <w:rPr/>
            </w:r>
          </w:p>
        </w:tc>
      </w:tr>
    </w:tbl>
    <w:p>
      <w:pPr>
        <w:pStyle w:val="Heading1"/>
        <w:tabs>
          <w:tab w:val="clear" w:pos="360"/>
        </w:tabs>
        <w:spacing w:before="240" w:after="240"/>
        <w:ind w:hanging="0" w:start="0"/>
        <w:rPr>
          <w:rFonts w:ascii="Times New Roman" w:hAnsi="Times New Roman" w:cs="Times New Roman"/>
        </w:rPr>
      </w:pPr>
      <w:bookmarkStart w:id="57" w:name="__RefHeading___Toc482880150"/>
      <w:bookmarkEnd w:id="57"/>
      <w:r>
        <w:rPr>
          <w:rFonts w:cs="Times New Roman" w:ascii="Times New Roman" w:hAnsi="Times New Roman"/>
        </w:rPr>
        <w:t>Economic Analysis</w:t>
      </w:r>
    </w:p>
    <w:p>
      <w:pPr>
        <w:pStyle w:val="Heading2"/>
        <w:ind w:hanging="0" w:start="0"/>
        <w:rPr/>
      </w:pPr>
      <w:bookmarkStart w:id="58" w:name="__RefHeading___Toc482880151"/>
      <w:bookmarkEnd w:id="58"/>
      <w:r>
        <w:rPr/>
        <w:t>Definitions and Assumptions</w:t>
      </w:r>
    </w:p>
    <w:tbl>
      <w:tblPr>
        <w:tblW w:w="9198" w:type="dxa"/>
        <w:jc w:val="start"/>
        <w:tblInd w:w="0" w:type="dxa"/>
        <w:tblLayout w:type="fixed"/>
        <w:tblCellMar>
          <w:top w:w="0" w:type="dxa"/>
          <w:start w:w="108" w:type="dxa"/>
          <w:bottom w:w="0" w:type="dxa"/>
          <w:end w:w="108" w:type="dxa"/>
        </w:tblCellMar>
      </w:tblPr>
      <w:tblGrid>
        <w:gridCol w:w="2628"/>
        <w:gridCol w:w="6570"/>
      </w:tblGrid>
      <w:tr>
        <w:trPr/>
        <w:tc>
          <w:tcPr>
            <w:tcW w:w="2628" w:type="dxa"/>
            <w:tcBorders/>
          </w:tcPr>
          <w:p>
            <w:pPr>
              <w:pStyle w:val="Normal"/>
              <w:rPr>
                <w:sz w:val="22"/>
              </w:rPr>
            </w:pPr>
            <w:r>
              <w:rPr>
                <w:sz w:val="22"/>
              </w:rPr>
              <w:t>QF Buy-Out:</w:t>
            </w:r>
          </w:p>
          <w:p>
            <w:pPr>
              <w:pStyle w:val="Normal"/>
              <w:rPr>
                <w:sz w:val="22"/>
              </w:rPr>
            </w:pPr>
            <w:r>
              <w:rPr>
                <w:sz w:val="22"/>
              </w:rPr>
            </w:r>
          </w:p>
          <w:p>
            <w:pPr>
              <w:pStyle w:val="Normal"/>
              <w:rPr>
                <w:sz w:val="22"/>
              </w:rPr>
            </w:pPr>
            <w:r>
              <w:rPr>
                <w:sz w:val="22"/>
              </w:rPr>
            </w:r>
          </w:p>
        </w:tc>
        <w:tc>
          <w:tcPr>
            <w:tcW w:w="6570" w:type="dxa"/>
            <w:tcBorders/>
          </w:tcPr>
          <w:p>
            <w:pPr>
              <w:pStyle w:val="Normal"/>
              <w:rPr>
                <w:sz w:val="22"/>
              </w:rPr>
            </w:pPr>
            <w:r>
              <w:rPr>
                <w:sz w:val="22"/>
              </w:rPr>
              <w:t>Assumed date for final negotiated agreement on QF PPA settlement and buy-out.</w:t>
            </w:r>
          </w:p>
          <w:p>
            <w:pPr>
              <w:pStyle w:val="Normal"/>
              <w:rPr>
                <w:sz w:val="22"/>
              </w:rPr>
            </w:pPr>
            <w:r>
              <w:rPr>
                <w:sz w:val="22"/>
              </w:rPr>
            </w:r>
          </w:p>
        </w:tc>
      </w:tr>
      <w:tr>
        <w:trPr/>
        <w:tc>
          <w:tcPr>
            <w:tcW w:w="2628" w:type="dxa"/>
            <w:tcBorders/>
          </w:tcPr>
          <w:p>
            <w:pPr>
              <w:pStyle w:val="Normal"/>
              <w:rPr>
                <w:sz w:val="22"/>
              </w:rPr>
            </w:pPr>
            <w:r>
              <w:rPr>
                <w:sz w:val="22"/>
              </w:rPr>
              <w:t>Merchant Operation:</w:t>
            </w:r>
          </w:p>
        </w:tc>
        <w:tc>
          <w:tcPr>
            <w:tcW w:w="6570" w:type="dxa"/>
            <w:tcBorders/>
          </w:tcPr>
          <w:p>
            <w:pPr>
              <w:pStyle w:val="Normal"/>
              <w:rPr>
                <w:sz w:val="22"/>
              </w:rPr>
            </w:pPr>
            <w:r>
              <w:rPr>
                <w:sz w:val="22"/>
              </w:rPr>
              <w:t>Date at which LV Cogen plant commences operation as a stand alone merchant plant.</w:t>
            </w:r>
          </w:p>
          <w:p>
            <w:pPr>
              <w:pStyle w:val="Normal"/>
              <w:rPr>
                <w:sz w:val="22"/>
              </w:rPr>
            </w:pPr>
            <w:r>
              <w:rPr>
                <w:sz w:val="22"/>
              </w:rPr>
            </w:r>
          </w:p>
        </w:tc>
      </w:tr>
      <w:tr>
        <w:trPr/>
        <w:tc>
          <w:tcPr>
            <w:tcW w:w="2628" w:type="dxa"/>
            <w:tcBorders/>
          </w:tcPr>
          <w:p>
            <w:pPr>
              <w:pStyle w:val="Normal"/>
              <w:rPr>
                <w:sz w:val="22"/>
              </w:rPr>
            </w:pPr>
            <w:r>
              <w:rPr>
                <w:sz w:val="22"/>
              </w:rPr>
              <w:t>Sale of Asset:</w:t>
            </w:r>
          </w:p>
        </w:tc>
        <w:tc>
          <w:tcPr>
            <w:tcW w:w="6570" w:type="dxa"/>
            <w:tcBorders/>
          </w:tcPr>
          <w:p>
            <w:pPr>
              <w:pStyle w:val="Normal"/>
              <w:rPr>
                <w:sz w:val="22"/>
              </w:rPr>
            </w:pPr>
            <w:r>
              <w:rPr>
                <w:sz w:val="22"/>
              </w:rPr>
              <w:t>Date at which plant assets are sold to third party.</w:t>
            </w:r>
          </w:p>
          <w:p>
            <w:pPr>
              <w:pStyle w:val="Normal"/>
              <w:rPr>
                <w:sz w:val="22"/>
              </w:rPr>
            </w:pPr>
            <w:r>
              <w:rPr>
                <w:sz w:val="22"/>
              </w:rPr>
            </w:r>
          </w:p>
        </w:tc>
      </w:tr>
      <w:tr>
        <w:trPr/>
        <w:tc>
          <w:tcPr>
            <w:tcW w:w="2628" w:type="dxa"/>
            <w:tcBorders/>
          </w:tcPr>
          <w:p>
            <w:pPr>
              <w:pStyle w:val="Normal"/>
              <w:rPr>
                <w:sz w:val="22"/>
              </w:rPr>
            </w:pPr>
            <w:r>
              <w:rPr>
                <w:sz w:val="22"/>
              </w:rPr>
              <w:t>Wheeling Charge:</w:t>
            </w:r>
          </w:p>
        </w:tc>
        <w:tc>
          <w:tcPr>
            <w:tcW w:w="6570" w:type="dxa"/>
            <w:tcBorders/>
          </w:tcPr>
          <w:p>
            <w:pPr>
              <w:pStyle w:val="Normal"/>
              <w:rPr/>
            </w:pPr>
            <w:r>
              <w:rPr/>
              <w:t>Transmission charge required to move energy from the plant bus bar to the Mead delivery point.  It is assumed that as Nevada moves towards the California ISO model, that transmission wheeling charges will be zero in the absence of path congestion.</w:t>
            </w:r>
          </w:p>
          <w:p>
            <w:pPr>
              <w:pStyle w:val="Normal"/>
              <w:rPr>
                <w:sz w:val="22"/>
              </w:rPr>
            </w:pPr>
            <w:r>
              <w:rPr>
                <w:sz w:val="22"/>
              </w:rPr>
            </w:r>
          </w:p>
        </w:tc>
      </w:tr>
      <w:tr>
        <w:trPr/>
        <w:tc>
          <w:tcPr>
            <w:tcW w:w="2628" w:type="dxa"/>
            <w:tcBorders/>
          </w:tcPr>
          <w:p>
            <w:pPr>
              <w:pStyle w:val="Normal"/>
              <w:rPr>
                <w:sz w:val="22"/>
              </w:rPr>
            </w:pPr>
            <w:r>
              <w:rPr>
                <w:sz w:val="22"/>
              </w:rPr>
              <w:t>Wheeling Losses:</w:t>
            </w:r>
          </w:p>
        </w:tc>
        <w:tc>
          <w:tcPr>
            <w:tcW w:w="6570" w:type="dxa"/>
            <w:tcBorders/>
          </w:tcPr>
          <w:p>
            <w:pPr>
              <w:pStyle w:val="Normal"/>
              <w:rPr>
                <w:sz w:val="22"/>
              </w:rPr>
            </w:pPr>
            <w:r>
              <w:rPr>
                <w:sz w:val="22"/>
              </w:rPr>
              <w:t>Losses associated with delivery into the California ISO.</w:t>
            </w:r>
          </w:p>
          <w:p>
            <w:pPr>
              <w:pStyle w:val="Normal"/>
              <w:rPr>
                <w:sz w:val="22"/>
              </w:rPr>
            </w:pPr>
            <w:r>
              <w:rPr>
                <w:sz w:val="22"/>
              </w:rPr>
            </w:r>
          </w:p>
        </w:tc>
      </w:tr>
      <w:tr>
        <w:trPr/>
        <w:tc>
          <w:tcPr>
            <w:tcW w:w="2628" w:type="dxa"/>
            <w:tcBorders/>
          </w:tcPr>
          <w:p>
            <w:pPr>
              <w:pStyle w:val="Normal"/>
              <w:rPr>
                <w:sz w:val="22"/>
              </w:rPr>
            </w:pPr>
            <w:r>
              <w:rPr>
                <w:sz w:val="22"/>
              </w:rPr>
              <w:t>PPA Buy-Out:</w:t>
            </w:r>
          </w:p>
        </w:tc>
        <w:tc>
          <w:tcPr>
            <w:tcW w:w="6570" w:type="dxa"/>
            <w:tcBorders/>
          </w:tcPr>
          <w:p>
            <w:pPr>
              <w:pStyle w:val="BodyText"/>
              <w:rPr>
                <w:sz w:val="22"/>
              </w:rPr>
            </w:pPr>
            <w:r>
              <w:rPr>
                <w:sz w:val="22"/>
              </w:rPr>
              <w:t xml:space="preserve">Estimated PV of the difference between the QF PPA capacity and energy payments and the market value for this energy.  The value of the PPA payments are discounted at the existing project discount rate of 11 percent.  The forecasted market valuations for energy and capacity after the PPA buy-out are based on merchant discount rate of 12.25 %. </w:t>
            </w:r>
          </w:p>
          <w:p>
            <w:pPr>
              <w:pStyle w:val="Normal"/>
              <w:rPr>
                <w:sz w:val="22"/>
              </w:rPr>
            </w:pPr>
            <w:r>
              <w:rPr>
                <w:sz w:val="22"/>
              </w:rPr>
            </w:r>
          </w:p>
        </w:tc>
      </w:tr>
      <w:tr>
        <w:trPr/>
        <w:tc>
          <w:tcPr>
            <w:tcW w:w="2628" w:type="dxa"/>
            <w:tcBorders/>
          </w:tcPr>
          <w:p>
            <w:pPr>
              <w:pStyle w:val="Normal"/>
              <w:rPr>
                <w:sz w:val="22"/>
              </w:rPr>
            </w:pPr>
            <w:r>
              <w:rPr>
                <w:sz w:val="22"/>
              </w:rPr>
              <w:t>Gas Swap:</w:t>
            </w:r>
          </w:p>
        </w:tc>
        <w:tc>
          <w:tcPr>
            <w:tcW w:w="6570" w:type="dxa"/>
            <w:tcBorders/>
          </w:tcPr>
          <w:p>
            <w:pPr>
              <w:pStyle w:val="Normal"/>
              <w:rPr>
                <w:sz w:val="22"/>
              </w:rPr>
            </w:pPr>
            <w:r>
              <w:rPr>
                <w:sz w:val="22"/>
              </w:rPr>
              <w:t>Estimated MTM value of the existing 10 year NYMEX gas swap as of May 10, 2000.</w:t>
            </w:r>
          </w:p>
          <w:p>
            <w:pPr>
              <w:pStyle w:val="Normal"/>
              <w:rPr>
                <w:sz w:val="22"/>
              </w:rPr>
            </w:pPr>
            <w:r>
              <w:rPr>
                <w:sz w:val="22"/>
              </w:rPr>
            </w:r>
          </w:p>
        </w:tc>
      </w:tr>
      <w:tr>
        <w:trPr/>
        <w:tc>
          <w:tcPr>
            <w:tcW w:w="2628" w:type="dxa"/>
            <w:tcBorders/>
          </w:tcPr>
          <w:p>
            <w:pPr>
              <w:pStyle w:val="Normal"/>
              <w:rPr>
                <w:sz w:val="22"/>
              </w:rPr>
            </w:pPr>
            <w:r>
              <w:rPr>
                <w:sz w:val="22"/>
              </w:rPr>
              <w:t>Interest Rate Swap:</w:t>
            </w:r>
          </w:p>
        </w:tc>
        <w:tc>
          <w:tcPr>
            <w:tcW w:w="6570" w:type="dxa"/>
            <w:tcBorders/>
          </w:tcPr>
          <w:p>
            <w:pPr>
              <w:pStyle w:val="Normal"/>
              <w:rPr>
                <w:sz w:val="22"/>
              </w:rPr>
            </w:pPr>
            <w:r>
              <w:rPr>
                <w:sz w:val="22"/>
              </w:rPr>
              <w:t>Fair Value estimate of the existing LIBOR interest rate swap as of December 31, 1999.</w:t>
            </w:r>
          </w:p>
          <w:p>
            <w:pPr>
              <w:pStyle w:val="Normal"/>
              <w:rPr>
                <w:sz w:val="22"/>
              </w:rPr>
            </w:pPr>
            <w:r>
              <w:rPr>
                <w:sz w:val="22"/>
              </w:rPr>
            </w:r>
          </w:p>
        </w:tc>
      </w:tr>
      <w:tr>
        <w:trPr/>
        <w:tc>
          <w:tcPr>
            <w:tcW w:w="2628" w:type="dxa"/>
            <w:tcBorders/>
          </w:tcPr>
          <w:p>
            <w:pPr>
              <w:pStyle w:val="Normal"/>
              <w:rPr>
                <w:sz w:val="22"/>
              </w:rPr>
            </w:pPr>
            <w:r>
              <w:rPr>
                <w:sz w:val="22"/>
              </w:rPr>
              <w:t>PV of QF Cash Flows:</w:t>
            </w:r>
          </w:p>
        </w:tc>
        <w:tc>
          <w:tcPr>
            <w:tcW w:w="6570" w:type="dxa"/>
            <w:tcBorders/>
          </w:tcPr>
          <w:p>
            <w:pPr>
              <w:pStyle w:val="Normal"/>
              <w:rPr>
                <w:sz w:val="22"/>
              </w:rPr>
            </w:pPr>
            <w:r>
              <w:rPr>
                <w:sz w:val="22"/>
              </w:rPr>
              <w:t>Estimated PV of the existing contract structure for the plant operated as a QF facility.</w:t>
            </w:r>
          </w:p>
          <w:p>
            <w:pPr>
              <w:pStyle w:val="Normal"/>
              <w:rPr>
                <w:sz w:val="22"/>
              </w:rPr>
            </w:pPr>
            <w:r>
              <w:rPr>
                <w:sz w:val="22"/>
              </w:rPr>
            </w:r>
          </w:p>
        </w:tc>
      </w:tr>
      <w:tr>
        <w:trPr/>
        <w:tc>
          <w:tcPr>
            <w:tcW w:w="2628" w:type="dxa"/>
            <w:tcBorders/>
          </w:tcPr>
          <w:p>
            <w:pPr>
              <w:pStyle w:val="Normal"/>
              <w:rPr>
                <w:sz w:val="22"/>
              </w:rPr>
            </w:pPr>
            <w:r>
              <w:rPr>
                <w:sz w:val="22"/>
              </w:rPr>
              <w:t>PV of Merchant Cash Flows:</w:t>
            </w:r>
          </w:p>
        </w:tc>
        <w:tc>
          <w:tcPr>
            <w:tcW w:w="6570" w:type="dxa"/>
            <w:tcBorders/>
          </w:tcPr>
          <w:p>
            <w:pPr>
              <w:pStyle w:val="Normal"/>
              <w:rPr>
                <w:sz w:val="22"/>
              </w:rPr>
            </w:pPr>
            <w:r>
              <w:rPr>
                <w:sz w:val="22"/>
              </w:rPr>
              <w:t xml:space="preserve">Estimated PV(12.25)  of the project as a stand alone merchant plant absent the green house.   Merchant values are based on the SP-15 market curve (MID) plus $3.00 and $5.00 for operation as an ENA merchant and as a third party merchant plant, respectively. </w:t>
            </w:r>
          </w:p>
          <w:p>
            <w:pPr>
              <w:pStyle w:val="Normal"/>
              <w:rPr>
                <w:sz w:val="22"/>
              </w:rPr>
            </w:pPr>
            <w:r>
              <w:rPr>
                <w:sz w:val="22"/>
              </w:rPr>
            </w:r>
          </w:p>
        </w:tc>
      </w:tr>
      <w:tr>
        <w:trPr/>
        <w:tc>
          <w:tcPr>
            <w:tcW w:w="2628" w:type="dxa"/>
            <w:tcBorders/>
          </w:tcPr>
          <w:p>
            <w:pPr>
              <w:pStyle w:val="Normal"/>
              <w:rPr>
                <w:sz w:val="22"/>
              </w:rPr>
            </w:pPr>
            <w:r>
              <w:rPr>
                <w:sz w:val="22"/>
              </w:rPr>
              <w:t>Stand Alone Greenhouse:</w:t>
            </w:r>
          </w:p>
        </w:tc>
        <w:tc>
          <w:tcPr>
            <w:tcW w:w="6570" w:type="dxa"/>
            <w:tcBorders/>
          </w:tcPr>
          <w:p>
            <w:pPr>
              <w:pStyle w:val="Normal"/>
              <w:rPr>
                <w:sz w:val="22"/>
              </w:rPr>
            </w:pPr>
            <w:r>
              <w:rPr>
                <w:sz w:val="22"/>
              </w:rPr>
              <w:t>Estimated market valuation of the Green House  assets if sold to a third party on a stand alone basis.</w:t>
            </w:r>
          </w:p>
          <w:p>
            <w:pPr>
              <w:pStyle w:val="Normal"/>
              <w:rPr>
                <w:sz w:val="22"/>
              </w:rPr>
            </w:pPr>
            <w:r>
              <w:rPr>
                <w:sz w:val="22"/>
              </w:rPr>
            </w:r>
          </w:p>
        </w:tc>
      </w:tr>
    </w:tbl>
    <w:p>
      <w:pPr>
        <w:pStyle w:val="Normal"/>
        <w:rPr/>
      </w:pPr>
      <w:r>
        <w:rPr/>
      </w:r>
      <w:r>
        <w:br w:type="page"/>
      </w:r>
    </w:p>
    <w:p>
      <w:pPr>
        <w:pStyle w:val="Heading2"/>
        <w:ind w:hanging="0" w:start="0"/>
        <w:rPr/>
      </w:pPr>
      <w:bookmarkStart w:id="59" w:name="__RefHeading___Toc482880152"/>
      <w:bookmarkEnd w:id="59"/>
      <w:r>
        <w:rPr/>
        <w:t>BASE CASE RESULTS:</w:t>
      </w:r>
    </w:p>
    <w:tbl>
      <w:tblPr>
        <w:tblW w:w="10350" w:type="dxa"/>
        <w:jc w:val="start"/>
        <w:tblInd w:w="-252" w:type="dxa"/>
        <w:tblLayout w:type="fixed"/>
        <w:tblCellMar>
          <w:top w:w="0" w:type="dxa"/>
          <w:start w:w="108" w:type="dxa"/>
          <w:bottom w:w="0" w:type="dxa"/>
          <w:end w:w="108" w:type="dxa"/>
        </w:tblCellMar>
      </w:tblPr>
      <w:tblGrid>
        <w:gridCol w:w="2790"/>
        <w:gridCol w:w="1890"/>
        <w:gridCol w:w="1890"/>
        <w:gridCol w:w="1890"/>
        <w:gridCol w:w="1890"/>
      </w:tblGrid>
      <w:tr>
        <w:trPr/>
        <w:tc>
          <w:tcPr>
            <w:tcW w:w="2790" w:type="dxa"/>
            <w:tcBorders/>
          </w:tcPr>
          <w:p>
            <w:pPr>
              <w:pStyle w:val="Normal"/>
              <w:snapToGrid w:val="false"/>
              <w:rPr/>
            </w:pPr>
            <w:r>
              <w:rPr/>
            </w:r>
          </w:p>
        </w:tc>
        <w:tc>
          <w:tcPr>
            <w:tcW w:w="1890" w:type="dxa"/>
            <w:tcBorders/>
          </w:tcPr>
          <w:p>
            <w:pPr>
              <w:pStyle w:val="Normal"/>
              <w:rPr>
                <w:b/>
              </w:rPr>
            </w:pPr>
            <w:r>
              <w:rPr>
                <w:b/>
              </w:rPr>
              <w:t xml:space="preserve">SP-15 </w:t>
            </w:r>
          </w:p>
          <w:p>
            <w:pPr>
              <w:pStyle w:val="Normal"/>
              <w:rPr>
                <w:b/>
              </w:rPr>
            </w:pPr>
            <w:r>
              <w:rPr>
                <w:b/>
              </w:rPr>
              <w:t>OFFER - $1.00</w:t>
            </w:r>
          </w:p>
        </w:tc>
        <w:tc>
          <w:tcPr>
            <w:tcW w:w="1890" w:type="dxa"/>
            <w:tcBorders/>
          </w:tcPr>
          <w:p>
            <w:pPr>
              <w:pStyle w:val="Normal"/>
              <w:rPr>
                <w:b/>
              </w:rPr>
            </w:pPr>
            <w:r>
              <w:rPr>
                <w:b/>
              </w:rPr>
              <w:t>SP-15</w:t>
            </w:r>
          </w:p>
          <w:p>
            <w:pPr>
              <w:pStyle w:val="Normal"/>
              <w:rPr>
                <w:b/>
              </w:rPr>
            </w:pPr>
            <w:r>
              <w:rPr>
                <w:b/>
              </w:rPr>
              <w:t>MID + $3.00</w:t>
            </w:r>
          </w:p>
        </w:tc>
        <w:tc>
          <w:tcPr>
            <w:tcW w:w="1890" w:type="dxa"/>
            <w:tcBorders/>
          </w:tcPr>
          <w:p>
            <w:pPr>
              <w:pStyle w:val="Normal"/>
              <w:rPr>
                <w:b/>
              </w:rPr>
            </w:pPr>
            <w:r>
              <w:rPr>
                <w:b/>
              </w:rPr>
              <w:t>SP-15</w:t>
            </w:r>
          </w:p>
          <w:p>
            <w:pPr>
              <w:pStyle w:val="Normal"/>
              <w:rPr>
                <w:b/>
              </w:rPr>
            </w:pPr>
            <w:r>
              <w:rPr>
                <w:b/>
              </w:rPr>
              <w:t>MID + $5.00</w:t>
            </w:r>
          </w:p>
        </w:tc>
        <w:tc>
          <w:tcPr>
            <w:tcW w:w="1890" w:type="dxa"/>
            <w:tcBorders/>
          </w:tcPr>
          <w:p>
            <w:pPr>
              <w:pStyle w:val="Normal"/>
              <w:rPr>
                <w:b/>
              </w:rPr>
            </w:pPr>
            <w:r>
              <w:rPr>
                <w:b/>
              </w:rPr>
              <w:t>SP-15</w:t>
            </w:r>
          </w:p>
          <w:p>
            <w:pPr>
              <w:pStyle w:val="Normal"/>
              <w:rPr>
                <w:b/>
              </w:rPr>
            </w:pPr>
            <w:r>
              <w:rPr>
                <w:b/>
              </w:rPr>
              <w:t>MID + $5.00</w:t>
            </w:r>
          </w:p>
        </w:tc>
      </w:tr>
      <w:tr>
        <w:trPr/>
        <w:tc>
          <w:tcPr>
            <w:tcW w:w="2790" w:type="dxa"/>
            <w:tcBorders/>
          </w:tcPr>
          <w:p>
            <w:pPr>
              <w:pStyle w:val="Normal"/>
              <w:snapToGrid w:val="false"/>
              <w:rPr>
                <w:rFonts w:ascii="Arial" w:hAnsi="Arial" w:cs="Arial"/>
                <w:b/>
              </w:rPr>
            </w:pPr>
            <w:r>
              <w:rPr>
                <w:rFonts w:cs="Arial" w:ascii="Arial" w:hAnsi="Arial"/>
                <w:b/>
              </w:rPr>
            </w:r>
          </w:p>
        </w:tc>
        <w:tc>
          <w:tcPr>
            <w:tcW w:w="1890" w:type="dxa"/>
            <w:tcBorders/>
          </w:tcPr>
          <w:p>
            <w:pPr>
              <w:pStyle w:val="Normal"/>
              <w:snapToGrid w:val="false"/>
              <w:rPr/>
            </w:pPr>
            <w:r>
              <w:rPr/>
            </w:r>
          </w:p>
          <w:p>
            <w:pPr>
              <w:pStyle w:val="heding4"/>
              <w:rPr/>
            </w:pPr>
            <w:r>
              <w:rPr/>
              <w:t>Strategy 1A</w:t>
            </w:r>
          </w:p>
        </w:tc>
        <w:tc>
          <w:tcPr>
            <w:tcW w:w="1890" w:type="dxa"/>
            <w:tcBorders/>
          </w:tcPr>
          <w:p>
            <w:pPr>
              <w:pStyle w:val="Normal"/>
              <w:snapToGrid w:val="false"/>
              <w:rPr/>
            </w:pPr>
            <w:r>
              <w:rPr/>
            </w:r>
          </w:p>
          <w:p>
            <w:pPr>
              <w:pStyle w:val="Normal"/>
              <w:rPr/>
            </w:pPr>
            <w:r>
              <w:rPr/>
              <w:t>Strategy 1 B</w:t>
            </w:r>
          </w:p>
        </w:tc>
        <w:tc>
          <w:tcPr>
            <w:tcW w:w="1890" w:type="dxa"/>
            <w:tcBorders/>
          </w:tcPr>
          <w:p>
            <w:pPr>
              <w:pStyle w:val="Normal"/>
              <w:snapToGrid w:val="false"/>
              <w:rPr/>
            </w:pPr>
            <w:r>
              <w:rPr/>
            </w:r>
          </w:p>
          <w:p>
            <w:pPr>
              <w:pStyle w:val="Normal"/>
              <w:rPr/>
            </w:pPr>
            <w:r>
              <w:rPr/>
              <w:t>Strategy 2 A</w:t>
            </w:r>
          </w:p>
        </w:tc>
        <w:tc>
          <w:tcPr>
            <w:tcW w:w="1890" w:type="dxa"/>
            <w:tcBorders/>
          </w:tcPr>
          <w:p>
            <w:pPr>
              <w:pStyle w:val="Normal"/>
              <w:snapToGrid w:val="false"/>
              <w:rPr/>
            </w:pPr>
            <w:r>
              <w:rPr/>
            </w:r>
          </w:p>
          <w:p>
            <w:pPr>
              <w:pStyle w:val="Normal"/>
              <w:rPr/>
            </w:pPr>
            <w:r>
              <w:rPr/>
              <w:t>Strategy 2 B</w:t>
            </w:r>
          </w:p>
        </w:tc>
      </w:tr>
      <w:tr>
        <w:trPr/>
        <w:tc>
          <w:tcPr>
            <w:tcW w:w="2790" w:type="dxa"/>
            <w:tcBorders/>
          </w:tcPr>
          <w:p>
            <w:pPr>
              <w:pStyle w:val="Normal"/>
              <w:rPr>
                <w:b/>
              </w:rPr>
            </w:pPr>
            <w:r>
              <w:rPr>
                <w:b/>
              </w:rPr>
              <w:t>LV Cogen:</w:t>
            </w:r>
          </w:p>
        </w:tc>
        <w:tc>
          <w:tcPr>
            <w:tcW w:w="1890" w:type="dxa"/>
            <w:tcBorders/>
          </w:tcPr>
          <w:p>
            <w:pPr>
              <w:pStyle w:val="Normal"/>
              <w:snapToGrid w:val="false"/>
              <w:rPr>
                <w:b/>
              </w:rPr>
            </w:pPr>
            <w:r>
              <w:rPr>
                <w:b/>
              </w:rPr>
            </w:r>
          </w:p>
        </w:tc>
        <w:tc>
          <w:tcPr>
            <w:tcW w:w="1890" w:type="dxa"/>
            <w:tcBorders/>
          </w:tcPr>
          <w:p>
            <w:pPr>
              <w:pStyle w:val="Normal"/>
              <w:snapToGrid w:val="false"/>
              <w:rPr/>
            </w:pPr>
            <w:r>
              <w:rPr/>
            </w:r>
          </w:p>
        </w:tc>
        <w:tc>
          <w:tcPr>
            <w:tcW w:w="1890" w:type="dxa"/>
            <w:tcBorders/>
          </w:tcPr>
          <w:p>
            <w:pPr>
              <w:pStyle w:val="Normal"/>
              <w:snapToGrid w:val="false"/>
              <w:rPr/>
            </w:pPr>
            <w:r>
              <w:rPr/>
            </w:r>
          </w:p>
        </w:tc>
        <w:tc>
          <w:tcPr>
            <w:tcW w:w="1890" w:type="dxa"/>
            <w:tcBorders/>
          </w:tcPr>
          <w:p>
            <w:pPr>
              <w:pStyle w:val="Normal"/>
              <w:snapToGrid w:val="false"/>
              <w:rPr/>
            </w:pPr>
            <w:r>
              <w:rPr/>
            </w:r>
          </w:p>
        </w:tc>
      </w:tr>
      <w:tr>
        <w:trPr/>
        <w:tc>
          <w:tcPr>
            <w:tcW w:w="2790" w:type="dxa"/>
            <w:tcBorders/>
          </w:tcPr>
          <w:p>
            <w:pPr>
              <w:pStyle w:val="Normal"/>
              <w:snapToGrid w:val="false"/>
              <w:rPr>
                <w:rFonts w:ascii="Arial" w:hAnsi="Arial" w:cs="Arial"/>
              </w:rPr>
            </w:pPr>
            <w:r>
              <w:rPr>
                <w:rFonts w:cs="Arial" w:ascii="Arial" w:hAnsi="Arial"/>
              </w:rPr>
            </w:r>
          </w:p>
          <w:p>
            <w:pPr>
              <w:pStyle w:val="Normal"/>
              <w:rPr/>
            </w:pPr>
            <w:r>
              <w:rPr/>
              <w:t>TIMING:</w:t>
            </w:r>
          </w:p>
          <w:p>
            <w:pPr>
              <w:pStyle w:val="Normal"/>
              <w:rPr/>
            </w:pPr>
            <w:r>
              <w:rPr/>
              <w:t xml:space="preserve">QF Buy Out </w:t>
            </w:r>
          </w:p>
          <w:p>
            <w:pPr>
              <w:pStyle w:val="Normal"/>
              <w:rPr/>
            </w:pPr>
            <w:r>
              <w:rPr/>
              <w:t>Merchant Operation</w:t>
            </w:r>
          </w:p>
          <w:p>
            <w:pPr>
              <w:pStyle w:val="Normal"/>
              <w:rPr/>
            </w:pPr>
            <w:r>
              <w:rPr/>
              <w:t>Sale of Asset</w:t>
            </w:r>
          </w:p>
          <w:p>
            <w:pPr>
              <w:pStyle w:val="Normal"/>
              <w:rPr/>
            </w:pPr>
            <w:r>
              <w:rPr/>
            </w:r>
          </w:p>
          <w:p>
            <w:pPr>
              <w:pStyle w:val="Normal"/>
              <w:rPr>
                <w:sz w:val="20"/>
              </w:rPr>
            </w:pPr>
            <w:r>
              <w:rPr>
                <w:sz w:val="20"/>
              </w:rPr>
              <w:t>REVENUES-MERCHANT SALES:</w:t>
            </w:r>
          </w:p>
          <w:p>
            <w:pPr>
              <w:pStyle w:val="Normal"/>
              <w:rPr/>
            </w:pPr>
            <w:r>
              <w:rPr/>
              <w:t>Wheeling Charge</w:t>
            </w:r>
          </w:p>
          <w:p>
            <w:pPr>
              <w:pStyle w:val="Normal"/>
              <w:rPr/>
            </w:pPr>
            <w:r>
              <w:rPr/>
              <w:t>Wheeling Losses</w:t>
            </w:r>
          </w:p>
          <w:p>
            <w:pPr>
              <w:pStyle w:val="Normal"/>
              <w:rPr/>
            </w:pPr>
            <w:r>
              <w:rPr/>
            </w:r>
          </w:p>
          <w:p>
            <w:pPr>
              <w:pStyle w:val="Normal"/>
              <w:rPr/>
            </w:pPr>
            <w:r>
              <w:rPr/>
            </w:r>
          </w:p>
          <w:p>
            <w:pPr>
              <w:pStyle w:val="Normal"/>
              <w:rPr/>
            </w:pPr>
            <w:r>
              <w:rPr/>
              <w:t>CASH FLOW:</w:t>
            </w:r>
          </w:p>
          <w:p>
            <w:pPr>
              <w:pStyle w:val="Normal"/>
              <w:rPr/>
            </w:pPr>
            <w:r>
              <w:rPr/>
              <w:t>PPA Buy Out (PV11)</w:t>
            </w:r>
          </w:p>
          <w:p>
            <w:pPr>
              <w:pStyle w:val="Normal"/>
              <w:rPr/>
            </w:pPr>
            <w:r>
              <w:rPr/>
              <w:t>Gas Swap</w:t>
            </w:r>
          </w:p>
          <w:p>
            <w:pPr>
              <w:pStyle w:val="Normal"/>
              <w:rPr/>
            </w:pPr>
            <w:r>
              <w:rPr/>
              <w:t>Interest Rate Swap</w:t>
            </w:r>
          </w:p>
          <w:p>
            <w:pPr>
              <w:pStyle w:val="Normal"/>
              <w:rPr/>
            </w:pPr>
            <w:r>
              <w:rPr/>
              <w:t>Change in Working Capital</w:t>
            </w:r>
          </w:p>
          <w:p>
            <w:pPr>
              <w:pStyle w:val="Normal"/>
              <w:rPr/>
            </w:pPr>
            <w:r>
              <w:rPr/>
              <w:t>PV of Base Case QF Cash Flow</w:t>
            </w:r>
          </w:p>
          <w:p>
            <w:pPr>
              <w:pStyle w:val="Normal"/>
              <w:rPr/>
            </w:pPr>
            <w:r>
              <w:rPr/>
              <w:t>PV Merchant Cash Flow (PV12)</w:t>
            </w:r>
          </w:p>
          <w:p>
            <w:pPr>
              <w:pStyle w:val="Normal"/>
              <w:rPr/>
            </w:pPr>
            <w:r>
              <w:rPr/>
              <w:t>Stand Alone Green House</w:t>
            </w:r>
          </w:p>
          <w:p>
            <w:pPr>
              <w:pStyle w:val="Normal"/>
              <w:rPr/>
            </w:pPr>
            <w:r>
              <w:rPr/>
              <w:t>Terminal Scrap Value</w:t>
            </w:r>
          </w:p>
          <w:p>
            <w:pPr>
              <w:pStyle w:val="Normal"/>
              <w:rPr/>
            </w:pPr>
            <w:r>
              <w:rPr>
                <w:color w:val="000000"/>
              </w:rPr>
              <w:t>(</w:t>
            </w:r>
            <w:hyperlink r:id="rId16">
              <w:r>
                <w:rPr>
                  <w:rStyle w:val="Hyperlink"/>
                  <w:color w:val="000000"/>
                </w:rPr>
                <w:t>PV12)- 1</w:t>
              </w:r>
            </w:hyperlink>
            <w:r>
              <w:rPr>
                <w:color w:val="000000"/>
              </w:rPr>
              <w:t>0</w:t>
            </w:r>
            <w:r>
              <w:rPr/>
              <w:t xml:space="preserve"> YRS</w:t>
            </w:r>
          </w:p>
          <w:p>
            <w:pPr>
              <w:pStyle w:val="Normal"/>
              <w:rPr/>
            </w:pPr>
            <w:r>
              <w:rPr/>
            </w:r>
          </w:p>
          <w:p>
            <w:pPr>
              <w:pStyle w:val="Normal"/>
              <w:rPr>
                <w:b/>
              </w:rPr>
            </w:pPr>
            <w:r>
              <w:rPr>
                <w:b/>
              </w:rPr>
              <w:t>LIABILITIES/EQUITY:</w:t>
            </w:r>
          </w:p>
          <w:p>
            <w:pPr>
              <w:pStyle w:val="Normal"/>
              <w:rPr/>
            </w:pPr>
            <w:r>
              <w:rPr/>
              <w:t>LT Debt</w:t>
            </w:r>
          </w:p>
          <w:p>
            <w:pPr>
              <w:pStyle w:val="Normal"/>
              <w:rPr/>
            </w:pPr>
            <w:r>
              <w:rPr/>
              <w:t>Equity</w:t>
            </w:r>
          </w:p>
          <w:p>
            <w:pPr>
              <w:pStyle w:val="Normal"/>
              <w:rPr/>
            </w:pPr>
            <w:r>
              <w:rPr/>
              <w:t>Southwest Power Benefit</w:t>
            </w:r>
          </w:p>
          <w:p>
            <w:pPr>
              <w:pStyle w:val="Normal"/>
              <w:rPr/>
            </w:pPr>
            <w:r>
              <w:rPr/>
              <w:t>TLS (ENA) Share of Equity</w:t>
            </w:r>
          </w:p>
          <w:p>
            <w:pPr>
              <w:pStyle w:val="Normal"/>
              <w:rPr/>
            </w:pPr>
            <w:r>
              <w:rPr/>
              <w:t>JEDI II Share of Equity</w:t>
            </w:r>
          </w:p>
          <w:p>
            <w:pPr>
              <w:pStyle w:val="Normal"/>
              <w:rPr/>
            </w:pPr>
            <w:r>
              <w:rPr/>
            </w:r>
          </w:p>
          <w:p>
            <w:pPr>
              <w:pStyle w:val="Normal"/>
              <w:rPr/>
            </w:pPr>
            <w:r>
              <w:rPr/>
            </w:r>
          </w:p>
        </w:tc>
        <w:tc>
          <w:tcPr>
            <w:tcW w:w="1890" w:type="dxa"/>
            <w:tcBorders/>
          </w:tcPr>
          <w:p>
            <w:pPr>
              <w:pStyle w:val="Normal"/>
              <w:snapToGrid w:val="false"/>
              <w:rPr/>
            </w:pPr>
            <w:r>
              <w:rPr/>
            </w:r>
          </w:p>
          <w:p>
            <w:pPr>
              <w:pStyle w:val="Normal"/>
              <w:rPr/>
            </w:pPr>
            <w:r>
              <w:rPr/>
            </w:r>
          </w:p>
          <w:p>
            <w:pPr>
              <w:pStyle w:val="Normal"/>
              <w:rPr/>
            </w:pPr>
            <w:r>
              <w:rPr/>
              <w:t>Dec-31-00</w:t>
            </w:r>
          </w:p>
          <w:p>
            <w:pPr>
              <w:pStyle w:val="Normal"/>
              <w:rPr/>
            </w:pPr>
            <w:r>
              <w:rPr/>
              <w:t>Dec-31-00</w:t>
            </w:r>
          </w:p>
          <w:p>
            <w:pPr>
              <w:pStyle w:val="Normal"/>
              <w:rPr/>
            </w:pPr>
            <w:r>
              <w:rPr/>
              <w:t>Aug-31-23</w:t>
            </w:r>
          </w:p>
          <w:p>
            <w:pPr>
              <w:pStyle w:val="Normal"/>
              <w:rPr/>
            </w:pPr>
            <w:r>
              <w:rPr/>
            </w:r>
          </w:p>
          <w:p>
            <w:pPr>
              <w:pStyle w:val="Normal"/>
              <w:rPr/>
            </w:pPr>
            <w:r>
              <w:rPr/>
            </w:r>
          </w:p>
          <w:p>
            <w:pPr>
              <w:pStyle w:val="Normal"/>
              <w:rPr/>
            </w:pPr>
            <w:r>
              <w:rPr/>
            </w:r>
          </w:p>
          <w:p>
            <w:pPr>
              <w:pStyle w:val="Normal"/>
              <w:rPr/>
            </w:pPr>
            <w:r>
              <w:rPr/>
              <w:t>$3.75</w:t>
            </w:r>
          </w:p>
          <w:p>
            <w:pPr>
              <w:pStyle w:val="Normal"/>
              <w:rPr/>
            </w:pPr>
            <w:r>
              <w:rPr/>
              <w:t>3.5 %</w:t>
            </w:r>
          </w:p>
          <w:p>
            <w:pPr>
              <w:pStyle w:val="Normal"/>
              <w:rPr/>
            </w:pPr>
            <w:r>
              <w:rPr/>
            </w:r>
          </w:p>
          <w:p>
            <w:pPr>
              <w:pStyle w:val="Normal"/>
              <w:rPr/>
            </w:pPr>
            <w:r>
              <w:rPr/>
            </w:r>
          </w:p>
          <w:p>
            <w:pPr>
              <w:pStyle w:val="Normal"/>
              <w:rPr/>
            </w:pPr>
            <w:r>
              <w:rPr/>
            </w:r>
          </w:p>
          <w:p>
            <w:pPr>
              <w:pStyle w:val="Normal"/>
              <w:rPr/>
            </w:pPr>
            <w:r>
              <w:rPr/>
              <w:t>-</w:t>
            </w:r>
          </w:p>
          <w:p>
            <w:pPr>
              <w:pStyle w:val="Normal"/>
              <w:rPr/>
            </w:pPr>
            <w:r>
              <w:rPr/>
              <w:t>-</w:t>
            </w:r>
          </w:p>
          <w:p>
            <w:pPr>
              <w:pStyle w:val="Normal"/>
              <w:rPr/>
            </w:pPr>
            <w:r>
              <w:rPr/>
              <w:t>-</w:t>
            </w:r>
          </w:p>
          <w:p>
            <w:pPr>
              <w:pStyle w:val="Normal"/>
              <w:rPr/>
            </w:pPr>
            <w:r>
              <w:rPr/>
              <w:t>-</w:t>
            </w:r>
          </w:p>
          <w:p>
            <w:pPr>
              <w:pStyle w:val="Normal"/>
              <w:rPr/>
            </w:pPr>
            <w:r>
              <w:rPr/>
              <w:t>$24,468</w:t>
            </w:r>
          </w:p>
          <w:p>
            <w:pPr>
              <w:pStyle w:val="Normal"/>
              <w:rPr/>
            </w:pPr>
            <w:r>
              <w:rPr/>
              <w:t>-</w:t>
            </w:r>
          </w:p>
          <w:p>
            <w:pPr>
              <w:pStyle w:val="Normal"/>
              <w:rPr/>
            </w:pPr>
            <w:r>
              <w:rPr/>
              <w:t>-</w:t>
            </w:r>
          </w:p>
          <w:p>
            <w:pPr>
              <w:pStyle w:val="Normal"/>
              <w:rPr/>
            </w:pPr>
            <w:r>
              <w:rPr/>
              <w:t>-</w:t>
            </w:r>
          </w:p>
          <w:p>
            <w:pPr>
              <w:pStyle w:val="Normal"/>
              <w:rPr/>
            </w:pPr>
            <w:r>
              <w:rPr/>
            </w:r>
          </w:p>
          <w:p>
            <w:pPr>
              <w:pStyle w:val="Normal"/>
              <w:rPr/>
            </w:pPr>
            <w:r>
              <w:rPr/>
            </w:r>
          </w:p>
          <w:p>
            <w:pPr>
              <w:pStyle w:val="Normal"/>
              <w:rPr/>
            </w:pPr>
            <w:r>
              <w:rPr/>
            </w:r>
          </w:p>
          <w:p>
            <w:pPr>
              <w:pStyle w:val="Normal"/>
              <w:rPr/>
            </w:pPr>
            <w:r>
              <w:rPr/>
              <w:t>($56,000)</w:t>
            </w:r>
          </w:p>
          <w:p>
            <w:pPr>
              <w:pStyle w:val="Normal"/>
              <w:rPr>
                <w:u w:val="single"/>
              </w:rPr>
            </w:pPr>
            <w:r>
              <w:rPr>
                <w:u w:val="single"/>
              </w:rPr>
              <w:t>($24,000)</w:t>
            </w:r>
          </w:p>
          <w:p>
            <w:pPr>
              <w:pStyle w:val="Normal"/>
              <w:rPr/>
            </w:pPr>
            <w:r>
              <w:rPr/>
              <w:t>$352</w:t>
            </w:r>
          </w:p>
          <w:p>
            <w:pPr>
              <w:pStyle w:val="Normal"/>
              <w:rPr/>
            </w:pPr>
            <w:r>
              <w:rPr/>
              <w:t>$264</w:t>
            </w:r>
          </w:p>
          <w:p>
            <w:pPr>
              <w:pStyle w:val="Normal"/>
              <w:rPr/>
            </w:pPr>
            <w:r>
              <w:rPr/>
              <w:t>$88</w:t>
            </w:r>
          </w:p>
        </w:tc>
        <w:tc>
          <w:tcPr>
            <w:tcW w:w="1890" w:type="dxa"/>
            <w:tcBorders/>
          </w:tcPr>
          <w:p>
            <w:pPr>
              <w:pStyle w:val="Normal"/>
              <w:snapToGrid w:val="false"/>
              <w:rPr/>
            </w:pPr>
            <w:r>
              <w:rPr/>
            </w:r>
          </w:p>
          <w:p>
            <w:pPr>
              <w:pStyle w:val="Normal"/>
              <w:rPr/>
            </w:pPr>
            <w:r>
              <w:rPr/>
            </w:r>
          </w:p>
          <w:p>
            <w:pPr>
              <w:pStyle w:val="Normal"/>
              <w:rPr/>
            </w:pPr>
            <w:r>
              <w:rPr/>
              <w:t>Dec-31-00</w:t>
            </w:r>
          </w:p>
          <w:p>
            <w:pPr>
              <w:pStyle w:val="Normal"/>
              <w:rPr/>
            </w:pPr>
            <w:r>
              <w:rPr/>
              <w:t>Dec-31-00</w:t>
            </w:r>
          </w:p>
          <w:p>
            <w:pPr>
              <w:pStyle w:val="Normal"/>
              <w:rPr/>
            </w:pPr>
            <w:r>
              <w:rPr/>
              <w:t>Dec-31-10</w:t>
            </w:r>
          </w:p>
          <w:p>
            <w:pPr>
              <w:pStyle w:val="Normal"/>
              <w:rPr/>
            </w:pPr>
            <w:r>
              <w:rPr/>
            </w:r>
          </w:p>
          <w:p>
            <w:pPr>
              <w:pStyle w:val="Normal"/>
              <w:rPr/>
            </w:pPr>
            <w:r>
              <w:rPr/>
            </w:r>
          </w:p>
          <w:p>
            <w:pPr>
              <w:pStyle w:val="Normal"/>
              <w:rPr/>
            </w:pPr>
            <w:r>
              <w:rPr/>
            </w:r>
          </w:p>
          <w:p>
            <w:pPr>
              <w:pStyle w:val="Normal"/>
              <w:rPr/>
            </w:pPr>
            <w:r>
              <w:rPr/>
              <w:t>-</w:t>
            </w:r>
          </w:p>
          <w:p>
            <w:pPr>
              <w:pStyle w:val="Normal"/>
              <w:rPr/>
            </w:pPr>
            <w:r>
              <w:rPr/>
              <w:t>3.5 %</w:t>
            </w:r>
          </w:p>
          <w:p>
            <w:pPr>
              <w:pStyle w:val="Normal"/>
              <w:rPr/>
            </w:pPr>
            <w:r>
              <w:rPr/>
            </w:r>
          </w:p>
          <w:p>
            <w:pPr>
              <w:pStyle w:val="Normal"/>
              <w:rPr/>
            </w:pPr>
            <w:r>
              <w:rPr/>
            </w:r>
          </w:p>
          <w:p>
            <w:pPr>
              <w:pStyle w:val="Normal"/>
              <w:rPr/>
            </w:pPr>
            <w:r>
              <w:rPr/>
            </w:r>
          </w:p>
          <w:p>
            <w:pPr>
              <w:pStyle w:val="Normal"/>
              <w:rPr/>
            </w:pPr>
            <w:r>
              <w:rPr/>
              <w:t>$75,000</w:t>
            </w:r>
          </w:p>
          <w:p>
            <w:pPr>
              <w:pStyle w:val="Normal"/>
              <w:rPr/>
            </w:pPr>
            <w:r>
              <w:rPr/>
              <w:t>-</w:t>
            </w:r>
          </w:p>
          <w:p>
            <w:pPr>
              <w:pStyle w:val="Normal"/>
              <w:rPr/>
            </w:pPr>
            <w:r>
              <w:rPr/>
              <w:t>-</w:t>
            </w:r>
          </w:p>
          <w:p>
            <w:pPr>
              <w:pStyle w:val="Normal"/>
              <w:rPr/>
            </w:pPr>
            <w:r>
              <w:rPr/>
              <w:t>$1,000</w:t>
            </w:r>
          </w:p>
          <w:p>
            <w:pPr>
              <w:pStyle w:val="Normal"/>
              <w:rPr/>
            </w:pPr>
            <w:r>
              <w:rPr/>
              <w:t>-</w:t>
            </w:r>
          </w:p>
          <w:p>
            <w:pPr>
              <w:pStyle w:val="Normal"/>
              <w:rPr/>
            </w:pPr>
            <w:r>
              <w:rPr/>
              <w:t>$12,000</w:t>
            </w:r>
          </w:p>
          <w:p>
            <w:pPr>
              <w:pStyle w:val="Normal"/>
              <w:rPr/>
            </w:pPr>
            <w:r>
              <w:rPr/>
              <w:t>$3,000</w:t>
            </w:r>
          </w:p>
          <w:p>
            <w:pPr>
              <w:pStyle w:val="Normal"/>
              <w:rPr/>
            </w:pPr>
            <w:r>
              <w:rPr/>
              <w:t>$5,900</w:t>
            </w:r>
          </w:p>
          <w:p>
            <w:pPr>
              <w:pStyle w:val="Normal"/>
              <w:rPr/>
            </w:pPr>
            <w:r>
              <w:rPr/>
            </w:r>
          </w:p>
          <w:p>
            <w:pPr>
              <w:pStyle w:val="Normal"/>
              <w:rPr/>
            </w:pPr>
            <w:r>
              <w:rPr/>
            </w:r>
          </w:p>
          <w:p>
            <w:pPr>
              <w:pStyle w:val="Normal"/>
              <w:rPr/>
            </w:pPr>
            <w:r>
              <w:rPr/>
            </w:r>
          </w:p>
          <w:p>
            <w:pPr>
              <w:pStyle w:val="Normal"/>
              <w:rPr/>
            </w:pPr>
            <w:r>
              <w:rPr/>
              <w:t>($56,000)</w:t>
            </w:r>
          </w:p>
          <w:p>
            <w:pPr>
              <w:pStyle w:val="Normal"/>
              <w:rPr>
                <w:u w:val="single"/>
              </w:rPr>
            </w:pPr>
            <w:r>
              <w:rPr>
                <w:u w:val="single"/>
              </w:rPr>
              <w:t>($24,000)</w:t>
            </w:r>
          </w:p>
          <w:p>
            <w:pPr>
              <w:pStyle w:val="Normal"/>
              <w:rPr/>
            </w:pPr>
            <w:r>
              <w:rPr/>
              <w:t>$16,900</w:t>
            </w:r>
          </w:p>
          <w:p>
            <w:pPr>
              <w:pStyle w:val="Normal"/>
              <w:rPr/>
            </w:pPr>
            <w:r>
              <w:rPr/>
              <w:t>$12,675</w:t>
            </w:r>
          </w:p>
          <w:p>
            <w:pPr>
              <w:pStyle w:val="Normal"/>
              <w:rPr/>
            </w:pPr>
            <w:r>
              <w:rPr/>
              <w:t>$4,225</w:t>
            </w:r>
          </w:p>
        </w:tc>
        <w:tc>
          <w:tcPr>
            <w:tcW w:w="1890" w:type="dxa"/>
            <w:tcBorders/>
          </w:tcPr>
          <w:p>
            <w:pPr>
              <w:pStyle w:val="Normal"/>
              <w:snapToGrid w:val="false"/>
              <w:rPr/>
            </w:pPr>
            <w:r>
              <w:rPr/>
            </w:r>
          </w:p>
          <w:p>
            <w:pPr>
              <w:pStyle w:val="Normal"/>
              <w:rPr/>
            </w:pPr>
            <w:r>
              <w:rPr/>
            </w:r>
          </w:p>
          <w:p>
            <w:pPr>
              <w:pStyle w:val="Normal"/>
              <w:rPr/>
            </w:pPr>
            <w:r>
              <w:rPr/>
              <w:t>Dec-31-00</w:t>
            </w:r>
          </w:p>
          <w:p>
            <w:pPr>
              <w:pStyle w:val="Normal"/>
              <w:rPr/>
            </w:pPr>
            <w:r>
              <w:rPr/>
              <w:t>Dec-31-00</w:t>
            </w:r>
          </w:p>
          <w:p>
            <w:pPr>
              <w:pStyle w:val="Normal"/>
              <w:rPr/>
            </w:pPr>
            <w:r>
              <w:rPr/>
              <w:t>Dec-31-00</w:t>
            </w:r>
          </w:p>
          <w:p>
            <w:pPr>
              <w:pStyle w:val="Normal"/>
              <w:rPr/>
            </w:pPr>
            <w:r>
              <w:rPr/>
            </w:r>
          </w:p>
          <w:p>
            <w:pPr>
              <w:pStyle w:val="Normal"/>
              <w:rPr/>
            </w:pPr>
            <w:r>
              <w:rPr/>
            </w:r>
          </w:p>
          <w:p>
            <w:pPr>
              <w:pStyle w:val="Normal"/>
              <w:rPr/>
            </w:pPr>
            <w:r>
              <w:rPr/>
            </w:r>
          </w:p>
          <w:p>
            <w:pPr>
              <w:pStyle w:val="Normal"/>
              <w:rPr/>
            </w:pPr>
            <w:r>
              <w:rPr/>
              <w:t>-</w:t>
            </w:r>
          </w:p>
          <w:p>
            <w:pPr>
              <w:pStyle w:val="Normal"/>
              <w:rPr/>
            </w:pPr>
            <w:r>
              <w:rPr/>
              <w:t>3.5 %</w:t>
            </w:r>
          </w:p>
          <w:p>
            <w:pPr>
              <w:pStyle w:val="Normal"/>
              <w:rPr/>
            </w:pPr>
            <w:r>
              <w:rPr/>
            </w:r>
          </w:p>
          <w:p>
            <w:pPr>
              <w:pStyle w:val="Normal"/>
              <w:rPr/>
            </w:pPr>
            <w:r>
              <w:rPr/>
            </w:r>
          </w:p>
          <w:p>
            <w:pPr>
              <w:pStyle w:val="Normal"/>
              <w:rPr/>
            </w:pPr>
            <w:r>
              <w:rPr/>
            </w:r>
          </w:p>
          <w:p>
            <w:pPr>
              <w:pStyle w:val="Normal"/>
              <w:rPr/>
            </w:pPr>
            <w:r>
              <w:rPr/>
              <w:t>$68,000</w:t>
            </w:r>
          </w:p>
          <w:p>
            <w:pPr>
              <w:pStyle w:val="Normal"/>
              <w:rPr/>
            </w:pPr>
            <w:r>
              <w:rPr/>
              <w:t>$4,200</w:t>
            </w:r>
          </w:p>
          <w:p>
            <w:pPr>
              <w:pStyle w:val="Normal"/>
              <w:rPr/>
            </w:pPr>
            <w:r>
              <w:rPr/>
              <w:t>$1,700</w:t>
            </w:r>
          </w:p>
          <w:p>
            <w:pPr>
              <w:pStyle w:val="Normal"/>
              <w:rPr/>
            </w:pPr>
            <w:r>
              <w:rPr/>
              <w:t>$1,000</w:t>
            </w:r>
          </w:p>
          <w:p>
            <w:pPr>
              <w:pStyle w:val="Normal"/>
              <w:rPr/>
            </w:pPr>
            <w:r>
              <w:rPr/>
              <w:t>-</w:t>
            </w:r>
          </w:p>
          <w:p>
            <w:pPr>
              <w:pStyle w:val="Normal"/>
              <w:rPr/>
            </w:pPr>
            <w:r>
              <w:rPr/>
              <w:t>$15,000</w:t>
            </w:r>
          </w:p>
          <w:p>
            <w:pPr>
              <w:pStyle w:val="Normal"/>
              <w:rPr/>
            </w:pPr>
            <w:r>
              <w:rPr/>
              <w:t>$3,000</w:t>
            </w:r>
          </w:p>
          <w:p>
            <w:pPr>
              <w:pStyle w:val="Normal"/>
              <w:rPr/>
            </w:pPr>
            <w:r>
              <w:rPr/>
              <w:t>-</w:t>
            </w:r>
          </w:p>
          <w:p>
            <w:pPr>
              <w:pStyle w:val="Normal"/>
              <w:rPr/>
            </w:pPr>
            <w:r>
              <w:rPr/>
            </w:r>
          </w:p>
          <w:p>
            <w:pPr>
              <w:pStyle w:val="Normal"/>
              <w:rPr/>
            </w:pPr>
            <w:r>
              <w:rPr/>
            </w:r>
          </w:p>
          <w:p>
            <w:pPr>
              <w:pStyle w:val="Normal"/>
              <w:rPr/>
            </w:pPr>
            <w:r>
              <w:rPr/>
            </w:r>
          </w:p>
          <w:p>
            <w:pPr>
              <w:pStyle w:val="Normal"/>
              <w:rPr/>
            </w:pPr>
            <w:r>
              <w:rPr/>
              <w:t>($56,000)</w:t>
            </w:r>
          </w:p>
          <w:p>
            <w:pPr>
              <w:pStyle w:val="Normal"/>
              <w:rPr>
                <w:u w:val="single"/>
              </w:rPr>
            </w:pPr>
            <w:r>
              <w:rPr>
                <w:u w:val="single"/>
              </w:rPr>
              <w:t>($24,000)</w:t>
            </w:r>
          </w:p>
          <w:p>
            <w:pPr>
              <w:pStyle w:val="Normal"/>
              <w:rPr/>
            </w:pPr>
            <w:r>
              <w:rPr/>
              <w:t>$12,900</w:t>
            </w:r>
          </w:p>
          <w:p>
            <w:pPr>
              <w:pStyle w:val="Normal"/>
              <w:rPr/>
            </w:pPr>
            <w:r>
              <w:rPr/>
              <w:t>$9,675</w:t>
            </w:r>
          </w:p>
          <w:p>
            <w:pPr>
              <w:pStyle w:val="Normal"/>
              <w:rPr/>
            </w:pPr>
            <w:r>
              <w:rPr/>
              <w:t>$3,225</w:t>
            </w:r>
          </w:p>
        </w:tc>
        <w:tc>
          <w:tcPr>
            <w:tcW w:w="1890" w:type="dxa"/>
            <w:tcBorders/>
          </w:tcPr>
          <w:p>
            <w:pPr>
              <w:pStyle w:val="Normal"/>
              <w:snapToGrid w:val="false"/>
              <w:rPr/>
            </w:pPr>
            <w:r>
              <w:rPr/>
            </w:r>
          </w:p>
          <w:p>
            <w:pPr>
              <w:pStyle w:val="Normal"/>
              <w:rPr/>
            </w:pPr>
            <w:r>
              <w:rPr/>
            </w:r>
          </w:p>
          <w:p>
            <w:pPr>
              <w:pStyle w:val="Normal"/>
              <w:rPr/>
            </w:pPr>
            <w:r>
              <w:rPr/>
              <w:t>Dec-31-00</w:t>
            </w:r>
          </w:p>
          <w:p>
            <w:pPr>
              <w:pStyle w:val="Normal"/>
              <w:rPr/>
            </w:pPr>
            <w:r>
              <w:rPr/>
              <w:t>Dec-31-00</w:t>
            </w:r>
          </w:p>
          <w:p>
            <w:pPr>
              <w:pStyle w:val="Normal"/>
              <w:rPr/>
            </w:pPr>
            <w:r>
              <w:rPr/>
              <w:t>Dec-31-00</w:t>
            </w:r>
          </w:p>
          <w:p>
            <w:pPr>
              <w:pStyle w:val="Normal"/>
              <w:rPr/>
            </w:pPr>
            <w:r>
              <w:rPr/>
            </w:r>
          </w:p>
          <w:p>
            <w:pPr>
              <w:pStyle w:val="Normal"/>
              <w:rPr/>
            </w:pPr>
            <w:r>
              <w:rPr/>
            </w:r>
          </w:p>
          <w:p>
            <w:pPr>
              <w:pStyle w:val="Normal"/>
              <w:rPr/>
            </w:pPr>
            <w:r>
              <w:rPr/>
            </w:r>
          </w:p>
          <w:p>
            <w:pPr>
              <w:pStyle w:val="Normal"/>
              <w:rPr/>
            </w:pPr>
            <w:r>
              <w:rPr/>
              <w:t>-</w:t>
            </w:r>
          </w:p>
          <w:p>
            <w:pPr>
              <w:pStyle w:val="Normal"/>
              <w:rPr/>
            </w:pPr>
            <w:r>
              <w:rPr/>
              <w:t>3.5 %</w:t>
            </w:r>
          </w:p>
          <w:p>
            <w:pPr>
              <w:pStyle w:val="Normal"/>
              <w:rPr/>
            </w:pPr>
            <w:r>
              <w:rPr/>
            </w:r>
          </w:p>
          <w:p>
            <w:pPr>
              <w:pStyle w:val="Normal"/>
              <w:rPr/>
            </w:pPr>
            <w:r>
              <w:rPr/>
            </w:r>
          </w:p>
          <w:p>
            <w:pPr>
              <w:pStyle w:val="Normal"/>
              <w:rPr/>
            </w:pPr>
            <w:r>
              <w:rPr/>
            </w:r>
          </w:p>
          <w:p>
            <w:pPr>
              <w:pStyle w:val="Normal"/>
              <w:rPr/>
            </w:pPr>
            <w:r>
              <w:rPr/>
              <w:t>$75,000</w:t>
            </w:r>
          </w:p>
          <w:p>
            <w:pPr>
              <w:pStyle w:val="Normal"/>
              <w:rPr/>
            </w:pPr>
            <w:r>
              <w:rPr/>
              <w:t>$4,200</w:t>
            </w:r>
          </w:p>
          <w:p>
            <w:pPr>
              <w:pStyle w:val="Normal"/>
              <w:rPr/>
            </w:pPr>
            <w:r>
              <w:rPr/>
              <w:t>$1,700</w:t>
            </w:r>
          </w:p>
          <w:p>
            <w:pPr>
              <w:pStyle w:val="Normal"/>
              <w:rPr/>
            </w:pPr>
            <w:r>
              <w:rPr/>
              <w:t>$1,000</w:t>
            </w:r>
          </w:p>
          <w:p>
            <w:pPr>
              <w:pStyle w:val="Normal"/>
              <w:rPr/>
            </w:pPr>
            <w:r>
              <w:rPr/>
              <w:t>-</w:t>
            </w:r>
          </w:p>
          <w:p>
            <w:pPr>
              <w:pStyle w:val="Normal"/>
              <w:rPr/>
            </w:pPr>
            <w:r>
              <w:rPr/>
              <w:t>$15,000</w:t>
            </w:r>
          </w:p>
          <w:p>
            <w:pPr>
              <w:pStyle w:val="Normal"/>
              <w:rPr/>
            </w:pPr>
            <w:r>
              <w:rPr/>
              <w:t>$3,000</w:t>
            </w:r>
          </w:p>
          <w:p>
            <w:pPr>
              <w:pStyle w:val="Normal"/>
              <w:rPr/>
            </w:pPr>
            <w:r>
              <w:rPr/>
              <w:t>-</w:t>
            </w:r>
          </w:p>
          <w:p>
            <w:pPr>
              <w:pStyle w:val="Normal"/>
              <w:rPr/>
            </w:pPr>
            <w:r>
              <w:rPr/>
            </w:r>
          </w:p>
          <w:p>
            <w:pPr>
              <w:pStyle w:val="Normal"/>
              <w:rPr/>
            </w:pPr>
            <w:r>
              <w:rPr/>
            </w:r>
          </w:p>
          <w:p>
            <w:pPr>
              <w:pStyle w:val="Normal"/>
              <w:rPr/>
            </w:pPr>
            <w:r>
              <w:rPr/>
            </w:r>
          </w:p>
          <w:p>
            <w:pPr>
              <w:pStyle w:val="Normal"/>
              <w:rPr/>
            </w:pPr>
            <w:r>
              <w:rPr/>
              <w:t>($56,000)</w:t>
            </w:r>
          </w:p>
          <w:p>
            <w:pPr>
              <w:pStyle w:val="Normal"/>
              <w:rPr>
                <w:u w:val="single"/>
              </w:rPr>
            </w:pPr>
            <w:r>
              <w:rPr>
                <w:u w:val="single"/>
              </w:rPr>
              <w:t>($24,000)</w:t>
            </w:r>
          </w:p>
          <w:p>
            <w:pPr>
              <w:pStyle w:val="Normal"/>
              <w:rPr/>
            </w:pPr>
            <w:r>
              <w:rPr/>
              <w:t>$19,900</w:t>
            </w:r>
          </w:p>
          <w:p>
            <w:pPr>
              <w:pStyle w:val="Normal"/>
              <w:rPr/>
            </w:pPr>
            <w:r>
              <w:rPr/>
              <w:t>$14,925</w:t>
            </w:r>
          </w:p>
          <w:p>
            <w:pPr>
              <w:pStyle w:val="Normal"/>
              <w:rPr/>
            </w:pPr>
            <w:r>
              <w:rPr/>
              <w:t>$4,975</w:t>
            </w:r>
          </w:p>
        </w:tc>
      </w:tr>
      <w:tr>
        <w:trPr/>
        <w:tc>
          <w:tcPr>
            <w:tcW w:w="2790" w:type="dxa"/>
            <w:tcBorders/>
          </w:tcPr>
          <w:p>
            <w:pPr>
              <w:pStyle w:val="Normal"/>
              <w:rPr/>
            </w:pPr>
            <w:r>
              <w:rPr/>
              <w:t>PRISCILLA:</w:t>
            </w:r>
          </w:p>
          <w:p>
            <w:pPr>
              <w:pStyle w:val="Normal"/>
              <w:rPr/>
            </w:pPr>
            <w:r>
              <w:rPr/>
            </w:r>
          </w:p>
        </w:tc>
        <w:tc>
          <w:tcPr>
            <w:tcW w:w="1890" w:type="dxa"/>
            <w:tcBorders/>
          </w:tcPr>
          <w:p>
            <w:pPr>
              <w:pStyle w:val="Normal"/>
              <w:snapToGrid w:val="false"/>
              <w:rPr/>
            </w:pPr>
            <w:r>
              <w:rPr/>
            </w:r>
          </w:p>
        </w:tc>
        <w:tc>
          <w:tcPr>
            <w:tcW w:w="1890" w:type="dxa"/>
            <w:tcBorders/>
          </w:tcPr>
          <w:p>
            <w:pPr>
              <w:pStyle w:val="Normal"/>
              <w:snapToGrid w:val="false"/>
              <w:rPr/>
            </w:pPr>
            <w:r>
              <w:rPr/>
            </w:r>
          </w:p>
        </w:tc>
        <w:tc>
          <w:tcPr>
            <w:tcW w:w="1890" w:type="dxa"/>
            <w:tcBorders/>
          </w:tcPr>
          <w:p>
            <w:pPr>
              <w:pStyle w:val="Normal"/>
              <w:snapToGrid w:val="false"/>
              <w:rPr/>
            </w:pPr>
            <w:r>
              <w:rPr/>
            </w:r>
          </w:p>
        </w:tc>
        <w:tc>
          <w:tcPr>
            <w:tcW w:w="1890" w:type="dxa"/>
            <w:tcBorders/>
          </w:tcPr>
          <w:p>
            <w:pPr>
              <w:pStyle w:val="Normal"/>
              <w:snapToGrid w:val="false"/>
              <w:rPr/>
            </w:pPr>
            <w:r>
              <w:rPr/>
            </w:r>
          </w:p>
        </w:tc>
      </w:tr>
      <w:tr>
        <w:trPr/>
        <w:tc>
          <w:tcPr>
            <w:tcW w:w="2790" w:type="dxa"/>
            <w:tcBorders/>
          </w:tcPr>
          <w:p>
            <w:pPr>
              <w:pStyle w:val="Normal"/>
              <w:rPr/>
            </w:pPr>
            <w:r>
              <w:rPr/>
              <w:t>Pre-Tax NPV</w:t>
            </w:r>
            <w:r>
              <w:rPr>
                <w:rStyle w:val="FootnoteCharacters"/>
                <w:rStyle w:val="FootnoteReference"/>
              </w:rPr>
              <w:footnoteReference w:customMarkFollows="1" w:id="3"/>
              <w:t>1</w:t>
            </w:r>
          </w:p>
        </w:tc>
        <w:tc>
          <w:tcPr>
            <w:tcW w:w="1890" w:type="dxa"/>
            <w:tcBorders/>
          </w:tcPr>
          <w:p>
            <w:pPr>
              <w:pStyle w:val="Normal"/>
              <w:rPr/>
            </w:pPr>
            <w:r>
              <w:rPr/>
              <w:t>$4,663</w:t>
            </w:r>
            <w:r>
              <w:rPr>
                <w:rStyle w:val="FootnoteCharacters"/>
                <w:rStyle w:val="FootnoteReference"/>
              </w:rPr>
              <w:footnoteReference w:customMarkFollows="1" w:id="4"/>
              <w:t>2</w:t>
            </w:r>
          </w:p>
        </w:tc>
        <w:tc>
          <w:tcPr>
            <w:tcW w:w="1890" w:type="dxa"/>
            <w:tcBorders/>
          </w:tcPr>
          <w:p>
            <w:pPr>
              <w:pStyle w:val="Normal"/>
              <w:rPr/>
            </w:pPr>
            <w:r>
              <w:rPr/>
              <w:t>$4,446</w:t>
            </w:r>
          </w:p>
        </w:tc>
        <w:tc>
          <w:tcPr>
            <w:tcW w:w="1890" w:type="dxa"/>
            <w:tcBorders/>
          </w:tcPr>
          <w:p>
            <w:pPr>
              <w:pStyle w:val="Normal"/>
              <w:rPr/>
            </w:pPr>
            <w:r>
              <w:rPr/>
              <w:t>$20,085</w:t>
            </w:r>
          </w:p>
        </w:tc>
        <w:tc>
          <w:tcPr>
            <w:tcW w:w="1890" w:type="dxa"/>
            <w:tcBorders/>
          </w:tcPr>
          <w:p>
            <w:pPr>
              <w:pStyle w:val="Normal"/>
              <w:rPr/>
            </w:pPr>
            <w:r>
              <w:rPr/>
              <w:t>$20,085</w:t>
            </w:r>
          </w:p>
          <w:p>
            <w:pPr>
              <w:pStyle w:val="Normal"/>
              <w:rPr/>
            </w:pPr>
            <w:r>
              <w:rPr/>
            </w:r>
          </w:p>
        </w:tc>
      </w:tr>
      <w:tr>
        <w:trPr/>
        <w:tc>
          <w:tcPr>
            <w:tcW w:w="2790" w:type="dxa"/>
            <w:tcBorders/>
          </w:tcPr>
          <w:p>
            <w:pPr>
              <w:pStyle w:val="Normal"/>
              <w:rPr>
                <w:b/>
              </w:rPr>
            </w:pPr>
            <w:r>
              <w:rPr>
                <w:b/>
              </w:rPr>
              <w:t>COMBINED ASSETS:</w:t>
            </w:r>
          </w:p>
        </w:tc>
        <w:tc>
          <w:tcPr>
            <w:tcW w:w="1890" w:type="dxa"/>
            <w:tcBorders/>
          </w:tcPr>
          <w:p>
            <w:pPr>
              <w:pStyle w:val="Normal"/>
              <w:snapToGrid w:val="false"/>
              <w:rPr>
                <w:b/>
              </w:rPr>
            </w:pPr>
            <w:r>
              <w:rPr>
                <w:b/>
              </w:rPr>
            </w:r>
          </w:p>
        </w:tc>
        <w:tc>
          <w:tcPr>
            <w:tcW w:w="1890" w:type="dxa"/>
            <w:tcBorders/>
          </w:tcPr>
          <w:p>
            <w:pPr>
              <w:pStyle w:val="Normal"/>
              <w:snapToGrid w:val="false"/>
              <w:rPr/>
            </w:pPr>
            <w:r>
              <w:rPr/>
            </w:r>
          </w:p>
        </w:tc>
        <w:tc>
          <w:tcPr>
            <w:tcW w:w="1890" w:type="dxa"/>
            <w:tcBorders/>
          </w:tcPr>
          <w:p>
            <w:pPr>
              <w:pStyle w:val="Normal"/>
              <w:snapToGrid w:val="false"/>
              <w:rPr/>
            </w:pPr>
            <w:r>
              <w:rPr/>
            </w:r>
          </w:p>
        </w:tc>
        <w:tc>
          <w:tcPr>
            <w:tcW w:w="1890" w:type="dxa"/>
            <w:tcBorders/>
          </w:tcPr>
          <w:p>
            <w:pPr>
              <w:pStyle w:val="Normal"/>
              <w:snapToGrid w:val="false"/>
              <w:rPr/>
            </w:pPr>
            <w:r>
              <w:rPr/>
            </w:r>
          </w:p>
          <w:p>
            <w:pPr>
              <w:pStyle w:val="Normal"/>
              <w:rPr/>
            </w:pPr>
            <w:r>
              <w:rPr/>
            </w:r>
          </w:p>
        </w:tc>
      </w:tr>
      <w:tr>
        <w:trPr/>
        <w:tc>
          <w:tcPr>
            <w:tcW w:w="2790" w:type="dxa"/>
            <w:tcBorders/>
          </w:tcPr>
          <w:p>
            <w:pPr>
              <w:pStyle w:val="Normal"/>
              <w:rPr/>
            </w:pPr>
            <w:r>
              <w:rPr/>
              <w:t>Pre-Tax NPV (ENA)</w:t>
            </w:r>
          </w:p>
        </w:tc>
        <w:tc>
          <w:tcPr>
            <w:tcW w:w="1890" w:type="dxa"/>
            <w:tcBorders/>
          </w:tcPr>
          <w:p>
            <w:pPr>
              <w:pStyle w:val="Normal"/>
              <w:rPr/>
            </w:pPr>
            <w:r>
              <w:rPr/>
              <w:t>$4,927</w:t>
            </w:r>
          </w:p>
        </w:tc>
        <w:tc>
          <w:tcPr>
            <w:tcW w:w="1890" w:type="dxa"/>
            <w:tcBorders/>
          </w:tcPr>
          <w:p>
            <w:pPr>
              <w:pStyle w:val="Normal"/>
              <w:rPr/>
            </w:pPr>
            <w:r>
              <w:rPr/>
              <w:t>$17,121</w:t>
            </w:r>
          </w:p>
        </w:tc>
        <w:tc>
          <w:tcPr>
            <w:tcW w:w="1890" w:type="dxa"/>
            <w:tcBorders/>
          </w:tcPr>
          <w:p>
            <w:pPr>
              <w:pStyle w:val="Normal"/>
              <w:rPr/>
            </w:pPr>
            <w:r>
              <w:rPr/>
              <w:t>$29,760</w:t>
            </w:r>
          </w:p>
        </w:tc>
        <w:tc>
          <w:tcPr>
            <w:tcW w:w="1890" w:type="dxa"/>
            <w:tcBorders/>
          </w:tcPr>
          <w:p>
            <w:pPr>
              <w:pStyle w:val="Normal"/>
              <w:rPr/>
            </w:pPr>
            <w:r>
              <w:rPr/>
              <w:t>$35,010</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rPr/>
      </w:pPr>
      <w:r>
        <w:rPr/>
      </w:r>
    </w:p>
    <w:p>
      <w:pPr>
        <w:pStyle w:val="Heading1"/>
        <w:tabs>
          <w:tab w:val="clear" w:pos="360"/>
          <w:tab w:val="left" w:pos="720" w:leader="none"/>
        </w:tabs>
        <w:spacing w:before="240" w:after="240"/>
        <w:ind w:hanging="0" w:start="0"/>
        <w:rPr>
          <w:rFonts w:ascii="Times New Roman" w:hAnsi="Times New Roman" w:cs="Times New Roman"/>
        </w:rPr>
      </w:pPr>
      <w:bookmarkStart w:id="60" w:name="__RefHeading___Toc482880153"/>
      <w:bookmarkEnd w:id="60"/>
      <w:r>
        <w:rPr>
          <w:rFonts w:cs="Times New Roman" w:ascii="Times New Roman" w:hAnsi="Times New Roman"/>
        </w:rPr>
        <w:t>Exit Strategies</w:t>
      </w:r>
    </w:p>
    <w:p>
      <w:pPr>
        <w:pStyle w:val="headin"/>
        <w:rPr/>
      </w:pPr>
      <w:r>
        <w:rPr/>
        <w:t>ENA’s Strategy with regard to the deposition of SWP’s assets and ownership interest in LVCLP and LVC II revolves around two basic value propositions:</w:t>
      </w:r>
    </w:p>
    <w:p>
      <w:pPr>
        <w:pStyle w:val="Normal"/>
        <w:numPr>
          <w:ilvl w:val="0"/>
          <w:numId w:val="4"/>
        </w:numPr>
        <w:tabs>
          <w:tab w:val="clear" w:pos="360"/>
        </w:tabs>
        <w:ind w:hanging="360" w:start="720" w:end="0"/>
        <w:rPr/>
      </w:pPr>
      <w:r>
        <w:rPr/>
        <w:t>The decision to “hold” the investments as “strategic” assets with the option to restructure or not to restructure the PPA and operate as merchant facilities.</w:t>
      </w:r>
    </w:p>
    <w:p>
      <w:pPr>
        <w:pStyle w:val="Normal"/>
        <w:numPr>
          <w:ilvl w:val="0"/>
          <w:numId w:val="4"/>
        </w:numPr>
        <w:tabs>
          <w:tab w:val="clear" w:pos="360"/>
        </w:tabs>
        <w:ind w:hanging="360" w:start="720" w:end="0"/>
        <w:rPr/>
      </w:pPr>
      <w:r>
        <w:rPr/>
        <w:t>The decision to “sell” the assets by December 31, 2000 either with a negotiated buy-out agreement of the PPA or without.</w:t>
      </w:r>
    </w:p>
    <w:p>
      <w:pPr>
        <w:pStyle w:val="sub"/>
        <w:rPr/>
      </w:pPr>
      <w:r>
        <w:rPr/>
        <w:t>1.</w:t>
        <w:tab/>
        <w:t>ENA Decision to “Hold” the Assets</w:t>
      </w:r>
    </w:p>
    <w:p>
      <w:pPr>
        <w:pStyle w:val="sub"/>
        <w:ind w:hanging="360" w:start="720" w:end="0"/>
        <w:rPr>
          <w:b w:val="false"/>
          <w:u w:val="single"/>
        </w:rPr>
      </w:pPr>
      <w:r>
        <w:rPr>
          <w:b w:val="false"/>
          <w:u w:val="single"/>
        </w:rPr>
        <w:t>Strategy 1A</w:t>
      </w:r>
    </w:p>
    <w:p>
      <w:pPr>
        <w:pStyle w:val="sub"/>
        <w:ind w:start="360" w:end="0"/>
        <w:rPr>
          <w:b w:val="false"/>
        </w:rPr>
      </w:pPr>
      <w:r>
        <w:rPr>
          <w:b w:val="false"/>
        </w:rPr>
        <w:t>LVCLP does not reach a buy-out agreement with Nevada Power for the PPA, SWP would develop the 220MW LVC II merchant to commercial operation. SWP would realize the value by operating the newly developed capacity of 274MWscheduling such capacity into the California PX and Nevada power markets. LVCLP would continue to operate as a QF and receive projected PPA revenues, including revenue projected under the NPC release agreement.. The expected return to ENA under this scenario is expected to be $5 million.</w:t>
      </w:r>
    </w:p>
    <w:p>
      <w:pPr>
        <w:pStyle w:val="sub"/>
        <w:ind w:start="360" w:end="0"/>
        <w:rPr>
          <w:b w:val="false"/>
          <w:u w:val="single"/>
        </w:rPr>
      </w:pPr>
      <w:r>
        <w:rPr>
          <w:b w:val="false"/>
          <w:u w:val="single"/>
        </w:rPr>
        <w:t>Strategy 1B</w:t>
      </w:r>
    </w:p>
    <w:p>
      <w:pPr>
        <w:pStyle w:val="sub"/>
        <w:ind w:start="360" w:end="0"/>
        <w:rPr>
          <w:b w:val="false"/>
        </w:rPr>
      </w:pPr>
      <w:r>
        <w:rPr>
          <w:b w:val="false"/>
        </w:rPr>
        <w:t>LVCLP negotiates with Nevada Power a buy-out of the PPA for the existing 54MW plant. The development of a 220MW merchant plant proceeds to commercial operation. SWP would realize the value by operating the plant and scheduling power into the California PX and the Nevada power markets. The expected benefit to ENA under this scenario is expected to be $17 million.</w:t>
      </w:r>
    </w:p>
    <w:p>
      <w:pPr>
        <w:pStyle w:val="sub"/>
        <w:rPr/>
      </w:pPr>
      <w:r>
        <w:rPr/>
        <w:t>2.</w:t>
        <w:tab/>
        <w:t>ENA Decision to “Sell” the Assets by December 31, 2000</w:t>
      </w:r>
    </w:p>
    <w:p>
      <w:pPr>
        <w:pStyle w:val="sub"/>
        <w:ind w:start="360" w:end="0"/>
        <w:rPr>
          <w:b w:val="false"/>
          <w:u w:val="single"/>
        </w:rPr>
      </w:pPr>
      <w:r>
        <w:rPr>
          <w:b w:val="false"/>
          <w:u w:val="single"/>
        </w:rPr>
        <w:t>Strategy 2A</w:t>
      </w:r>
    </w:p>
    <w:p>
      <w:pPr>
        <w:pStyle w:val="sub"/>
        <w:ind w:start="360" w:end="0"/>
        <w:rPr>
          <w:b w:val="false"/>
        </w:rPr>
      </w:pPr>
      <w:r>
        <w:rPr>
          <w:b w:val="false"/>
        </w:rPr>
        <w:t>Asset prices have moved up substantially since LVCLP was acquired in August of 1999. SWP would explore the option to identify a third party who would be willing to pay for the existing asset based upon an appropriate value for the contract restructuring and for the optionality associated with the additional LVC II expansion opportunity. A sale based on this strategy substantially mitigates negotiation risks associated with restructuring and development risks associated with the merchant plant and would be completed by December 31, 2000. The expected benefit to ENA under this scenario is $29.7 million.</w:t>
      </w:r>
    </w:p>
    <w:p>
      <w:pPr>
        <w:pStyle w:val="sub"/>
        <w:ind w:start="360" w:end="0"/>
        <w:rPr>
          <w:b w:val="false"/>
          <w:u w:val="single"/>
        </w:rPr>
      </w:pPr>
      <w:r>
        <w:rPr>
          <w:b w:val="false"/>
          <w:u w:val="single"/>
        </w:rPr>
        <w:t>Strategy 2B</w:t>
      </w:r>
    </w:p>
    <w:p>
      <w:pPr>
        <w:pStyle w:val="sub"/>
        <w:ind w:start="360" w:end="0"/>
        <w:rPr/>
      </w:pPr>
      <w:r>
        <w:rPr>
          <w:b w:val="false"/>
        </w:rPr>
        <w:t>LVCLP negotiates with Nevada Power a buyout of the PPA for the existing 54MW plant subject to securitization and commission approval. The development of the 220MW LVC II merchant plant also proceeds simultaneously to a point in which it is financiable development project. On or before December 31, 2000, SWP sells down its interest in the residual 274MW merchant plant as well as cash flow from the negotiated PPA Buyout. The expected benefit to ENA from this strategy will be $35.0 million.</w:t>
      </w:r>
      <w:r>
        <w:rPr>
          <w:rFonts w:cs="Times New Roman" w:ascii="Times New Roman" w:hAnsi="Times New Roman"/>
        </w:rPr>
        <w:t xml:space="preserve"> </w:t>
      </w:r>
    </w:p>
    <w:p>
      <w:pPr>
        <w:pStyle w:val="Heading1"/>
        <w:tabs>
          <w:tab w:val="clear" w:pos="360"/>
          <w:tab w:val="left" w:pos="720" w:leader="none"/>
        </w:tabs>
        <w:spacing w:before="240" w:after="240"/>
        <w:ind w:hanging="0" w:start="0"/>
        <w:rPr>
          <w:rFonts w:ascii="Times New Roman" w:hAnsi="Times New Roman" w:cs="Times New Roman"/>
        </w:rPr>
      </w:pPr>
      <w:bookmarkStart w:id="61" w:name="__RefHeading___Toc482880154"/>
      <w:bookmarkEnd w:id="61"/>
      <w:r>
        <w:rPr>
          <w:rFonts w:cs="Times New Roman" w:ascii="Times New Roman" w:hAnsi="Times New Roman"/>
        </w:rPr>
        <w:t>Risks &amp; Mitigating Factors</w:t>
      </w:r>
    </w:p>
    <w:p>
      <w:pPr>
        <w:pStyle w:val="Normal"/>
        <w:rPr>
          <w:rFonts w:ascii="Times New Roman" w:hAnsi="Times New Roman" w:cs="Times New Roman"/>
        </w:rPr>
      </w:pPr>
      <w:r>
        <w:rPr>
          <w:rFonts w:cs="Times New Roman" w:ascii="Times New Roman" w:hAnsi="Times New Roman"/>
        </w:rPr>
      </w:r>
    </w:p>
    <w:p>
      <w:pPr>
        <w:pStyle w:val="Normal"/>
        <w:rPr/>
      </w:pPr>
      <w:r>
        <w:rPr/>
        <w:t xml:space="preserve">Project Risks </w:t>
        <w:tab/>
        <w:t>-</w:t>
        <w:tab/>
        <w:t>Las Vegas Cogeneration LP (Project Elvis)</w:t>
      </w:r>
    </w:p>
    <w:p>
      <w:pPr>
        <w:pStyle w:val="Normal"/>
        <w:rPr/>
      </w:pPr>
      <w:r>
        <w:rPr/>
      </w:r>
    </w:p>
    <w:p>
      <w:pPr>
        <w:pStyle w:val="Normal"/>
        <w:rPr/>
      </w:pPr>
      <w:r>
        <w:rPr/>
      </w:r>
    </w:p>
    <w:tbl>
      <w:tblPr>
        <w:tblW w:w="10032" w:type="dxa"/>
        <w:jc w:val="start"/>
        <w:tblInd w:w="378" w:type="dxa"/>
        <w:tblLayout w:type="fixed"/>
        <w:tblCellMar>
          <w:top w:w="0" w:type="dxa"/>
          <w:start w:w="108" w:type="dxa"/>
          <w:bottom w:w="0" w:type="dxa"/>
          <w:end w:w="108" w:type="dxa"/>
        </w:tblCellMar>
      </w:tblPr>
      <w:tblGrid>
        <w:gridCol w:w="3187"/>
        <w:gridCol w:w="3452"/>
        <w:gridCol w:w="3393"/>
      </w:tblGrid>
      <w:tr>
        <w:trPr/>
        <w:tc>
          <w:tcPr>
            <w:tcW w:w="3187"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RISK</w:t>
            </w:r>
          </w:p>
        </w:tc>
        <w:tc>
          <w:tcPr>
            <w:tcW w:w="3452"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DESCRIPTION</w:t>
            </w:r>
          </w:p>
        </w:tc>
        <w:tc>
          <w:tcPr>
            <w:tcW w:w="3393"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MITIGATION/COMMENTS</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Regulatory Risk—QF Status</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Loss of continued QF status would seriously impact the project, as the PPA with NPC would be terminated.</w:t>
            </w:r>
          </w:p>
          <w:p>
            <w:pPr>
              <w:pStyle w:val="Normal"/>
              <w:rPr>
                <w:rFonts w:eastAsia="TimesNewRoman"/>
              </w:rPr>
            </w:pPr>
            <w:r>
              <w:rPr>
                <w:rFonts w:eastAsia="TimesNewRoman"/>
              </w:rPr>
              <w:t xml:space="preserve"> </w:t>
            </w:r>
          </w:p>
          <w:p>
            <w:pPr>
              <w:pStyle w:val="Normal"/>
              <w:rPr/>
            </w:pPr>
            <w:r>
              <w:rPr/>
              <w:t>The enabling legislation for electric utility restructuring in Nevada contains language and incentives that could lead NPC to attempt to engineer a non-negotiated termination of the PPA or to challenge the QF status of the facility.</w:t>
            </w:r>
          </w:p>
        </w:tc>
        <w:tc>
          <w:tcPr>
            <w:tcW w:w="3393" w:type="dxa"/>
            <w:tcBorders>
              <w:top w:val="single" w:sz="6" w:space="0" w:color="000000"/>
              <w:start w:val="single" w:sz="6" w:space="0" w:color="000000"/>
              <w:bottom w:val="single" w:sz="6" w:space="0" w:color="000000"/>
              <w:end w:val="single" w:sz="6" w:space="0" w:color="000000"/>
            </w:tcBorders>
          </w:tcPr>
          <w:p>
            <w:pPr>
              <w:pStyle w:val="Normal"/>
              <w:rPr/>
            </w:pPr>
            <w:r>
              <w:rPr/>
              <w:t>Tri-Mont Engineering was retained to review plant operating reports in order to render an opinion on the plant’s ability to continue to hold Qualified Facility designation.  Tri-Mont’s report  states that the plant has consistently met and continues to meet the operating and efficiency standards necessary for maintenance of QF status.</w:t>
            </w:r>
          </w:p>
          <w:p>
            <w:pPr>
              <w:pStyle w:val="Normal"/>
              <w:rPr/>
            </w:pPr>
            <w:r>
              <w:rPr/>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Regulatory Risk—PPA Unwind</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 xml:space="preserve">Negotiations to unwind the PPA with Nevada Power may prove unsuccessful.  </w:t>
            </w:r>
          </w:p>
          <w:p>
            <w:pPr>
              <w:pStyle w:val="Normal"/>
              <w:rPr/>
            </w:pPr>
            <w:r>
              <w:rPr/>
            </w:r>
          </w:p>
          <w:p>
            <w:pPr>
              <w:pStyle w:val="Normal"/>
              <w:rPr/>
            </w:pPr>
            <w:r>
              <w:rPr/>
            </w:r>
          </w:p>
          <w:p>
            <w:pPr>
              <w:pStyle w:val="Normal"/>
              <w:rPr/>
            </w:pPr>
            <w:r>
              <w:rPr/>
            </w:r>
          </w:p>
          <w:p>
            <w:pPr>
              <w:pStyle w:val="Normal"/>
              <w:rPr/>
            </w:pPr>
            <w:r>
              <w:rPr/>
              <w:t>As a third alternative, NPC may attempt to simply negotiate lower PPA pricing.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3393" w:type="dxa"/>
            <w:tcBorders>
              <w:top w:val="single" w:sz="6" w:space="0" w:color="000000"/>
              <w:start w:val="single" w:sz="6" w:space="0" w:color="000000"/>
              <w:bottom w:val="single" w:sz="6" w:space="0" w:color="000000"/>
              <w:end w:val="single" w:sz="6" w:space="0" w:color="000000"/>
            </w:tcBorders>
          </w:tcPr>
          <w:p>
            <w:pPr>
              <w:pStyle w:val="Normal"/>
              <w:rPr/>
            </w:pPr>
            <w:r>
              <w:rPr/>
              <w:t>Recent Nevada utility restructuring legislation instructs public utilities to seek to renegotiate any above-market contracts.  The pricing structure specified by the PPA exceeds RAC’s projections of future market prices. Although the PPA includes no specific provisions for restructuring or unwinding, any such unwinding would likely require NPC to make a substantial cash payment to LVCLP.  Enron and NPC may not be able to reach agreement on the discount rate to be utilized for calculating this cash payment.  The model assumes that a discount rate above 13.6% would make the unwind option less economically attractive than continuing to operate the plant as a QF under the existing PPA.  There is no timetable for such negotiations. Any negotiated agreement would have to be approved by the state’s Public Service Commission.</w:t>
            </w:r>
          </w:p>
          <w:p>
            <w:pPr>
              <w:pStyle w:val="Normal"/>
              <w:rPr/>
            </w:pPr>
            <w:r>
              <w:rPr/>
            </w:r>
          </w:p>
          <w:p>
            <w:pPr>
              <w:pStyle w:val="Normal"/>
              <w:rPr/>
            </w:pPr>
            <w:r>
              <w:rPr/>
              <w:t xml:space="preserve">The restructuring legislation includes language instructing the PSC and the utilities to respect existing contracts.  Language linking the utilities’ ability to recover their stranded costs to their efforts to mitigate the costs and obligations represented by above-market contracts gives NPC an incentive to seek buydown or other restructuring of the PPA.  </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Regulatory—Market Deregulation</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 xml:space="preserve">The project faces the risk of delays in the introduction of open access in Nevada.  </w:t>
            </w:r>
          </w:p>
        </w:tc>
        <w:tc>
          <w:tcPr>
            <w:tcW w:w="3393" w:type="dxa"/>
            <w:tcBorders>
              <w:top w:val="single" w:sz="6" w:space="0" w:color="000000"/>
              <w:start w:val="single" w:sz="6" w:space="0" w:color="000000"/>
              <w:bottom w:val="single" w:sz="6" w:space="0" w:color="000000"/>
              <w:end w:val="single" w:sz="6" w:space="0" w:color="000000"/>
            </w:tcBorders>
          </w:tcPr>
          <w:p>
            <w:pPr>
              <w:pStyle w:val="BodyText"/>
              <w:rPr/>
            </w:pPr>
            <w:r>
              <w:rPr/>
              <w:t xml:space="preserve">AB366, enacted in 1997 and subsequently amended by SB438 in 1999, is a broad, sweeping restructuring statute. SB438 sets March 1, 2000 as the open access date for all customer classes—subject to modification by the Governor.  </w:t>
            </w:r>
          </w:p>
          <w:p>
            <w:pPr>
              <w:pStyle w:val="BodyText"/>
              <w:rPr/>
            </w:pPr>
            <w:r>
              <w:rPr/>
            </w:r>
          </w:p>
          <w:p>
            <w:pPr>
              <w:pStyle w:val="Normal"/>
              <w:rPr/>
            </w:pPr>
            <w:r>
              <w:rPr/>
              <w:t>Enron Government Affairs places a high likelihood on the March 1 start date for competition, subject to certain key FERC findings, and places a low likelihood on substantial delay in the open access date.</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Merchant Risk</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If a negotiated unwind of the PPA is successful; the plant will operate as a 100% merchant facility.</w:t>
            </w:r>
          </w:p>
        </w:tc>
        <w:tc>
          <w:tcPr>
            <w:tcW w:w="3393" w:type="dxa"/>
            <w:tcBorders>
              <w:top w:val="single" w:sz="6" w:space="0" w:color="000000"/>
              <w:start w:val="single" w:sz="6" w:space="0" w:color="000000"/>
              <w:bottom w:val="single" w:sz="6" w:space="0" w:color="000000"/>
              <w:end w:val="single" w:sz="6" w:space="0" w:color="000000"/>
            </w:tcBorders>
          </w:tcPr>
          <w:p>
            <w:pPr>
              <w:pStyle w:val="Normal"/>
              <w:rPr/>
            </w:pPr>
            <w:r>
              <w:rPr/>
              <w:t xml:space="preserve">The facility can wheel on NPC’s system to reach the Mead delivery point.  Mead is increasingly liquid and volatile.  </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Greenhouse Profitability Risk</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The project valuation is noticeably sensitive to the income attributable to greenhouse operations.</w:t>
            </w:r>
          </w:p>
        </w:tc>
        <w:tc>
          <w:tcPr>
            <w:tcW w:w="3393" w:type="dxa"/>
            <w:tcBorders>
              <w:top w:val="single" w:sz="6" w:space="0" w:color="000000"/>
              <w:start w:val="single" w:sz="6" w:space="0" w:color="000000"/>
              <w:bottom w:val="single" w:sz="6" w:space="0" w:color="000000"/>
              <w:end w:val="single" w:sz="6" w:space="0" w:color="000000"/>
            </w:tcBorders>
          </w:tcPr>
          <w:p>
            <w:pPr>
              <w:pStyle w:val="Normal"/>
              <w:rPr/>
            </w:pPr>
            <w:r>
              <w:rPr/>
              <w:t xml:space="preserve">Greenhouse output is sold under an annual contract to a California produce distributor.  The greenhouse has successfully established a recognized brand (“Las Vegas Delight”) for its produce.  </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Operating Performance/Availability</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The plant may experience technical difficulties or require unscheduled maintenance, reducing overall availability.</w:t>
            </w:r>
          </w:p>
        </w:tc>
        <w:tc>
          <w:tcPr>
            <w:tcW w:w="3393" w:type="dxa"/>
            <w:tcBorders>
              <w:top w:val="single" w:sz="6" w:space="0" w:color="000000"/>
              <w:start w:val="single" w:sz="6" w:space="0" w:color="000000"/>
              <w:bottom w:val="single" w:sz="6" w:space="0" w:color="000000"/>
              <w:end w:val="single" w:sz="6" w:space="0" w:color="000000"/>
            </w:tcBorders>
          </w:tcPr>
          <w:p>
            <w:pPr>
              <w:pStyle w:val="Normal"/>
              <w:rPr/>
            </w:pPr>
            <w:r>
              <w:rPr/>
              <w:t xml:space="preserve">LV Cogen Operations Staff have been operating and maintaining the unit since 1993 and will continue to manage the facility after acquisition. Plant walk-down and technical due diligence revealed a knowledgeable and qualified workforce. Physical plant is in excellent condition. Availability over last three years has exceeded 96% and in 1998 exceeded 98%. </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Fixed and Variable Operating Costs</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 xml:space="preserve">Unhedged increases in fuel costs, gas transportation expenses, labor expenses, and other variable operating costs may reduce project returns. </w:t>
            </w:r>
          </w:p>
        </w:tc>
        <w:tc>
          <w:tcPr>
            <w:tcW w:w="3393" w:type="dxa"/>
            <w:tcBorders>
              <w:top w:val="single" w:sz="6" w:space="0" w:color="000000"/>
              <w:start w:val="single" w:sz="6" w:space="0" w:color="000000"/>
              <w:bottom w:val="single" w:sz="6" w:space="0" w:color="000000"/>
              <w:end w:val="single" w:sz="6" w:space="0" w:color="000000"/>
            </w:tcBorders>
          </w:tcPr>
          <w:p>
            <w:pPr>
              <w:pStyle w:val="Normal"/>
              <w:rPr/>
            </w:pPr>
            <w:r>
              <w:rPr/>
              <w:t>Fuel and gas transportation costs are fixed for the first ten years of operation, with hedges to be extended at a future date. Staffing levels are commensurate with the plant’s current output. North America’s internal asset management service will monitor and control costs. The base case valuation assumes all fixed and variable operating costs will escalate by the US inflation curve, provided by the Currency Desk.</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Heat Rate Risk</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The project may experience excessive heat rate degradation, reducing the anticipated efficiency of the plant and limiting its ability to sell competitive non-NPC energy.</w:t>
            </w:r>
          </w:p>
        </w:tc>
        <w:tc>
          <w:tcPr>
            <w:tcW w:w="3393" w:type="dxa"/>
            <w:tcBorders>
              <w:top w:val="single" w:sz="6" w:space="0" w:color="000000"/>
              <w:start w:val="single" w:sz="6" w:space="0" w:color="000000"/>
              <w:bottom w:val="single" w:sz="6" w:space="0" w:color="000000"/>
              <w:end w:val="single" w:sz="6" w:space="0" w:color="000000"/>
            </w:tcBorders>
          </w:tcPr>
          <w:p>
            <w:pPr>
              <w:pStyle w:val="Normal"/>
              <w:rPr/>
            </w:pPr>
            <w:r>
              <w:rPr/>
              <w:t>ENA has upgraded the LM 6000 PA turbine with an LM 6000 PC unit. The upgrade has resulted in a 10% improvement in the overall plant heat rate. Scheduled and budgeted overhauls will restore efficiency to optimal levels at four-year intervals.</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Fuel Supply</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North America may face constraints in securing natural gas for the facility at rates that are commensurate with target returns.</w:t>
            </w:r>
          </w:p>
        </w:tc>
        <w:tc>
          <w:tcPr>
            <w:tcW w:w="3393" w:type="dxa"/>
            <w:tcBorders>
              <w:top w:val="single" w:sz="6" w:space="0" w:color="000000"/>
              <w:start w:val="single" w:sz="6" w:space="0" w:color="000000"/>
              <w:bottom w:val="single" w:sz="6" w:space="0" w:color="000000"/>
              <w:end w:val="single" w:sz="6" w:space="0" w:color="000000"/>
            </w:tcBorders>
          </w:tcPr>
          <w:p>
            <w:pPr>
              <w:pStyle w:val="Normal"/>
              <w:rPr/>
            </w:pPr>
            <w:r>
              <w:rPr/>
              <w:t>With the acquisition of the UP Fuels contract, North America will secure both long-term supply and transport for the required volumes of fuel. A dedicated lateral (owned by Southwest Gas) connects the Kern River pipeline system to the plant.   Coincident with the assumption of the UP Fuels Contract, North America will attempt to renegotiate the transport and reservation terms, which are currently above market.</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Environmental Regulation</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The project may fail to comply with existing or new environmental regulations.</w:t>
            </w:r>
          </w:p>
        </w:tc>
        <w:tc>
          <w:tcPr>
            <w:tcW w:w="3393" w:type="dxa"/>
            <w:tcBorders>
              <w:top w:val="single" w:sz="6" w:space="0" w:color="000000"/>
              <w:start w:val="single" w:sz="6" w:space="0" w:color="000000"/>
              <w:bottom w:val="single" w:sz="6" w:space="0" w:color="000000"/>
              <w:end w:val="single" w:sz="6" w:space="0" w:color="000000"/>
            </w:tcBorders>
          </w:tcPr>
          <w:p>
            <w:pPr>
              <w:pStyle w:val="Normal"/>
              <w:rPr/>
            </w:pPr>
            <w:r>
              <w:rPr/>
              <w:t xml:space="preserve">RTP Environmental Associates was retained to conduct independent environmental due diligence. RTP’s scope included a detailed Phase I Site Assessment of the property and a complete environmental compliance audit.  No items of significance were noted in RTP’s review.  </w:t>
            </w:r>
          </w:p>
          <w:p>
            <w:pPr>
              <w:pStyle w:val="Normal"/>
              <w:rPr/>
            </w:pPr>
            <w:r>
              <w:rPr/>
            </w:r>
          </w:p>
          <w:p>
            <w:pPr>
              <w:pStyle w:val="Normal"/>
              <w:rPr/>
            </w:pPr>
            <w:r>
              <w:rPr/>
              <w:t xml:space="preserve">Prior to 1993, the property was undeveloped land and there were no pre-existing environmental conditions. RTP’s review of relevant environmental documents and permits found the facility to be in compliance with existing environmental regulations.    </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Transmission Congestion</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The project may face transmission congestion which will limit its ability to sell non-NPC energy into the southwestern market and/or increase transmission expenses.</w:t>
            </w:r>
          </w:p>
        </w:tc>
        <w:tc>
          <w:tcPr>
            <w:tcW w:w="3393" w:type="dxa"/>
            <w:tcBorders>
              <w:top w:val="single" w:sz="6" w:space="0" w:color="000000"/>
              <w:start w:val="single" w:sz="6" w:space="0" w:color="000000"/>
              <w:bottom w:val="single" w:sz="6" w:space="0" w:color="000000"/>
              <w:end w:val="single" w:sz="6" w:space="0" w:color="000000"/>
            </w:tcBorders>
          </w:tcPr>
          <w:p>
            <w:pPr>
              <w:pStyle w:val="Normal"/>
              <w:rPr/>
            </w:pPr>
            <w:r>
              <w:rPr/>
              <w:t>Based on a steady-state analysis of transmission performed by Portland General Operations, all lines in the area of the LV Cogen facility are within their thermal ratings with all lines in service.  Unavailability of one or more transmission lines will likely lead to thermal rating violations and subsequent capacity allocations.</w:t>
            </w:r>
          </w:p>
        </w:tc>
      </w:tr>
    </w:tbl>
    <w:p>
      <w:pPr>
        <w:pStyle w:val="Normal"/>
        <w:rPr/>
      </w:pPr>
      <w:r>
        <w:rPr/>
      </w:r>
    </w:p>
    <w:p>
      <w:pPr>
        <w:pStyle w:val="Normal"/>
        <w:rPr/>
      </w:pPr>
      <w:r>
        <w:rPr/>
      </w:r>
    </w:p>
    <w:p>
      <w:pPr>
        <w:pStyle w:val="Normal"/>
        <w:rPr/>
      </w:pPr>
      <w:r>
        <w:rPr/>
      </w:r>
      <w:r>
        <w:br w:type="page"/>
      </w:r>
    </w:p>
    <w:p>
      <w:pPr>
        <w:pStyle w:val="Normal"/>
        <w:rPr/>
      </w:pPr>
      <w:r>
        <w:rPr/>
        <w:t xml:space="preserve">Project Risks </w:t>
        <w:tab/>
        <w:t>-</w:t>
        <w:tab/>
        <w:t>Las Vegas Cogeneration II LLC (Project Priscilla)</w:t>
      </w:r>
    </w:p>
    <w:p>
      <w:pPr>
        <w:pStyle w:val="Normal"/>
        <w:rPr/>
      </w:pPr>
      <w:r>
        <w:rPr/>
      </w:r>
    </w:p>
    <w:p>
      <w:pPr>
        <w:pStyle w:val="Normal"/>
        <w:rPr/>
      </w:pPr>
      <w:r>
        <w:rPr/>
      </w:r>
    </w:p>
    <w:p>
      <w:pPr>
        <w:pStyle w:val="Normal"/>
        <w:rPr/>
      </w:pPr>
      <w:r>
        <w:rPr/>
      </w:r>
    </w:p>
    <w:tbl>
      <w:tblPr>
        <w:tblW w:w="10080" w:type="dxa"/>
        <w:jc w:val="start"/>
        <w:tblInd w:w="378" w:type="dxa"/>
        <w:tblLayout w:type="fixed"/>
        <w:tblCellMar>
          <w:top w:w="0" w:type="dxa"/>
          <w:start w:w="108" w:type="dxa"/>
          <w:bottom w:w="0" w:type="dxa"/>
          <w:end w:w="108" w:type="dxa"/>
        </w:tblCellMar>
      </w:tblPr>
      <w:tblGrid>
        <w:gridCol w:w="3187"/>
        <w:gridCol w:w="3452"/>
        <w:gridCol w:w="3441"/>
      </w:tblGrid>
      <w:tr>
        <w:trPr/>
        <w:tc>
          <w:tcPr>
            <w:tcW w:w="3187"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RISK</w:t>
            </w:r>
          </w:p>
        </w:tc>
        <w:tc>
          <w:tcPr>
            <w:tcW w:w="3452"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DESCRIPTION</w:t>
            </w:r>
          </w:p>
        </w:tc>
        <w:tc>
          <w:tcPr>
            <w:tcW w:w="3441" w:type="dxa"/>
            <w:tcBorders>
              <w:top w:val="single" w:sz="6" w:space="0" w:color="000000"/>
              <w:start w:val="single" w:sz="6" w:space="0" w:color="000000"/>
              <w:bottom w:val="single" w:sz="6" w:space="0" w:color="000000"/>
              <w:end w:val="single" w:sz="6" w:space="0" w:color="000000"/>
            </w:tcBorders>
          </w:tcPr>
          <w:p>
            <w:pPr>
              <w:pStyle w:val="Normal"/>
              <w:keepNext w:val="true"/>
              <w:rPr>
                <w:b/>
              </w:rPr>
            </w:pPr>
            <w:r>
              <w:rPr>
                <w:b/>
              </w:rPr>
              <w:t>MITIGATION/COMMENTS</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Merchant Risks</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The proposed 220MW would be a 100% merchant plant and would be subject to merchant risk in the Cal PX and the Nevada markets.</w:t>
            </w:r>
          </w:p>
        </w:tc>
        <w:tc>
          <w:tcPr>
            <w:tcW w:w="3441" w:type="dxa"/>
            <w:tcBorders>
              <w:top w:val="single" w:sz="6" w:space="0" w:color="000000"/>
              <w:start w:val="single" w:sz="6" w:space="0" w:color="000000"/>
              <w:bottom w:val="single" w:sz="6" w:space="0" w:color="000000"/>
              <w:end w:val="single" w:sz="6" w:space="0" w:color="000000"/>
            </w:tcBorders>
          </w:tcPr>
          <w:p>
            <w:pPr>
              <w:pStyle w:val="Normal"/>
              <w:rPr/>
            </w:pPr>
            <w:r>
              <w:rPr/>
              <w:t>The project is located in one of the fastest growing areas in the US.  The area needs new generation; therefore, the project can sell to NPC to meet local loads.  Additionally, the output from the plant can be wheeled to the Cal PX and to Mead. There is sufficient liquidity at these points and price forecasts in the South West/California region support a merchant plant at the proposed site.</w:t>
            </w:r>
          </w:p>
          <w:p>
            <w:pPr>
              <w:pStyle w:val="Normal"/>
              <w:rPr/>
            </w:pPr>
            <w:r>
              <w:rPr/>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Permitting Risk</w:t>
            </w:r>
          </w:p>
          <w:p>
            <w:pPr>
              <w:pStyle w:val="Normal"/>
              <w:rPr/>
            </w:pPr>
            <w:r>
              <w:rPr/>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The project faces the risk that Clark County Air Quality Division may not issue a permit or may not allow for a summer 2002 commercial operation date.</w:t>
            </w:r>
          </w:p>
        </w:tc>
        <w:tc>
          <w:tcPr>
            <w:tcW w:w="3441" w:type="dxa"/>
            <w:tcBorders>
              <w:top w:val="single" w:sz="6" w:space="0" w:color="000000"/>
              <w:start w:val="single" w:sz="6" w:space="0" w:color="000000"/>
              <w:bottom w:val="single" w:sz="6" w:space="0" w:color="000000"/>
              <w:end w:val="single" w:sz="6" w:space="0" w:color="000000"/>
            </w:tcBorders>
          </w:tcPr>
          <w:p>
            <w:pPr>
              <w:pStyle w:val="Normal"/>
              <w:rPr/>
            </w:pPr>
            <w:r>
              <w:rPr/>
              <w:t>Clark County has completed its initial review of the air permit application.  All of the changes requested by the agency are achievable.  The project’s design has been adjusted to increase the degree of NOx and CO removal so the annual emissions of these pollutants will be below levels considered “major” by the County which should expedite the approval process.</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Regulatory—Market Deregulation</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 xml:space="preserve">The project faces the risk of delays in the introduction of open access in Nevada.  </w:t>
            </w:r>
          </w:p>
        </w:tc>
        <w:tc>
          <w:tcPr>
            <w:tcW w:w="3441" w:type="dxa"/>
            <w:tcBorders>
              <w:top w:val="single" w:sz="6" w:space="0" w:color="000000"/>
              <w:start w:val="single" w:sz="6" w:space="0" w:color="000000"/>
              <w:bottom w:val="single" w:sz="6" w:space="0" w:color="000000"/>
              <w:end w:val="single" w:sz="6" w:space="0" w:color="000000"/>
            </w:tcBorders>
          </w:tcPr>
          <w:p>
            <w:pPr>
              <w:pStyle w:val="Normal"/>
              <w:rPr/>
            </w:pPr>
            <w:r>
              <w:rPr/>
              <w:t>Power from the project can be sold into the wholesale markets even if the implementation of open access in NV is delayed. The implementation of open access will improve market opportunity for the project, including the possible sale of ancillary services given the project's location in NPC’s load center.  AB366, enacted in 1997 and subsequently amended by SB438 in 1999, is a broad, sweeping restructuring statute. SB438 sets March 1, 2000 as the open access date for all customer classes—subject to modification by the Governor.  Enron Government Affairs places a high likelihood on the March 1 start date for competition, subject to certain key FERC findings.</w:t>
            </w:r>
          </w:p>
        </w:tc>
      </w:tr>
      <w:tr>
        <w:trPr>
          <w:trHeight w:val="4215" w:hRule="atLeast"/>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Equity Syndication Risk</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 xml:space="preserve">ENA may have difficulty finding equity investors for the project, or may not be able to extract an attractive purchase price. </w:t>
            </w:r>
          </w:p>
        </w:tc>
        <w:tc>
          <w:tcPr>
            <w:tcW w:w="3441" w:type="dxa"/>
            <w:tcBorders>
              <w:top w:val="single" w:sz="6" w:space="0" w:color="000000"/>
              <w:start w:val="single" w:sz="6" w:space="0" w:color="000000"/>
              <w:bottom w:val="single" w:sz="6" w:space="0" w:color="000000"/>
              <w:end w:val="single" w:sz="6" w:space="0" w:color="000000"/>
            </w:tcBorders>
          </w:tcPr>
          <w:p>
            <w:pPr>
              <w:pStyle w:val="Normal"/>
              <w:rPr/>
            </w:pPr>
            <w:r>
              <w:rPr/>
              <w:t>Important: New generation like Priscilla will not be subject to the transition price cap that is part of Nevada’s deregulation plan.  The existing NPC and Sierra assets that are being divested will be subject to the cap.  Therefore, the potential early year returns from Priscilla are much higher than the assets being divested.  Recent market transactions in the WSCC indicate a continuing seller’s market for assets--buyers with a higher market power price expectation than those implied by the ENA mid curve.  Potential buyers recognize that a fully developed project offers a significant early-mover advantage. Return requirements for equity fall in the 12-18% range.</w:t>
            </w:r>
          </w:p>
        </w:tc>
      </w:tr>
      <w:tr>
        <w:trPr>
          <w:trHeight w:val="1335" w:hRule="atLeast"/>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Development Risks</w:t>
            </w:r>
          </w:p>
        </w:tc>
        <w:tc>
          <w:tcPr>
            <w:tcW w:w="345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3441" w:type="dxa"/>
            <w:tcBorders>
              <w:top w:val="single" w:sz="6" w:space="0" w:color="000000"/>
              <w:start w:val="single" w:sz="6" w:space="0" w:color="000000"/>
              <w:bottom w:val="single" w:sz="6" w:space="0" w:color="000000"/>
              <w:end w:val="single" w:sz="6" w:space="0" w:color="000000"/>
            </w:tcBorders>
          </w:tcPr>
          <w:p>
            <w:pPr>
              <w:pStyle w:val="Normal"/>
              <w:rPr/>
            </w:pPr>
            <w:r>
              <w:rPr>
                <w:rFonts w:eastAsia="TimesNewRoman"/>
              </w:rPr>
              <w:t xml:space="preserve"> </w:t>
            </w:r>
            <w:r>
              <w:rPr/>
              <w:t>The use of an existing power plant site and the advanced state of the permitting reduce the potential for significant development surprises that escalate costs and/or degrade a project’s viability.</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Water Supply</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 xml:space="preserve">LVC II may not be able to secure a water supply.  </w:t>
            </w:r>
          </w:p>
        </w:tc>
        <w:tc>
          <w:tcPr>
            <w:tcW w:w="3441" w:type="dxa"/>
            <w:tcBorders>
              <w:top w:val="single" w:sz="6" w:space="0" w:color="000000"/>
              <w:start w:val="single" w:sz="6" w:space="0" w:color="000000"/>
              <w:bottom w:val="single" w:sz="6" w:space="0" w:color="000000"/>
              <w:end w:val="single" w:sz="6" w:space="0" w:color="000000"/>
            </w:tcBorders>
          </w:tcPr>
          <w:p>
            <w:pPr>
              <w:pStyle w:val="Normal"/>
              <w:rPr/>
            </w:pPr>
            <w:r>
              <w:rPr/>
              <w:t>Water can be purchased from the City of North Las Vegas.  The City has adequate supply capacity to meet the project’s needs.</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 xml:space="preserve">Interconnection </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 xml:space="preserve">Interconnection may be technically infeasible or mitigation costs may be uneconomical  </w:t>
            </w:r>
          </w:p>
        </w:tc>
        <w:tc>
          <w:tcPr>
            <w:tcW w:w="3441" w:type="dxa"/>
            <w:tcBorders>
              <w:top w:val="single" w:sz="6" w:space="0" w:color="000000"/>
              <w:start w:val="single" w:sz="6" w:space="0" w:color="000000"/>
              <w:bottom w:val="single" w:sz="6" w:space="0" w:color="000000"/>
              <w:end w:val="single" w:sz="6" w:space="0" w:color="000000"/>
            </w:tcBorders>
          </w:tcPr>
          <w:p>
            <w:pPr>
              <w:pStyle w:val="Normal"/>
              <w:rPr/>
            </w:pPr>
            <w:r>
              <w:rPr/>
              <w:t>The existing 138 kV power line near the site has been built to carry an additional 138 kV circuit.  NPC has a new high voltage substation under construction approximately 4 miles north of the project.  These facilities should help achieve a reasonable cost interconnection of the project.  NPC staff will visit the site the first week of June as part of the interconnection study.</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Fuel Supply</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LVC II may face constraints in securing natural gas for the facility.</w:t>
            </w:r>
          </w:p>
        </w:tc>
        <w:tc>
          <w:tcPr>
            <w:tcW w:w="3441" w:type="dxa"/>
            <w:tcBorders>
              <w:top w:val="single" w:sz="6" w:space="0" w:color="000000"/>
              <w:start w:val="single" w:sz="6" w:space="0" w:color="000000"/>
              <w:bottom w:val="single" w:sz="6" w:space="0" w:color="000000"/>
              <w:end w:val="single" w:sz="6" w:space="0" w:color="000000"/>
            </w:tcBorders>
          </w:tcPr>
          <w:p>
            <w:pPr>
              <w:pStyle w:val="Normal"/>
              <w:rPr/>
            </w:pPr>
            <w:r>
              <w:rPr/>
              <w:t>The existing pipeline to the site can carry adequate gas to fuel the expansion by adding compression.  Because the site is only 4.3 miles from Kern River, a direct connection is being evaluated to avoid the need for compression and to bypass the LDC.</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 xml:space="preserve">Development Cost Risk </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 xml:space="preserve">The project’s unrecoverable development costs may be higher than expected. </w:t>
            </w:r>
          </w:p>
        </w:tc>
        <w:tc>
          <w:tcPr>
            <w:tcW w:w="3441" w:type="dxa"/>
            <w:tcBorders>
              <w:top w:val="single" w:sz="6" w:space="0" w:color="000000"/>
              <w:start w:val="single" w:sz="6" w:space="0" w:color="000000"/>
              <w:bottom w:val="single" w:sz="6" w:space="0" w:color="000000"/>
              <w:end w:val="single" w:sz="6" w:space="0" w:color="000000"/>
            </w:tcBorders>
          </w:tcPr>
          <w:p>
            <w:pPr>
              <w:pStyle w:val="Normal"/>
              <w:rPr/>
            </w:pPr>
            <w:r>
              <w:rPr/>
              <w:t>Project costs could be higher than currently forecast.  However, the degree of uncertainty and potential for unforeseen costs are lower at this expansion site than a green field site because of the existing substation, gas line, water supply, waste water arrangements with the city and consistency with local land use requirements.</w:t>
            </w:r>
          </w:p>
        </w:tc>
      </w:tr>
      <w:tr>
        <w:trPr/>
        <w:tc>
          <w:tcPr>
            <w:tcW w:w="3187" w:type="dxa"/>
            <w:tcBorders>
              <w:top w:val="single" w:sz="6" w:space="0" w:color="000000"/>
              <w:start w:val="single" w:sz="6" w:space="0" w:color="000000"/>
              <w:bottom w:val="single" w:sz="6" w:space="0" w:color="000000"/>
              <w:end w:val="single" w:sz="6" w:space="0" w:color="000000"/>
            </w:tcBorders>
          </w:tcPr>
          <w:p>
            <w:pPr>
              <w:pStyle w:val="Normal"/>
              <w:rPr/>
            </w:pPr>
            <w:r>
              <w:rPr/>
              <w:t>Construction Costs</w:t>
            </w:r>
          </w:p>
        </w:tc>
        <w:tc>
          <w:tcPr>
            <w:tcW w:w="3452" w:type="dxa"/>
            <w:tcBorders>
              <w:top w:val="single" w:sz="6" w:space="0" w:color="000000"/>
              <w:start w:val="single" w:sz="6" w:space="0" w:color="000000"/>
              <w:bottom w:val="single" w:sz="6" w:space="0" w:color="000000"/>
              <w:end w:val="single" w:sz="6" w:space="0" w:color="000000"/>
            </w:tcBorders>
          </w:tcPr>
          <w:p>
            <w:pPr>
              <w:pStyle w:val="Normal"/>
              <w:rPr/>
            </w:pPr>
            <w:r>
              <w:rPr/>
              <w:t>There is a risk that delays, cost overruns and inaccurate cost projections will cause the project to exceed the anticipated construction cost, reducing project returns.</w:t>
            </w:r>
          </w:p>
        </w:tc>
        <w:tc>
          <w:tcPr>
            <w:tcW w:w="3441" w:type="dxa"/>
            <w:tcBorders>
              <w:top w:val="single" w:sz="6" w:space="0" w:color="000000"/>
              <w:start w:val="single" w:sz="6" w:space="0" w:color="000000"/>
              <w:bottom w:val="single" w:sz="6" w:space="0" w:color="000000"/>
              <w:end w:val="single" w:sz="6" w:space="0" w:color="000000"/>
            </w:tcBorders>
          </w:tcPr>
          <w:p>
            <w:pPr>
              <w:pStyle w:val="Normal"/>
              <w:rPr/>
            </w:pPr>
            <w:r>
              <w:rPr/>
              <w:t>Like other projects, the project is subject to inflated costs due to the power plant construction boom.  However, the cost of the most expensive equipment — the gas turbines — is fixed.  Building on an existing developed site also reduces the potential of encountering unexpected problems such as adverse geotechnical conditions.</w:t>
            </w:r>
          </w:p>
        </w:tc>
      </w:tr>
    </w:tbl>
    <w:p>
      <w:pPr>
        <w:pStyle w:val="Normal"/>
        <w:rPr/>
      </w:pPr>
      <w:r>
        <w:rPr/>
      </w:r>
    </w:p>
    <w:p>
      <w:pPr>
        <w:pStyle w:val="Normal"/>
        <w:rPr/>
      </w:pPr>
      <w:r>
        <w:rPr/>
      </w:r>
    </w:p>
    <w:p>
      <w:pPr>
        <w:pStyle w:val="Heading1"/>
        <w:tabs>
          <w:tab w:val="clear" w:pos="360"/>
          <w:tab w:val="left" w:pos="720" w:leader="none"/>
        </w:tabs>
        <w:spacing w:before="240" w:after="240"/>
        <w:ind w:hanging="0" w:start="0"/>
        <w:rPr>
          <w:rFonts w:ascii="Times New Roman" w:hAnsi="Times New Roman" w:cs="Times New Roman"/>
        </w:rPr>
      </w:pPr>
      <w:bookmarkStart w:id="62" w:name="__RefHeading___Toc482880155"/>
      <w:bookmarkEnd w:id="62"/>
      <w:r>
        <w:rPr>
          <w:rFonts w:cs="Times New Roman" w:ascii="Times New Roman" w:hAnsi="Times New Roman"/>
        </w:rPr>
        <w:t>Appendices</w:t>
      </w:r>
    </w:p>
    <w:p>
      <w:pPr>
        <w:pStyle w:val="Heading2"/>
        <w:ind w:hanging="0" w:start="0"/>
        <w:rPr>
          <w:rFonts w:ascii="Times New Roman" w:hAnsi="Times New Roman" w:cs="Times New Roman"/>
        </w:rPr>
      </w:pPr>
      <w:bookmarkStart w:id="63" w:name="__RefHeading___Toc482880156"/>
      <w:bookmarkEnd w:id="63"/>
      <w:r>
        <w:rPr/>
        <w:t>Project Priscilla Performance Summary</w:t>
      </w:r>
    </w:p>
    <w:tbl>
      <w:tblPr>
        <w:tblW w:w="8122" w:type="dxa"/>
        <w:jc w:val="start"/>
        <w:tblInd w:w="0" w:type="dxa"/>
        <w:tblLayout w:type="fixed"/>
        <w:tblCellMar>
          <w:top w:w="0" w:type="dxa"/>
          <w:start w:w="30" w:type="dxa"/>
          <w:bottom w:w="0" w:type="dxa"/>
          <w:end w:w="30" w:type="dxa"/>
        </w:tblCellMar>
      </w:tblPr>
      <w:tblGrid>
        <w:gridCol w:w="5803"/>
        <w:gridCol w:w="2319"/>
      </w:tblGrid>
      <w:tr>
        <w:trPr>
          <w:trHeight w:val="1642" w:hRule="atLeast"/>
        </w:trPr>
        <w:tc>
          <w:tcPr>
            <w:tcW w:w="8122" w:type="dxa"/>
            <w:gridSpan w:val="2"/>
            <w:tcBorders>
              <w:top w:val="single" w:sz="2" w:space="0" w:color="000000"/>
              <w:start w:val="single" w:sz="2" w:space="0" w:color="000000"/>
              <w:bottom w:val="single" w:sz="2" w:space="0" w:color="000000"/>
            </w:tcBorders>
          </w:tcPr>
          <w:p>
            <w:pPr>
              <w:pStyle w:val="Normal"/>
              <w:rPr>
                <w:b/>
                <w:color w:val="000000"/>
                <w:sz w:val="30"/>
              </w:rPr>
            </w:pPr>
            <w:r>
              <w:rPr>
                <w:b/>
                <w:color w:val="000000"/>
                <w:sz w:val="30"/>
              </w:rPr>
              <w:t>PROJECT PRISCILLA</w:t>
            </w:r>
          </w:p>
          <w:p>
            <w:pPr>
              <w:pStyle w:val="Normal"/>
              <w:rPr>
                <w:b/>
                <w:color w:val="000000"/>
              </w:rPr>
            </w:pPr>
            <w:r>
              <w:rPr>
                <w:b/>
                <w:color w:val="000000"/>
              </w:rPr>
              <w:t>April 2000</w:t>
            </w:r>
          </w:p>
          <w:p>
            <w:pPr>
              <w:pStyle w:val="Normal"/>
              <w:rPr>
                <w:b/>
                <w:color w:val="000000"/>
              </w:rPr>
            </w:pPr>
            <w:r>
              <w:rPr>
                <w:b/>
                <w:color w:val="000000"/>
              </w:rPr>
            </w:r>
          </w:p>
          <w:p>
            <w:pPr>
              <w:pStyle w:val="Normal"/>
              <w:rPr>
                <w:color w:val="000000"/>
              </w:rPr>
            </w:pPr>
            <w:r>
              <w:rPr>
                <w:color w:val="000000"/>
              </w:rPr>
              <w:t>TABLE 1 - PERFORMANCE SUMMARY</w:t>
            </w:r>
          </w:p>
          <w:p>
            <w:pPr>
              <w:pStyle w:val="Normal"/>
              <w:rPr>
                <w:color w:val="000000"/>
              </w:rPr>
            </w:pPr>
            <w:r>
              <w:rPr>
                <w:color w:val="000000"/>
              </w:rPr>
              <w:t>Section IX</w:t>
            </w:r>
          </w:p>
        </w:tc>
        <w:tc>
          <w:tcPr>
            <w:tcW w:w="0" w:type="dxa"/>
            <w:vMerge w:val="continue"/>
            <w:tcBorders>
              <w:top w:val="single" w:sz="2" w:space="0" w:color="000000"/>
              <w:bottom w:val="single" w:sz="2" w:space="0" w:color="000000"/>
              <w:end w:val="single" w:sz="2" w:space="0" w:color="000000"/>
            </w:tcBorders>
          </w:tcPr>
          <w:p>
            <w:pPr>
              <w:pStyle w:val="Normal"/>
              <w:snapToGrid w:val="false"/>
              <w:rPr>
                <w:b/>
                <w:color w:val="000000"/>
                <w:sz w:val="30"/>
              </w:rPr>
            </w:pPr>
            <w:r>
              <w:rPr>
                <w:b/>
                <w:color w:val="000000"/>
                <w:sz w:val="30"/>
              </w:rPr>
            </w:r>
          </w:p>
        </w:tc>
      </w:tr>
      <w:tr>
        <w:trPr>
          <w:trHeight w:val="391" w:hRule="atLeast"/>
        </w:trPr>
        <w:tc>
          <w:tcPr>
            <w:tcW w:w="5803" w:type="dxa"/>
            <w:tcBorders>
              <w:top w:val="single" w:sz="2" w:space="0" w:color="000000"/>
              <w:start w:val="single" w:sz="2" w:space="0" w:color="000000"/>
              <w:bottom w:val="single" w:sz="12" w:space="0" w:color="000000"/>
              <w:end w:val="single" w:sz="2" w:space="0" w:color="000000"/>
            </w:tcBorders>
          </w:tcPr>
          <w:p>
            <w:pPr>
              <w:pStyle w:val="Normal"/>
              <w:snapToGrid w:val="false"/>
              <w:rPr>
                <w:b/>
                <w:color w:val="000000"/>
                <w:sz w:val="30"/>
              </w:rPr>
            </w:pPr>
            <w:r>
              <w:rPr>
                <w:b/>
                <w:color w:val="000000"/>
                <w:sz w:val="30"/>
              </w:rPr>
            </w:r>
          </w:p>
        </w:tc>
        <w:tc>
          <w:tcPr>
            <w:tcW w:w="2319" w:type="dxa"/>
            <w:tcBorders>
              <w:top w:val="single" w:sz="2" w:space="0" w:color="000000"/>
              <w:start w:val="single" w:sz="2" w:space="0" w:color="000000"/>
              <w:bottom w:val="single" w:sz="12" w:space="0" w:color="000000"/>
              <w:end w:val="single" w:sz="2" w:space="0" w:color="000000"/>
            </w:tcBorders>
          </w:tcPr>
          <w:p>
            <w:pPr>
              <w:pStyle w:val="Normal"/>
              <w:snapToGrid w:val="false"/>
              <w:rPr>
                <w:b/>
                <w:color w:val="000000"/>
                <w:sz w:val="30"/>
              </w:rPr>
            </w:pPr>
            <w:r>
              <w:rPr>
                <w:b/>
                <w:color w:val="000000"/>
                <w:sz w:val="30"/>
              </w:rPr>
            </w:r>
          </w:p>
        </w:tc>
      </w:tr>
      <w:tr>
        <w:trPr>
          <w:trHeight w:val="1003" w:hRule="atLeast"/>
        </w:trPr>
        <w:tc>
          <w:tcPr>
            <w:tcW w:w="5803" w:type="dxa"/>
            <w:tcBorders>
              <w:top w:val="single" w:sz="12" w:space="0" w:color="000000"/>
              <w:start w:val="single" w:sz="12" w:space="0" w:color="000000"/>
              <w:bottom w:val="single" w:sz="12" w:space="0" w:color="000000"/>
              <w:end w:val="single" w:sz="12" w:space="0" w:color="000000"/>
            </w:tcBorders>
          </w:tcPr>
          <w:p>
            <w:pPr>
              <w:pStyle w:val="Normal"/>
              <w:rPr>
                <w:b/>
                <w:color w:val="000000"/>
              </w:rPr>
            </w:pPr>
            <w:r>
              <w:rPr>
                <w:b/>
                <w:color w:val="000000"/>
              </w:rPr>
              <w:t>Item</w:t>
            </w:r>
          </w:p>
        </w:tc>
        <w:tc>
          <w:tcPr>
            <w:tcW w:w="2319" w:type="dxa"/>
            <w:tcBorders>
              <w:top w:val="single" w:sz="12" w:space="0" w:color="000000"/>
              <w:start w:val="single" w:sz="12" w:space="0" w:color="000000"/>
              <w:bottom w:val="single" w:sz="12" w:space="0" w:color="000000"/>
              <w:end w:val="single" w:sz="12" w:space="0" w:color="000000"/>
            </w:tcBorders>
          </w:tcPr>
          <w:p>
            <w:pPr>
              <w:pStyle w:val="Normal"/>
              <w:rPr>
                <w:b/>
                <w:color w:val="000000"/>
              </w:rPr>
            </w:pPr>
            <w:r>
              <w:rPr>
                <w:b/>
                <w:color w:val="000000"/>
              </w:rPr>
              <w:t>Las Vegas Cogeneration II @ 60% Annual Capacity Factor</w:t>
            </w:r>
          </w:p>
        </w:tc>
      </w:tr>
      <w:tr>
        <w:trPr>
          <w:trHeight w:val="276" w:hRule="atLeast"/>
        </w:trPr>
        <w:tc>
          <w:tcPr>
            <w:tcW w:w="5803" w:type="dxa"/>
            <w:tcBorders>
              <w:top w:val="single" w:sz="12" w:space="0" w:color="000000"/>
              <w:start w:val="single" w:sz="12" w:space="0" w:color="000000"/>
              <w:bottom w:val="single" w:sz="6" w:space="0" w:color="000000"/>
              <w:end w:val="single" w:sz="12" w:space="0" w:color="000000"/>
            </w:tcBorders>
          </w:tcPr>
          <w:p>
            <w:pPr>
              <w:pStyle w:val="Normal"/>
              <w:rPr/>
            </w:pPr>
            <w:r>
              <w:rPr>
                <w:b/>
                <w:color w:val="000000"/>
              </w:rPr>
              <w:t>Net Power Out (kW) @ 70</w:t>
            </w:r>
            <w:r>
              <w:rPr>
                <w:b/>
                <w:color w:val="000000"/>
                <w:vertAlign w:val="superscript"/>
              </w:rPr>
              <w:t>o</w:t>
            </w:r>
            <w:r>
              <w:rPr>
                <w:b/>
                <w:color w:val="000000"/>
              </w:rPr>
              <w:t xml:space="preserve"> F</w:t>
            </w:r>
          </w:p>
        </w:tc>
        <w:tc>
          <w:tcPr>
            <w:tcW w:w="2319" w:type="dxa"/>
            <w:tcBorders>
              <w:top w:val="single" w:sz="12" w:space="0" w:color="000000"/>
              <w:start w:val="single" w:sz="12" w:space="0" w:color="000000"/>
              <w:bottom w:val="single" w:sz="6" w:space="0" w:color="000000"/>
              <w:end w:val="single" w:sz="12" w:space="0" w:color="000000"/>
            </w:tcBorders>
          </w:tcPr>
          <w:p>
            <w:pPr>
              <w:pStyle w:val="Normal"/>
              <w:rPr>
                <w:color w:val="000000"/>
              </w:rPr>
            </w:pPr>
            <w:r>
              <w:rPr>
                <w:color w:val="000000"/>
              </w:rPr>
              <w:t>216,900</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Annual Power Generated (MWH/Yr)</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1,140,026</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napToGrid w:val="false"/>
              <w:rPr>
                <w:b/>
                <w:color w:val="000000"/>
              </w:rPr>
            </w:pPr>
            <w:r>
              <w:rPr>
                <w:b/>
                <w:color w:val="000000"/>
              </w:rPr>
            </w:r>
          </w:p>
        </w:tc>
        <w:tc>
          <w:tcPr>
            <w:tcW w:w="2319" w:type="dxa"/>
            <w:tcBorders>
              <w:top w:val="single" w:sz="6" w:space="0" w:color="000000"/>
              <w:start w:val="single" w:sz="12" w:space="0" w:color="000000"/>
              <w:bottom w:val="single" w:sz="6" w:space="0" w:color="000000"/>
              <w:end w:val="single" w:sz="12" w:space="0" w:color="000000"/>
            </w:tcBorders>
          </w:tcPr>
          <w:p>
            <w:pPr>
              <w:pStyle w:val="Normal"/>
              <w:snapToGrid w:val="false"/>
              <w:rPr>
                <w:b/>
                <w:color w:val="000000"/>
              </w:rPr>
            </w:pPr>
            <w:r>
              <w:rPr>
                <w:b/>
                <w:color w:val="000000"/>
              </w:rPr>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Annual Avg. Net Station Heat Rate (Btu/kWH), HHV</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7,736</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Annual Fuel Consump. (10^6 Btu/Yr), HHV</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8,819,644</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Annual Average Fuel Delivery (MCF/Day)</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40,272</w:t>
            </w:r>
          </w:p>
        </w:tc>
      </w:tr>
      <w:tr>
        <w:trPr>
          <w:trHeight w:val="276"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pPr>
            <w:r>
              <w:rPr>
                <w:b/>
                <w:color w:val="000000"/>
              </w:rPr>
              <w:t>Peak Fuel Delivery (MCF/Day) @ 20</w:t>
            </w:r>
            <w:r>
              <w:rPr>
                <w:b/>
                <w:color w:val="000000"/>
                <w:vertAlign w:val="superscript"/>
              </w:rPr>
              <w:t>o</w:t>
            </w:r>
            <w:r>
              <w:rPr>
                <w:b/>
                <w:color w:val="000000"/>
              </w:rPr>
              <w:t xml:space="preserve"> F</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41,862</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Fuel Supply Pressure Required at CT Skid (psig)</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630</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napToGrid w:val="false"/>
              <w:rPr>
                <w:b/>
                <w:color w:val="000000"/>
              </w:rPr>
            </w:pPr>
            <w:r>
              <w:rPr>
                <w:b/>
                <w:color w:val="000000"/>
              </w:rPr>
            </w:r>
          </w:p>
        </w:tc>
        <w:tc>
          <w:tcPr>
            <w:tcW w:w="2319" w:type="dxa"/>
            <w:tcBorders>
              <w:top w:val="single" w:sz="6" w:space="0" w:color="000000"/>
              <w:start w:val="single" w:sz="12" w:space="0" w:color="000000"/>
              <w:bottom w:val="single" w:sz="6" w:space="0" w:color="000000"/>
              <w:end w:val="single" w:sz="12" w:space="0" w:color="000000"/>
            </w:tcBorders>
          </w:tcPr>
          <w:p>
            <w:pPr>
              <w:pStyle w:val="Normal"/>
              <w:snapToGrid w:val="false"/>
              <w:rPr>
                <w:b/>
                <w:color w:val="000000"/>
              </w:rPr>
            </w:pPr>
            <w:r>
              <w:rPr>
                <w:b/>
                <w:color w:val="000000"/>
              </w:rPr>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Water Supply</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rFonts w:eastAsia="TimesNewRoman"/>
                <w:color w:val="000000"/>
              </w:rPr>
              <w:t xml:space="preserve">   </w:t>
            </w:r>
            <w:r>
              <w:rPr>
                <w:color w:val="000000"/>
              </w:rPr>
              <w:t>City of Las Vegas</w:t>
            </w:r>
          </w:p>
        </w:tc>
      </w:tr>
      <w:tr>
        <w:trPr>
          <w:trHeight w:val="276"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pPr>
            <w:r>
              <w:rPr>
                <w:b/>
                <w:color w:val="000000"/>
              </w:rPr>
              <w:t>Power Plant Peak Water Consumption (GPM) @ 115</w:t>
            </w:r>
            <w:r>
              <w:rPr>
                <w:b/>
                <w:color w:val="000000"/>
                <w:vertAlign w:val="superscript"/>
              </w:rPr>
              <w:t>o</w:t>
            </w:r>
            <w:r>
              <w:rPr>
                <w:b/>
                <w:color w:val="000000"/>
              </w:rPr>
              <w:t xml:space="preserve"> F</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 xml:space="preserve">1,812 </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Power Plant Annual Water Consumption (million gallons)</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393</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napToGrid w:val="false"/>
              <w:rPr>
                <w:b/>
                <w:color w:val="000000"/>
              </w:rPr>
            </w:pPr>
            <w:r>
              <w:rPr>
                <w:b/>
                <w:color w:val="000000"/>
              </w:rPr>
            </w:r>
          </w:p>
        </w:tc>
        <w:tc>
          <w:tcPr>
            <w:tcW w:w="2319" w:type="dxa"/>
            <w:tcBorders>
              <w:top w:val="single" w:sz="6" w:space="0" w:color="000000"/>
              <w:start w:val="single" w:sz="12" w:space="0" w:color="000000"/>
              <w:bottom w:val="single" w:sz="6" w:space="0" w:color="000000"/>
              <w:end w:val="single" w:sz="12" w:space="0" w:color="000000"/>
            </w:tcBorders>
          </w:tcPr>
          <w:p>
            <w:pPr>
              <w:pStyle w:val="Normal"/>
              <w:snapToGrid w:val="false"/>
              <w:rPr>
                <w:b/>
                <w:color w:val="000000"/>
              </w:rPr>
            </w:pPr>
            <w:r>
              <w:rPr>
                <w:b/>
                <w:color w:val="000000"/>
              </w:rPr>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Air Emissions:  NOx (ppm)</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2</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Air Emissions:  CO (ppm)</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2</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Air Emissions:  Ammonia Slip (ppm)</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10.00</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napToGrid w:val="false"/>
              <w:rPr>
                <w:b/>
                <w:color w:val="000000"/>
              </w:rPr>
            </w:pPr>
            <w:r>
              <w:rPr>
                <w:b/>
                <w:color w:val="000000"/>
              </w:rPr>
            </w:r>
          </w:p>
        </w:tc>
        <w:tc>
          <w:tcPr>
            <w:tcW w:w="2319" w:type="dxa"/>
            <w:tcBorders>
              <w:top w:val="single" w:sz="6" w:space="0" w:color="000000"/>
              <w:start w:val="single" w:sz="12" w:space="0" w:color="000000"/>
              <w:bottom w:val="single" w:sz="6" w:space="0" w:color="000000"/>
              <w:end w:val="single" w:sz="12" w:space="0" w:color="000000"/>
            </w:tcBorders>
          </w:tcPr>
          <w:p>
            <w:pPr>
              <w:pStyle w:val="Normal"/>
              <w:snapToGrid w:val="false"/>
              <w:rPr>
                <w:b/>
                <w:color w:val="000000"/>
              </w:rPr>
            </w:pPr>
            <w:r>
              <w:rPr>
                <w:b/>
                <w:color w:val="000000"/>
              </w:rPr>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Waste Water Disposal</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rFonts w:eastAsia="TimesNewRoman"/>
                <w:color w:val="000000"/>
              </w:rPr>
              <w:t xml:space="preserve">     </w:t>
            </w:r>
            <w:r>
              <w:rPr>
                <w:color w:val="000000"/>
              </w:rPr>
              <w:t>City of Las Vegas</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Waste Water Flow (GPD)</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474,121</w:t>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snapToGrid w:val="false"/>
              <w:rPr>
                <w:b/>
                <w:color w:val="000000"/>
              </w:rPr>
            </w:pPr>
            <w:r>
              <w:rPr>
                <w:b/>
                <w:color w:val="000000"/>
              </w:rPr>
            </w:r>
          </w:p>
        </w:tc>
        <w:tc>
          <w:tcPr>
            <w:tcW w:w="2319" w:type="dxa"/>
            <w:tcBorders>
              <w:top w:val="single" w:sz="6" w:space="0" w:color="000000"/>
              <w:start w:val="single" w:sz="12" w:space="0" w:color="000000"/>
              <w:bottom w:val="single" w:sz="6" w:space="0" w:color="000000"/>
              <w:end w:val="single" w:sz="12" w:space="0" w:color="000000"/>
            </w:tcBorders>
          </w:tcPr>
          <w:p>
            <w:pPr>
              <w:pStyle w:val="Normal"/>
              <w:snapToGrid w:val="false"/>
              <w:rPr>
                <w:b/>
                <w:color w:val="000000"/>
              </w:rPr>
            </w:pPr>
            <w:r>
              <w:rPr>
                <w:b/>
                <w:color w:val="000000"/>
              </w:rPr>
            </w:r>
          </w:p>
        </w:tc>
      </w:tr>
      <w:tr>
        <w:trPr>
          <w:trHeight w:val="247" w:hRule="atLeast"/>
        </w:trPr>
        <w:tc>
          <w:tcPr>
            <w:tcW w:w="5803" w:type="dxa"/>
            <w:tcBorders>
              <w:top w:val="single" w:sz="6" w:space="0" w:color="000000"/>
              <w:start w:val="single" w:sz="12" w:space="0" w:color="000000"/>
              <w:bottom w:val="single" w:sz="6" w:space="0" w:color="000000"/>
              <w:end w:val="single" w:sz="12" w:space="0" w:color="000000"/>
            </w:tcBorders>
          </w:tcPr>
          <w:p>
            <w:pPr>
              <w:pStyle w:val="Normal"/>
              <w:rPr>
                <w:b/>
                <w:color w:val="000000"/>
              </w:rPr>
            </w:pPr>
            <w:r>
              <w:rPr>
                <w:b/>
                <w:color w:val="000000"/>
              </w:rPr>
              <w:t>Interconnection</w:t>
            </w:r>
          </w:p>
        </w:tc>
        <w:tc>
          <w:tcPr>
            <w:tcW w:w="2319" w:type="dxa"/>
            <w:tcBorders>
              <w:top w:val="single" w:sz="6" w:space="0" w:color="000000"/>
              <w:start w:val="single" w:sz="12" w:space="0" w:color="000000"/>
              <w:bottom w:val="single" w:sz="6" w:space="0" w:color="000000"/>
              <w:end w:val="single" w:sz="12" w:space="0" w:color="000000"/>
            </w:tcBorders>
          </w:tcPr>
          <w:p>
            <w:pPr>
              <w:pStyle w:val="Normal"/>
              <w:rPr>
                <w:color w:val="000000"/>
              </w:rPr>
            </w:pPr>
            <w:r>
              <w:rPr>
                <w:color w:val="000000"/>
              </w:rPr>
              <w:t>Nevada Power</w:t>
            </w:r>
          </w:p>
        </w:tc>
      </w:tr>
      <w:tr>
        <w:trPr>
          <w:trHeight w:val="262" w:hRule="atLeast"/>
        </w:trPr>
        <w:tc>
          <w:tcPr>
            <w:tcW w:w="5803" w:type="dxa"/>
            <w:tcBorders>
              <w:top w:val="single" w:sz="6" w:space="0" w:color="000000"/>
              <w:start w:val="single" w:sz="12" w:space="0" w:color="000000"/>
              <w:bottom w:val="single" w:sz="12" w:space="0" w:color="000000"/>
              <w:end w:val="single" w:sz="12" w:space="0" w:color="000000"/>
            </w:tcBorders>
          </w:tcPr>
          <w:p>
            <w:pPr>
              <w:pStyle w:val="Normal"/>
              <w:rPr>
                <w:b/>
                <w:color w:val="000000"/>
              </w:rPr>
            </w:pPr>
            <w:r>
              <w:rPr>
                <w:b/>
                <w:color w:val="000000"/>
              </w:rPr>
              <w:t>Interconnection voltage (kV)</w:t>
            </w:r>
          </w:p>
        </w:tc>
        <w:tc>
          <w:tcPr>
            <w:tcW w:w="2319" w:type="dxa"/>
            <w:tcBorders>
              <w:top w:val="single" w:sz="6" w:space="0" w:color="000000"/>
              <w:start w:val="single" w:sz="12" w:space="0" w:color="000000"/>
              <w:bottom w:val="single" w:sz="12" w:space="0" w:color="000000"/>
              <w:end w:val="single" w:sz="12" w:space="0" w:color="000000"/>
            </w:tcBorders>
          </w:tcPr>
          <w:p>
            <w:pPr>
              <w:pStyle w:val="Normal"/>
              <w:rPr>
                <w:color w:val="000000"/>
              </w:rPr>
            </w:pPr>
            <w:r>
              <w:rPr>
                <w:color w:val="000000"/>
              </w:rPr>
              <w:t>138</w:t>
            </w:r>
          </w:p>
        </w:tc>
      </w:tr>
    </w:tbl>
    <w:p>
      <w:pPr>
        <w:pStyle w:val="Normal"/>
        <w:rPr/>
      </w:pPr>
      <w:r>
        <w:rPr/>
      </w:r>
      <w:r>
        <w:br w:type="page"/>
      </w:r>
    </w:p>
    <w:p>
      <w:pPr>
        <w:pStyle w:val="Heading2"/>
        <w:ind w:hanging="0" w:start="0"/>
        <w:rPr>
          <w:rFonts w:ascii="Times New Roman" w:hAnsi="Times New Roman" w:cs="Times New Roman"/>
        </w:rPr>
      </w:pPr>
      <w:bookmarkStart w:id="64" w:name="__RefHeading___Toc482880157"/>
      <w:bookmarkEnd w:id="64"/>
      <w:r>
        <w:rPr>
          <w:rFonts w:cs="Times New Roman" w:ascii="Times New Roman" w:hAnsi="Times New Roman"/>
        </w:rPr>
        <w:t>Project Priscilla Milestones</w:t>
      </w:r>
      <w:r>
        <w:br w:type="page"/>
      </w:r>
    </w:p>
    <w:p>
      <w:pPr>
        <w:pStyle w:val="Heading2"/>
        <w:ind w:hanging="0" w:start="0"/>
        <w:rPr>
          <w:rFonts w:ascii="Times New Roman" w:hAnsi="Times New Roman" w:cs="Times New Roman"/>
        </w:rPr>
      </w:pPr>
      <w:bookmarkStart w:id="65" w:name="__RefHeading___Toc482880158"/>
      <w:bookmarkEnd w:id="65"/>
      <w:r>
        <w:rPr>
          <w:rFonts w:cs="Times New Roman" w:ascii="Times New Roman" w:hAnsi="Times New Roman"/>
        </w:rPr>
        <w:t>Project Priscilla Control Matrix</w:t>
      </w:r>
    </w:p>
    <w:p>
      <w:pPr>
        <w:pStyle w:val="Normal"/>
        <w:rPr>
          <w:rFonts w:ascii="Times New Roman" w:hAnsi="Times New Roman" w:cs="Times New Roman"/>
        </w:rPr>
      </w:pPr>
      <w:r>
        <w:rPr>
          <w:rFonts w:cs="Times New Roman" w:ascii="Times New Roman" w:hAnsi="Times New Roman"/>
        </w:rPr>
      </w:r>
    </w:p>
    <w:sectPr>
      <w:footerReference w:type="default" r:id="rId17"/>
      <w:footerReference w:type="first" r:id="rId18"/>
      <w:footnotePr>
        <w:numFmt w:val="decimal"/>
      </w:footnotePr>
      <w:type w:val="nextPage"/>
      <w:pgSz w:w="12240" w:h="15840"/>
      <w:pgMar w:left="1656"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NewRoman">
    <w:charset w:val="00" w:characterSet="windows-1252"/>
    <w:family w:val="roman"/>
    <w:pitch w:val="default"/>
  </w:font>
  <w:font w:name="New Baskerville">
    <w:altName w:val="Times New Roman"/>
    <w:charset w:val="00" w:characterSet="windows-1252"/>
    <w:family w:val="roman"/>
    <w:pitch w:val="variable"/>
  </w:font>
  <w:font w:name="Wingdings">
    <w:charset w:val="02"/>
    <w:family w:val="auto"/>
    <w:pitch w:val="variable"/>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w:rPr>
        <w:i/>
        <w:sz w:val="16"/>
      </w:rPr>
      <w:tab/>
      <w:t>Table of Contents</w:t>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5651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6515" cy="11684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ii</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45pt;height:9.2pt;mso-wrap-distance-left:0pt;mso-wrap-distance-right:0pt;mso-wrap-distance-top:0pt;mso-wrap-distance-bottom:0pt;margin-top:0.05pt;mso-position-vertical-relative:text;margin-left:452.75pt;mso-position-horizontal:right;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ii</w:t>
                    </w:r>
                    <w:r>
                      <w:rPr>
                        <w:rStyle w:val="PageNumber"/>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7">
              <wp:simplePos x="0" y="0"/>
              <wp:positionH relativeFrom="margin">
                <wp:align>right</wp:align>
              </wp:positionH>
              <wp:positionV relativeFrom="paragraph">
                <wp:posOffset>635</wp:posOffset>
              </wp:positionV>
              <wp:extent cx="153035" cy="175260"/>
              <wp:effectExtent l="0" t="0" r="0" b="0"/>
              <wp:wrapSquare wrapText="bothSides"/>
              <wp:docPr id="9"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45.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1"/>
        <w:rPr/>
      </w:pPr>
      <w:r>
        <w:rPr>
          <w:rStyle w:val="FootnoteCharacters"/>
        </w:rPr>
        <w:footnoteRef/>
      </w:r>
      <w:r>
        <w:rPr/>
        <w:t xml:space="preserve"> </w:t>
      </w:r>
      <w:r>
        <w:rPr/>
        <w:t>NPV based on SP-15 MID Curve plus $3.00.</w:t>
      </w:r>
    </w:p>
  </w:footnote>
  <w:footnote w:id="3">
    <w:p>
      <w:pPr>
        <w:pStyle w:val="FootnoteText1"/>
        <w:rPr/>
      </w:pPr>
      <w:r>
        <w:rPr>
          <w:rStyle w:val="FootnoteCharacters"/>
        </w:rPr>
        <w:t>1</w:t>
      </w:r>
      <w:r>
        <w:rPr/>
        <w:t xml:space="preserve"> </w:t>
      </w:r>
      <w:r>
        <w:rPr/>
        <w:t>Priscilla asset valuations based on operating cash flows.</w:t>
      </w:r>
    </w:p>
  </w:footnote>
  <w:footnote w:id="4">
    <w:p>
      <w:pPr>
        <w:pStyle w:val="FootnoteText1"/>
        <w:rPr/>
      </w:pPr>
      <w:r>
        <w:rPr>
          <w:rStyle w:val="FootnoteCharacters"/>
        </w:rPr>
        <w:t>2</w:t>
      </w:r>
      <w:r>
        <w:rPr/>
        <w:t xml:space="preserve"> </w:t>
      </w:r>
      <w:r>
        <w:rPr/>
        <w:t>NPV based on Mid Curve plus $3.00.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360"/>
        </w:tabs>
        <w:ind w:start="0" w:hanging="0"/>
      </w:pPr>
    </w:lvl>
    <w:lvl w:ilvl="3">
      <w:start w:val="1"/>
      <w:pStyle w:val="Heading4"/>
      <w:numFmt w:val="decimal"/>
      <w:lvlText w:val="%3.%4"/>
      <w:lvlJc w:val="start"/>
      <w:pPr>
        <w:tabs>
          <w:tab w:val="num" w:pos="720"/>
        </w:tabs>
        <w:ind w:start="720" w:hanging="72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080"/>
        </w:tabs>
        <w:ind w:start="360" w:firstLine="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405"/>
        </w:tabs>
        <w:ind w:start="405" w:hanging="405"/>
      </w:pPr>
      <w:rPr/>
    </w:lvl>
  </w:abstractNum>
  <w:abstractNum w:abstractNumId="8">
    <w:lvl w:ilvl="0">
      <w:start w:val="1"/>
      <w:numFmt w:val="bullet"/>
      <w:lvlText w:val=""/>
      <w:lvlJc w:val="start"/>
      <w:pPr>
        <w:tabs>
          <w:tab w:val="num" w:pos="360"/>
        </w:tabs>
        <w:ind w:start="360" w:hanging="360"/>
      </w:pPr>
      <w:rPr>
        <w:rFonts w:ascii="Wingdings" w:hAnsi="Wingdings" w:cs="Wingdings" w:hint="default"/>
        <w:sz w:val="20"/>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NewRoman" w:hAnsi="TimesNewRoman" w:eastAsia="Times New Roman" w:cs="TimesNewRoman"/>
      <w:color w:val="auto"/>
      <w:sz w:val="24"/>
      <w:szCs w:val="20"/>
      <w:lang w:val="en-US" w:eastAsia="en-US" w:bidi="hi-IN"/>
    </w:rPr>
  </w:style>
  <w:style w:type="paragraph" w:styleId="Heading1">
    <w:name w:val="heading 1"/>
    <w:basedOn w:val="Normal"/>
    <w:next w:val="Normal"/>
    <w:qFormat/>
    <w:pPr>
      <w:keepNext w:val="true"/>
      <w:pageBreakBefore/>
      <w:numPr>
        <w:ilvl w:val="0"/>
        <w:numId w:val="1"/>
      </w:numPr>
      <w:spacing w:before="240" w:after="360"/>
      <w:jc w:val="both"/>
      <w:outlineLvl w:val="0"/>
    </w:pPr>
    <w:rPr>
      <w:rFonts w:ascii="New Baskerville;Times New Roman" w:hAnsi="New Baskerville;Times New Roman" w:cs="New Baskerville;Times New Roman"/>
      <w:b/>
      <w:smallCaps/>
      <w:color w:val="000000"/>
      <w:kern w:val="2"/>
      <w:sz w:val="36"/>
      <w:lang w:val="en-GB"/>
    </w:rPr>
  </w:style>
  <w:style w:type="paragraph" w:styleId="Heading2">
    <w:name w:val="heading 2"/>
    <w:basedOn w:val="Normal"/>
    <w:next w:val="Normal"/>
    <w:qFormat/>
    <w:pPr>
      <w:keepNext w:val="true"/>
      <w:numPr>
        <w:ilvl w:val="1"/>
        <w:numId w:val="1"/>
      </w:numPr>
      <w:spacing w:before="240" w:after="240"/>
      <w:jc w:val="both"/>
      <w:outlineLvl w:val="1"/>
    </w:pPr>
    <w:rPr>
      <w:rFonts w:ascii="New Baskerville;Times New Roman" w:hAnsi="New Baskerville;Times New Roman" w:cs="New Baskerville;Times New Roman"/>
      <w:b/>
      <w:smallCaps/>
      <w:color w:val="800000"/>
      <w:kern w:val="2"/>
      <w:sz w:val="32"/>
      <w:lang w:val="en-GB"/>
    </w:rPr>
  </w:style>
  <w:style w:type="paragraph" w:styleId="Heading3">
    <w:name w:val="heading 3"/>
    <w:basedOn w:val="Normal"/>
    <w:next w:val="Normal"/>
    <w:qFormat/>
    <w:pPr>
      <w:keepNext w:val="true"/>
      <w:numPr>
        <w:ilvl w:val="2"/>
        <w:numId w:val="1"/>
      </w:numPr>
      <w:spacing w:before="240" w:after="0"/>
      <w:jc w:val="both"/>
      <w:outlineLvl w:val="2"/>
    </w:pPr>
    <w:rPr>
      <w:rFonts w:ascii="New Baskerville;Times New Roman" w:hAnsi="New Baskerville;Times New Roman" w:cs="New Baskerville;Times New Roman"/>
      <w:b/>
      <w:smallCaps/>
      <w:color w:val="008000"/>
      <w:sz w:val="28"/>
      <w:lang w:val="en-GB"/>
    </w:rPr>
  </w:style>
  <w:style w:type="paragraph" w:styleId="Heading4">
    <w:name w:val="heading 4"/>
    <w:basedOn w:val="Normal"/>
    <w:next w:val="Normal"/>
    <w:qFormat/>
    <w:pPr>
      <w:keepNext w:val="true"/>
      <w:numPr>
        <w:ilvl w:val="3"/>
        <w:numId w:val="1"/>
      </w:numPr>
      <w:spacing w:before="240" w:after="60"/>
      <w:jc w:val="both"/>
      <w:outlineLvl w:val="3"/>
    </w:pPr>
    <w:rPr>
      <w:rFonts w:ascii="New Baskerville;Times New Roman" w:hAnsi="New Baskerville;Times New Roman" w:cs="New Baskerville;Times New Roman"/>
      <w:b/>
      <w:smallCaps/>
      <w:color w:val="000080"/>
      <w:sz w:val="24"/>
      <w:lang w:val="en-GB"/>
    </w:rPr>
  </w:style>
  <w:style w:type="paragraph" w:styleId="Heading5">
    <w:name w:val="heading 5"/>
    <w:basedOn w:val="Normal"/>
    <w:next w:val="Normal"/>
    <w:qFormat/>
    <w:pPr>
      <w:numPr>
        <w:ilvl w:val="4"/>
        <w:numId w:val="1"/>
      </w:numPr>
      <w:spacing w:before="240" w:after="60"/>
      <w:jc w:val="both"/>
      <w:outlineLvl w:val="4"/>
    </w:pPr>
    <w:rPr>
      <w:rFonts w:ascii="New Baskerville;Times New Roman" w:hAnsi="New Baskerville;Times New Roman" w:cs="New Baskerville;Times New Roman"/>
      <w:b/>
      <w:smallCaps/>
      <w:sz w:val="24"/>
      <w:lang w:val="en-GB"/>
    </w:rPr>
  </w:style>
  <w:style w:type="paragraph" w:styleId="Heading6">
    <w:name w:val="heading 6"/>
    <w:basedOn w:val="Normal"/>
    <w:next w:val="Normal"/>
    <w:qFormat/>
    <w:pPr>
      <w:numPr>
        <w:ilvl w:val="5"/>
        <w:numId w:val="1"/>
      </w:numPr>
      <w:spacing w:before="240" w:after="60"/>
      <w:jc w:val="both"/>
      <w:outlineLvl w:val="5"/>
    </w:pPr>
    <w:rPr>
      <w:rFonts w:ascii="New Baskerville;Times New Roman" w:hAnsi="New Baskerville;Times New Roman" w:cs="New Baskerville;Times New Roman"/>
      <w:b/>
      <w:i/>
      <w:smallCaps/>
      <w:sz w:val="24"/>
      <w:lang w:val="en-GB"/>
    </w:rPr>
  </w:style>
  <w:style w:type="paragraph" w:styleId="Heading7">
    <w:name w:val="heading 7"/>
    <w:basedOn w:val="Normal"/>
    <w:next w:val="Normal"/>
    <w:qFormat/>
    <w:pPr>
      <w:keepNext w:val="true"/>
      <w:numPr>
        <w:ilvl w:val="6"/>
        <w:numId w:val="1"/>
      </w:numPr>
      <w:outlineLvl w:val="6"/>
    </w:pPr>
    <w:rPr>
      <w:rFonts w:ascii="New Baskerville;Times New Roman" w:hAnsi="New Baskerville;Times New Roman" w:cs="New Baskerville;Times New Roman"/>
      <w:b/>
      <w:sz w:val="24"/>
      <w:u w:val="single"/>
      <w:lang w:val="en-GB"/>
    </w:rPr>
  </w:style>
  <w:style w:type="paragraph" w:styleId="Heading8">
    <w:name w:val="heading 8"/>
    <w:basedOn w:val="Normal"/>
    <w:next w:val="Normal"/>
    <w:qFormat/>
    <w:pPr>
      <w:keepNext w:val="true"/>
      <w:numPr>
        <w:ilvl w:val="7"/>
        <w:numId w:val="1"/>
      </w:numPr>
      <w:outlineLvl w:val="7"/>
    </w:pPr>
    <w:rPr>
      <w:rFonts w:ascii="New Baskerville;Times New Roman" w:hAnsi="New Baskerville;Times New Roman" w:cs="New Baskerville;Times New Roman"/>
      <w:b/>
      <w:i/>
      <w:sz w:val="24"/>
      <w:lang w:val="en-GB"/>
    </w:rPr>
  </w:style>
  <w:style w:type="paragraph" w:styleId="Heading9">
    <w:name w:val="heading 9"/>
    <w:basedOn w:val="Normal"/>
    <w:next w:val="Normal"/>
    <w:qFormat/>
    <w:pPr>
      <w:keepNext w:val="true"/>
      <w:numPr>
        <w:ilvl w:val="8"/>
        <w:numId w:val="1"/>
      </w:numPr>
      <w:jc w:val="center"/>
      <w:outlineLvl w:val="8"/>
    </w:pPr>
    <w:rPr>
      <w:rFonts w:ascii="New Baskerville;Times New Roman" w:hAnsi="New Baskerville;Times New Roman" w:cs="New Baskerville;Times New Roman"/>
      <w:sz w:val="24"/>
      <w:lang w:val="en-GB"/>
    </w:rPr>
  </w:style>
  <w:style w:type="character" w:styleId="WW8Num1z0">
    <w:name w:val="WW8Num1z0"/>
    <w:qFormat/>
    <w:rPr>
      <w:rFonts w:ascii="Symbol" w:hAnsi="Symbol" w:cs="Symbol"/>
    </w:rPr>
  </w:style>
  <w:style w:type="character" w:styleId="WW8Num4z0">
    <w:name w:val="WW8Num4z0"/>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2z0">
    <w:name w:val="WW8Num32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b/>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2z0">
    <w:name w:val="WW8Num62z0"/>
    <w:qFormat/>
    <w:rPr>
      <w:rFonts w:ascii="Symbol" w:hAnsi="Symbol" w:cs="Symbol"/>
      <w:color w:val="auto"/>
      <w:sz w:val="28"/>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style>
  <w:style w:type="character" w:styleId="WW8Num83z0">
    <w:name w:val="WW8Num83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Wingdings" w:hAnsi="Wingdings" w:cs="Wingdings"/>
      <w:sz w:val="20"/>
    </w:rPr>
  </w:style>
  <w:style w:type="character" w:styleId="WW8Num89z0">
    <w:name w:val="WW8Num89z0"/>
    <w:qFormat/>
    <w:rPr/>
  </w:style>
  <w:style w:type="character" w:styleId="WW8Num91z0">
    <w:name w:val="WW8Num91z0"/>
    <w:qFormat/>
    <w:rPr/>
  </w:style>
  <w:style w:type="character" w:styleId="WW8Num92z0">
    <w:name w:val="WW8Num92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color w:val="auto"/>
    </w:rPr>
  </w:style>
  <w:style w:type="character" w:styleId="WW8Num104z0">
    <w:name w:val="WW8Num104z0"/>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7z0">
    <w:name w:val="WW8Num117z0"/>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Wingdings" w:hAnsi="Wingdings" w:cs="Wingdings"/>
    </w:rPr>
  </w:style>
  <w:style w:type="character" w:styleId="WW8Num125z0">
    <w:name w:val="WW8Num125z0"/>
    <w:qFormat/>
    <w:rPr>
      <w:rFonts w:ascii="Symbol" w:hAnsi="Symbol" w:cs="Symbol"/>
      <w:color w:val="auto"/>
    </w:rPr>
  </w:style>
  <w:style w:type="character" w:styleId="WW8Num126z0">
    <w:name w:val="WW8Num126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3z0">
    <w:name w:val="WW8Num133z0"/>
    <w:qFormat/>
    <w:rPr>
      <w:rFonts w:ascii="Symbol" w:hAnsi="Symbol" w:cs="Symbol"/>
    </w:rPr>
  </w:style>
  <w:style w:type="character" w:styleId="WW8Num135z0">
    <w:name w:val="WW8Num135z0"/>
    <w:qFormat/>
    <w:rPr>
      <w:rFonts w:ascii="Symbol" w:hAnsi="Symbol" w:cs="Symbol"/>
    </w:rPr>
  </w:style>
  <w:style w:type="character" w:styleId="WW8Num138z0">
    <w:name w:val="WW8Num138z0"/>
    <w:qFormat/>
    <w:rPr>
      <w:rFonts w:ascii="Wingdings" w:hAnsi="Wingdings" w:cs="Wingdings"/>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Wingdings" w:hAnsi="Wingdings" w:cs="Wingdings"/>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7z0">
    <w:name w:val="WW8Num157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style>
  <w:style w:type="character" w:styleId="WW8Num161z0">
    <w:name w:val="WW8Num161z0"/>
    <w:qFormat/>
    <w:rPr/>
  </w:style>
  <w:style w:type="character" w:styleId="WW8Num162z0">
    <w:name w:val="WW8Num162z0"/>
    <w:qFormat/>
    <w:rPr>
      <w:b/>
    </w:rPr>
  </w:style>
  <w:style w:type="character" w:styleId="WW8Num163z0">
    <w:name w:val="WW8Num163z0"/>
    <w:qFormat/>
    <w:rPr/>
  </w:style>
  <w:style w:type="character" w:styleId="WW8Num166z0">
    <w:name w:val="WW8Num166z0"/>
    <w:qFormat/>
    <w:rPr>
      <w:rFonts w:ascii="Symbol" w:hAnsi="Symbol" w:cs="Symbol"/>
      <w:color w:val="008000"/>
    </w:rPr>
  </w:style>
  <w:style w:type="character" w:styleId="WW8Num167z0">
    <w:name w:val="WW8Num167z0"/>
    <w:qFormat/>
    <w:rPr>
      <w:rFonts w:ascii="Symbol" w:hAnsi="Symbol" w:cs="Symbol"/>
    </w:rPr>
  </w:style>
  <w:style w:type="character" w:styleId="WW8Num168z0">
    <w:name w:val="WW8Num168z0"/>
    <w:qFormat/>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2z0">
    <w:name w:val="WW8Num172z0"/>
    <w:qFormat/>
    <w:rPr>
      <w:rFonts w:ascii="Symbol" w:hAnsi="Symbol" w:cs="Symbol"/>
    </w:rPr>
  </w:style>
  <w:style w:type="character" w:styleId="WW8Num174z0">
    <w:name w:val="WW8Num174z0"/>
    <w:qFormat/>
    <w:rPr>
      <w:rFonts w:ascii="Symbol" w:hAnsi="Symbol" w:cs="Symbol"/>
    </w:rPr>
  </w:style>
  <w:style w:type="character" w:styleId="WW8Num176z0">
    <w:name w:val="WW8Num176z0"/>
    <w:qFormat/>
    <w:rPr>
      <w:rFonts w:ascii="Symbol" w:hAnsi="Symbol" w:cs="Symbol"/>
      <w:color w:val="auto"/>
      <w:sz w:val="28"/>
    </w:rPr>
  </w:style>
  <w:style w:type="character" w:styleId="WW8Num177z0">
    <w:name w:val="WW8Num177z0"/>
    <w:qFormat/>
    <w:rPr>
      <w:rFonts w:ascii="Symbol" w:hAnsi="Symbol" w:cs="Symbol"/>
    </w:rPr>
  </w:style>
  <w:style w:type="character" w:styleId="WW8Num178z0">
    <w:name w:val="WW8Num178z0"/>
    <w:qFormat/>
    <w:rPr>
      <w:b/>
    </w:rPr>
  </w:style>
  <w:style w:type="character" w:styleId="WW8Num180z0">
    <w:name w:val="WW8Num180z0"/>
    <w:qFormat/>
    <w:rPr/>
  </w:style>
  <w:style w:type="character" w:styleId="WW8Num181z0">
    <w:name w:val="WW8Num181z0"/>
    <w:qFormat/>
    <w:rPr>
      <w:rFonts w:ascii="Symbol" w:hAnsi="Symbol" w:cs="Symbol"/>
    </w:rPr>
  </w:style>
  <w:style w:type="character" w:styleId="WW8Num183z0">
    <w:name w:val="WW8Num183z0"/>
    <w:qFormat/>
    <w:rPr>
      <w:rFonts w:ascii="Symbol" w:hAnsi="Symbol" w:cs="Symbol"/>
    </w:rPr>
  </w:style>
  <w:style w:type="character" w:styleId="WW8NumSt123z0">
    <w:name w:val="WW8NumSt123z0"/>
    <w:qFormat/>
    <w:rPr>
      <w:rFonts w:ascii="Symbol" w:hAnsi="Symbol" w:cs="Symbol"/>
      <w:sz w:val="16"/>
    </w:rPr>
  </w:style>
  <w:style w:type="character" w:styleId="WW8NumSt159z0">
    <w:name w:val="WW8NumSt159z0"/>
    <w:qFormat/>
    <w:rPr>
      <w:rFonts w:ascii="Times New Roman" w:hAnsi="Times New Roman" w:cs="Times New Roman"/>
      <w:sz w:val="64"/>
    </w:rPr>
  </w:style>
  <w:style w:type="character" w:styleId="WW8NumSt160z0">
    <w:name w:val="WW8NumSt160z0"/>
    <w:qFormat/>
    <w:rPr>
      <w:rFonts w:ascii="Times New Roman" w:hAnsi="Times New Roman" w:cs="Times New Roman"/>
      <w:sz w:val="56"/>
    </w:rPr>
  </w:style>
  <w:style w:type="character" w:styleId="WW8NumSt161z0">
    <w:name w:val="WW8NumSt161z0"/>
    <w:qFormat/>
    <w:rPr>
      <w:rFonts w:ascii="Times New Roman" w:hAnsi="Times New Roman" w:cs="Times New Roman"/>
      <w:sz w:val="48"/>
    </w:rPr>
  </w:style>
  <w:style w:type="character" w:styleId="WW8NumSt162z0">
    <w:name w:val="WW8NumSt162z0"/>
    <w:qFormat/>
    <w:rPr>
      <w:rFonts w:ascii="Times New Roman" w:hAnsi="Times New Roman" w:cs="Times New Roman"/>
      <w:sz w:val="40"/>
    </w:rPr>
  </w:style>
  <w:style w:type="character" w:styleId="WW8NumSt163z0">
    <w:name w:val="WW8NumSt163z0"/>
    <w:qFormat/>
    <w:rPr>
      <w:rFonts w:ascii="Times New Roman" w:hAnsi="Times New Roman" w:cs="Times New Roman"/>
      <w:sz w:val="4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0"/>
      <w:ind w:hanging="0" w:start="0" w:end="0"/>
      <w:jc w:val="center"/>
    </w:pPr>
    <w:rPr>
      <w:rFonts w:ascii="New Baskerville;Times New Roman" w:hAnsi="New Baskerville;Times New Roman" w:cs="New Baskerville;Times New Roman"/>
      <w:b/>
      <w:lang w:val="en-GB"/>
    </w:rPr>
  </w:style>
  <w:style w:type="paragraph" w:styleId="BodyText">
    <w:name w:val="Body Text"/>
    <w:basedOn w:val="Normal"/>
    <w:pPr/>
    <w:rPr>
      <w:sz w:val="24"/>
    </w:rPr>
  </w:style>
  <w:style w:type="paragraph" w:styleId="List">
    <w:name w:val="List"/>
    <w:basedOn w:val="Normal"/>
    <w:pPr>
      <w:spacing w:before="0" w:after="0"/>
      <w:ind w:hanging="360" w:start="0" w:end="0"/>
    </w:pPr>
    <w:rPr>
      <w:rFonts w:ascii="New Baskerville;Times New Roman" w:hAnsi="New Baskerville;Times New Roman" w:cs="New Baskerville;Times New Roman"/>
      <w:lang w:val="en-GB"/>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493" w:leader="none"/>
        <w:tab w:val="right" w:pos="9000" w:leader="none"/>
      </w:tabs>
    </w:pPr>
    <w:rPr>
      <w:rFonts w:ascii="New Baskerville;Times New Roman" w:hAnsi="New Baskerville;Times New Roman" w:cs="New Baskerville;Times New Roman"/>
      <w:sz w:val="24"/>
      <w:lang w:val="en-GB"/>
    </w:rPr>
  </w:style>
  <w:style w:type="paragraph" w:styleId="Footer">
    <w:name w:val="footer"/>
    <w:basedOn w:val="Normal"/>
    <w:pPr>
      <w:tabs>
        <w:tab w:val="clear" w:pos="360"/>
        <w:tab w:val="center" w:pos="4320" w:leader="none"/>
        <w:tab w:val="right" w:pos="8640" w:leader="none"/>
      </w:tabs>
    </w:pPr>
    <w:rPr/>
  </w:style>
  <w:style w:type="paragraph" w:styleId="heding4">
    <w:name w:val="heding 4"/>
    <w:basedOn w:val="Normal"/>
    <w:qFormat/>
    <w:pPr/>
    <w:rPr/>
  </w:style>
  <w:style w:type="paragraph" w:styleId="TOC1">
    <w:name w:val="toc 1"/>
    <w:basedOn w:val="Normal"/>
    <w:next w:val="Normal"/>
    <w:pPr>
      <w:tabs>
        <w:tab w:val="clear" w:pos="360"/>
        <w:tab w:val="left" w:pos="605" w:leader="none"/>
        <w:tab w:val="right" w:pos="9134" w:leader="dot"/>
      </w:tabs>
      <w:spacing w:before="60" w:after="60"/>
    </w:pPr>
    <w:rPr>
      <w:b/>
      <w:smallCaps/>
      <w:sz w:val="20"/>
      <w:lang w:val="en-CA" w:eastAsia="en-CA"/>
    </w:rPr>
  </w:style>
  <w:style w:type="paragraph" w:styleId="TOC2">
    <w:name w:val="toc 2"/>
    <w:basedOn w:val="Normal"/>
    <w:next w:val="Normal"/>
    <w:pPr>
      <w:tabs>
        <w:tab w:val="clear" w:pos="360"/>
        <w:tab w:val="left" w:pos="605" w:leader="none"/>
        <w:tab w:val="right" w:pos="9134" w:leader="dot"/>
      </w:tabs>
      <w:ind w:hanging="0" w:start="202" w:end="0"/>
    </w:pPr>
    <w:rPr>
      <w:rFonts w:ascii="Times New Roman" w:hAnsi="Times New Roman" w:cs="Times New Roman"/>
      <w:smallCaps/>
      <w:sz w:val="20"/>
      <w:lang w:val="en-CA" w:eastAsia="en-CA"/>
    </w:rPr>
  </w:style>
  <w:style w:type="paragraph" w:styleId="TOC3">
    <w:name w:val="toc 3"/>
    <w:basedOn w:val="Normal"/>
    <w:next w:val="Normal"/>
    <w:pPr>
      <w:tabs>
        <w:tab w:val="clear" w:pos="360"/>
        <w:tab w:val="left" w:pos="800" w:leader="none"/>
        <w:tab w:val="right" w:pos="9134" w:leader="dot"/>
      </w:tabs>
      <w:ind w:hanging="0" w:start="403" w:end="0"/>
    </w:pPr>
    <w:rPr>
      <w:i/>
      <w:sz w:val="20"/>
      <w:lang w:val="en-CA" w:eastAsia="en-CA"/>
    </w:rPr>
  </w:style>
  <w:style w:type="paragraph" w:styleId="TOC4">
    <w:name w:val="toc 4"/>
    <w:basedOn w:val="Normal"/>
    <w:next w:val="Normal"/>
    <w:pPr>
      <w:tabs>
        <w:tab w:val="clear" w:pos="360"/>
        <w:tab w:val="left" w:pos="1200" w:leader="none"/>
        <w:tab w:val="right" w:pos="9134" w:leader="dot"/>
      </w:tabs>
      <w:ind w:hanging="0" w:start="605" w:end="0"/>
    </w:pPr>
    <w:rPr>
      <w:sz w:val="20"/>
      <w:lang w:val="en-CA" w:eastAsia="en-CA"/>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jc w:val="both"/>
    </w:pPr>
    <w:rPr>
      <w:rFonts w:ascii="New Baskerville;Times New Roman" w:hAnsi="New Baskerville;Times New Roman" w:cs="New Baskerville;Times New Roman"/>
      <w:sz w:val="24"/>
      <w:lang w:val="en-GB"/>
    </w:rPr>
  </w:style>
  <w:style w:type="paragraph" w:styleId="ListBullet">
    <w:name w:val="List Bullet"/>
    <w:basedOn w:val="Normal"/>
    <w:qFormat/>
    <w:pPr>
      <w:numPr>
        <w:ilvl w:val="0"/>
        <w:numId w:val="11"/>
      </w:numPr>
      <w:tabs>
        <w:tab w:val="clear" w:pos="360"/>
      </w:tabs>
      <w:spacing w:before="0" w:after="240"/>
      <w:ind w:hanging="0" w:start="0" w:end="0"/>
      <w:jc w:val="both"/>
    </w:pPr>
    <w:rPr>
      <w:sz w:val="24"/>
    </w:rPr>
  </w:style>
  <w:style w:type="paragraph" w:styleId="BodyTextIndent">
    <w:name w:val="Body Text Indent"/>
    <w:basedOn w:val="Normal"/>
    <w:pPr>
      <w:ind w:hanging="0" w:start="709" w:end="0"/>
    </w:pPr>
    <w:rPr>
      <w:rFonts w:ascii="New Baskerville;Times New Roman" w:hAnsi="New Baskerville;Times New Roman" w:cs="New Baskerville;Times New Roman"/>
      <w:sz w:val="24"/>
      <w:lang w:val="en-GB"/>
    </w:rPr>
  </w:style>
  <w:style w:type="paragraph" w:styleId="Body">
    <w:name w:val="Body"/>
    <w:basedOn w:val="Normal"/>
    <w:qFormat/>
    <w:pPr>
      <w:spacing w:before="0" w:after="240"/>
    </w:pPr>
    <w:rPr>
      <w:sz w:val="24"/>
    </w:rPr>
  </w:style>
  <w:style w:type="paragraph" w:styleId="Table-ColumnHeadingwhitefont">
    <w:name w:val="Table-Column Heading (white font)"/>
    <w:basedOn w:val="Normal"/>
    <w:qFormat/>
    <w:pPr>
      <w:widowControl w:val="false"/>
      <w:spacing w:before="72" w:after="72"/>
      <w:jc w:val="center"/>
    </w:pPr>
    <w:rPr>
      <w:b/>
      <w:sz w:val="24"/>
    </w:rPr>
  </w:style>
  <w:style w:type="paragraph" w:styleId="CcList">
    <w:name w:val="Cc List"/>
    <w:basedOn w:val="Normal"/>
    <w:qFormat/>
    <w:pPr/>
    <w:rPr>
      <w:rFonts w:ascii="New Baskerville;Times New Roman" w:hAnsi="New Baskerville;Times New Roman" w:cs="New Baskerville;Times New Roman"/>
      <w:sz w:val="24"/>
      <w:lang w:val="en-GB"/>
    </w:rPr>
  </w:style>
  <w:style w:type="paragraph" w:styleId="ReplyForwardHeaders">
    <w:name w:val="Reply/Forward Headers"/>
    <w:basedOn w:val="Normal"/>
    <w:qFormat/>
    <w:pPr/>
    <w:rPr>
      <w:rFonts w:ascii="New Baskerville;Times New Roman" w:hAnsi="New Baskerville;Times New Roman" w:cs="New Baskerville;Times New Roman"/>
      <w:sz w:val="24"/>
      <w:lang w:val="en-GB"/>
    </w:rPr>
  </w:style>
  <w:style w:type="paragraph" w:styleId="ReplyForwardToFromDate">
    <w:name w:val="Reply/Forward To: From: Date:"/>
    <w:basedOn w:val="Normal"/>
    <w:qFormat/>
    <w:pPr/>
    <w:rPr>
      <w:rFonts w:ascii="New Baskerville;Times New Roman" w:hAnsi="New Baskerville;Times New Roman" w:cs="New Baskerville;Times New Roman"/>
      <w:sz w:val="24"/>
      <w:lang w:val="en-GB"/>
    </w:rPr>
  </w:style>
  <w:style w:type="paragraph" w:styleId="InsideAddress">
    <w:name w:val="Inside Address"/>
    <w:basedOn w:val="Normal"/>
    <w:qFormat/>
    <w:pPr/>
    <w:rPr>
      <w:rFonts w:ascii="New Baskerville;Times New Roman" w:hAnsi="New Baskerville;Times New Roman" w:cs="New Baskerville;Times New Roman"/>
      <w:sz w:val="24"/>
      <w:lang w:val="en-GB"/>
    </w:rPr>
  </w:style>
  <w:style w:type="paragraph" w:styleId="ReferenceLine">
    <w:name w:val="Reference Line"/>
    <w:basedOn w:val="BodyText"/>
    <w:qFormat/>
    <w:pPr/>
    <w:rPr/>
  </w:style>
  <w:style w:type="paragraph" w:styleId="headin">
    <w:name w:val="headin"/>
    <w:basedOn w:val="Normal"/>
    <w:qFormat/>
    <w:pPr>
      <w:jc w:val="both"/>
    </w:pPr>
    <w:rPr/>
  </w:style>
  <w:style w:type="paragraph" w:styleId="Heading-Level3">
    <w:name w:val="Heading - Level 3"/>
    <w:next w:val="BodyText"/>
    <w:qFormat/>
    <w:pPr>
      <w:keepNext w:val="true"/>
      <w:keepLines/>
      <w:widowControl/>
      <w:bidi w:val="0"/>
      <w:spacing w:before="80" w:after="120"/>
      <w:ind w:hanging="0" w:start="-360" w:end="0"/>
      <w:outlineLvl w:val="3"/>
    </w:pPr>
    <w:rPr>
      <w:rFonts w:ascii="Times New Roman Bold" w:hAnsi="Times New Roman Bold" w:eastAsia="Times New Roman" w:cs="Times New Roman Bold"/>
      <w:b/>
      <w:color w:val="auto"/>
      <w:sz w:val="24"/>
      <w:szCs w:val="20"/>
      <w:lang w:val="en-US" w:eastAsia="zh-CN" w:bidi="hi-IN"/>
    </w:rPr>
  </w:style>
  <w:style w:type="paragraph" w:styleId="Heading-Level2">
    <w:name w:val="Heading - Level 2"/>
    <w:next w:val="BodyText"/>
    <w:qFormat/>
    <w:pPr>
      <w:keepNext w:val="true"/>
      <w:keepLines/>
      <w:widowControl/>
      <w:bidi w:val="0"/>
      <w:spacing w:before="240" w:after="120"/>
      <w:ind w:hanging="0" w:start="-360" w:end="0"/>
      <w:outlineLvl w:val="3"/>
    </w:pPr>
    <w:rPr>
      <w:rFonts w:ascii="Times New Roman" w:hAnsi="Times New Roman" w:eastAsia="Times New Roman" w:cs="Times New Roman"/>
      <w:b/>
      <w:smallCaps/>
      <w:color w:val="800000"/>
      <w:spacing w:val="30"/>
      <w:sz w:val="28"/>
      <w:szCs w:val="20"/>
      <w:lang w:val="en-US" w:eastAsia="zh-CN" w:bidi="hi-IN"/>
    </w:rPr>
  </w:style>
  <w:style w:type="paragraph" w:styleId="FinancialTableMainHd">
    <w:name w:val="Financial Table Main Hd"/>
    <w:next w:val="Normal"/>
    <w:qFormat/>
    <w:pPr>
      <w:keepNext w:val="true"/>
      <w:keepLines/>
      <w:widowControl/>
      <w:bidi w:val="0"/>
      <w:ind w:hanging="0" w:start="29" w:end="144"/>
    </w:pPr>
    <w:rPr>
      <w:rFonts w:ascii="Arial" w:hAnsi="Arial" w:eastAsia="Times New Roman" w:cs="Arial"/>
      <w:b/>
      <w:caps/>
      <w:color w:val="auto"/>
      <w:sz w:val="17"/>
      <w:szCs w:val="20"/>
      <w:lang w:val="en-US" w:eastAsia="zh-CN" w:bidi="hi-IN"/>
    </w:rPr>
  </w:style>
  <w:style w:type="paragraph" w:styleId="ExcelChart">
    <w:name w:val="Excel Chart"/>
    <w:next w:val="BodyText"/>
    <w:qFormat/>
    <w:pPr>
      <w:widowControl/>
      <w:bidi w:val="0"/>
      <w:spacing w:before="0" w:after="120"/>
      <w:ind w:hanging="0" w:start="-101" w:end="0"/>
    </w:pPr>
    <w:rPr>
      <w:rFonts w:ascii="Times New Roman" w:hAnsi="Times New Roman" w:eastAsia="Times New Roman" w:cs="Times New Roman"/>
      <w:color w:val="auto"/>
      <w:kern w:val="2"/>
      <w:sz w:val="24"/>
      <w:szCs w:val="20"/>
      <w:lang w:val="en-US" w:eastAsia="zh-CN" w:bidi="hi-IN"/>
    </w:rPr>
  </w:style>
  <w:style w:type="paragraph" w:styleId="FootnoteText">
    <w:name w:val="footnote text"/>
    <w:pPr>
      <w:widowControl/>
      <w:bidi w:val="0"/>
      <w:spacing w:lineRule="atLeast" w:line="220"/>
    </w:pPr>
    <w:rPr>
      <w:rFonts w:ascii="Times New Roman" w:hAnsi="Times New Roman" w:eastAsia="Times New Roman" w:cs="Times New Roman"/>
      <w:color w:val="auto"/>
      <w:kern w:val="2"/>
      <w:sz w:val="16"/>
      <w:szCs w:val="20"/>
      <w:lang w:val="en-US" w:eastAsia="zh-CN" w:bidi="hi-IN"/>
    </w:rPr>
  </w:style>
  <w:style w:type="paragraph" w:styleId="sub">
    <w:name w:val="sub"/>
    <w:basedOn w:val="BodyText"/>
    <w:qFormat/>
    <w:pPr>
      <w:spacing w:before="120" w:after="0"/>
      <w:jc w:val="both"/>
    </w:pPr>
    <w:rPr>
      <w:b/>
      <w:u w:val="none"/>
    </w:rPr>
  </w:style>
  <w:style w:type="paragraph" w:styleId="header4">
    <w:name w:val="header 4"/>
    <w:basedOn w:val="sub"/>
    <w:qFormat/>
    <w:pPr/>
    <w:rPr/>
  </w:style>
  <w:style w:type="paragraph" w:styleId="body1">
    <w:name w:val="body1"/>
    <w:basedOn w:val="Heading1"/>
    <w:qFormat/>
    <w:pPr>
      <w:pageBreakBefore w:val="false"/>
      <w:numPr>
        <w:ilvl w:val="0"/>
        <w:numId w:val="0"/>
      </w:numPr>
      <w:spacing w:before="0" w:after="0"/>
      <w:ind w:hanging="0" w:start="0" w:end="0"/>
      <w:jc w:val="start"/>
      <w:outlineLvl w:val="9"/>
    </w:pPr>
    <w:rPr>
      <w:rFonts w:ascii="Times New Roman" w:hAnsi="Times New Roman" w:cs="Times New Roman"/>
      <w:caps w:val="false"/>
      <w:smallCaps w:val="false"/>
      <w:color w:val="auto"/>
      <w:kern w:val="0"/>
      <w:sz w:val="20"/>
      <w:lang w:val="en-US"/>
    </w:rPr>
  </w:style>
  <w:style w:type="paragraph" w:styleId="BodyTextIndent2">
    <w:name w:val="Body Text Indent 2"/>
    <w:basedOn w:val="Normal"/>
    <w:qFormat/>
    <w:pPr>
      <w:ind w:hanging="0" w:start="720" w:end="0"/>
      <w:jc w:val="both"/>
    </w:pPr>
    <w:rPr>
      <w:sz w:val="22"/>
    </w:rPr>
  </w:style>
  <w:style w:type="paragraph" w:styleId="BodyTextIndent3">
    <w:name w:val="Body Text Indent 3"/>
    <w:basedOn w:val="Normal"/>
    <w:qFormat/>
    <w:pPr>
      <w:ind w:hanging="0" w:start="720" w:end="0"/>
      <w:jc w:val="both"/>
    </w:pPr>
    <w:rPr>
      <w:sz w:val="24"/>
    </w:rPr>
  </w:style>
  <w:style w:type="paragraph" w:styleId="herading2">
    <w:name w:val="herading 2"/>
    <w:basedOn w:val="Normal"/>
    <w:qFormat/>
    <w:pPr/>
    <w:rPr/>
  </w:style>
  <w:style w:type="paragraph" w:styleId="Heading-Level1">
    <w:name w:val="Heading - Level 1"/>
    <w:next w:val="Normal"/>
    <w:qFormat/>
    <w:pPr>
      <w:keepNext w:val="true"/>
      <w:keepLines/>
      <w:pageBreakBefore/>
      <w:widowControl/>
      <w:bidi w:val="0"/>
      <w:spacing w:before="0" w:after="120"/>
      <w:ind w:hanging="0" w:start="-720" w:end="0"/>
      <w:outlineLvl w:val="2"/>
    </w:pPr>
    <w:rPr>
      <w:rFonts w:ascii="Times New Roman" w:hAnsi="Times New Roman" w:eastAsia="Times New Roman" w:cs="Times New Roman"/>
      <w:b/>
      <w:smallCaps/>
      <w:color w:val="auto"/>
      <w:spacing w:val="20"/>
      <w:kern w:val="2"/>
      <w:sz w:val="36"/>
      <w:szCs w:val="20"/>
      <w:lang w:val="en-CA" w:eastAsia="zh-CN" w:bidi="hi-IN"/>
    </w:rPr>
  </w:style>
  <w:style w:type="paragraph" w:styleId="BodyText3">
    <w:name w:val="Body Text 3"/>
    <w:basedOn w:val="Normal"/>
    <w:qFormat/>
    <w:pPr>
      <w:jc w:val="start"/>
    </w:pPr>
    <w:rPr/>
  </w:style>
  <w:style w:type="paragraph" w:styleId="Subtitle">
    <w:name w:val="Subtitle"/>
    <w:basedOn w:val="Normal"/>
    <w:next w:val="BodyText"/>
    <w:qFormat/>
    <w:pPr>
      <w:spacing w:before="0" w:after="0"/>
      <w:ind w:hanging="0" w:start="0" w:end="0"/>
      <w:jc w:val="center"/>
    </w:pPr>
    <w:rPr>
      <w:rFonts w:ascii="New Baskerville;Times New Roman" w:hAnsi="New Baskerville;Times New Roman" w:cs="New Baskerville;Times New Roman"/>
      <w:b/>
      <w:u w:val="single"/>
      <w:lang w:val="en-GB"/>
    </w:rPr>
  </w:style>
  <w:style w:type="paragraph" w:styleId="DocumentMap">
    <w:name w:val="Document Map"/>
    <w:basedOn w:val="Normal"/>
    <w:qFormat/>
    <w:pPr>
      <w:shd w:fill="000080" w:val="clear"/>
      <w:spacing w:before="0" w:after="0"/>
      <w:ind w:hanging="0" w:start="0" w:end="0"/>
    </w:pPr>
    <w:rPr>
      <w:rFonts w:ascii="Tahoma" w:hAnsi="Tahoma" w:cs="Tahoma"/>
      <w:lang w:val="en-GB"/>
    </w:rPr>
  </w:style>
  <w:style w:type="paragraph" w:styleId="ListBullet2">
    <w:name w:val="List Bullet 2"/>
    <w:basedOn w:val="Normal"/>
    <w:pPr>
      <w:spacing w:before="0" w:after="0"/>
      <w:ind w:hanging="360" w:start="720" w:end="0"/>
    </w:pPr>
    <w:rPr>
      <w:rFonts w:ascii="New Baskerville;Times New Roman" w:hAnsi="New Baskerville;Times New Roman" w:cs="New Baskerville;Times New Roman"/>
      <w:lang w:val="en-GB"/>
    </w:rPr>
  </w:style>
  <w:style w:type="paragraph" w:styleId="Salutation">
    <w:name w:val="Salutation"/>
    <w:basedOn w:val="Normal"/>
    <w:next w:val="Normal"/>
    <w:qFormat/>
    <w:pPr>
      <w:spacing w:before="0" w:after="0"/>
      <w:ind w:hanging="0" w:start="0" w:end="0"/>
    </w:pPr>
    <w:rPr>
      <w:rFonts w:ascii="New Baskerville;Times New Roman" w:hAnsi="New Baskerville;Times New Roman" w:cs="New Baskerville;Times New Roman"/>
      <w:lang w:val="en-GB"/>
    </w:rPr>
  </w:style>
  <w:style w:type="paragraph" w:styleId="Closing">
    <w:name w:val="Closing"/>
    <w:basedOn w:val="Normal"/>
    <w:qFormat/>
    <w:pPr>
      <w:spacing w:before="0" w:after="0"/>
      <w:ind w:hanging="0" w:start="4320" w:end="0"/>
    </w:pPr>
    <w:rPr>
      <w:rFonts w:ascii="New Baskerville;Times New Roman" w:hAnsi="New Baskerville;Times New Roman" w:cs="New Baskerville;Times New Roman"/>
      <w:lang w:val="en-GB"/>
    </w:rPr>
  </w:style>
  <w:style w:type="paragraph" w:styleId="Date">
    <w:name w:val="Date"/>
    <w:basedOn w:val="Normal"/>
    <w:next w:val="Normal"/>
    <w:qFormat/>
    <w:pPr>
      <w:spacing w:before="0" w:after="0"/>
      <w:ind w:hanging="0" w:start="0" w:end="0"/>
    </w:pPr>
    <w:rPr>
      <w:rFonts w:ascii="New Baskerville;Times New Roman" w:hAnsi="New Baskerville;Times New Roman" w:cs="New Baskerville;Times New Roman"/>
      <w:lang w:val="en-GB"/>
    </w:rPr>
  </w:style>
  <w:style w:type="paragraph" w:styleId="Signature">
    <w:name w:val="Signature"/>
    <w:basedOn w:val="Normal"/>
    <w:pPr>
      <w:spacing w:before="0" w:after="0"/>
      <w:ind w:hanging="0" w:start="4320" w:end="0"/>
    </w:pPr>
    <w:rPr>
      <w:rFonts w:ascii="New Baskerville;Times New Roman" w:hAnsi="New Baskerville;Times New Roman" w:cs="New Baskerville;Times New Roman"/>
      <w:lang w:val="en-GB"/>
    </w:rPr>
  </w:style>
  <w:style w:type="paragraph" w:styleId="NormalIndent">
    <w:name w:val="Normal Indent"/>
    <w:basedOn w:val="Normal"/>
    <w:qFormat/>
    <w:pPr>
      <w:spacing w:before="0" w:after="0"/>
      <w:ind w:hanging="0" w:start="720" w:end="0"/>
    </w:pPr>
    <w:rPr>
      <w:rFonts w:ascii="New Baskerville;Times New Roman" w:hAnsi="New Baskerville;Times New Roman" w:cs="New Baskerville;Times New Roman"/>
      <w:lang w:val="en-GB"/>
    </w:rPr>
  </w:style>
  <w:style w:type="paragraph" w:styleId="norma">
    <w:name w:val="norma."/>
    <w:basedOn w:val="Heading8"/>
    <w:qFormat/>
    <w:pPr>
      <w:numPr>
        <w:ilvl w:val="0"/>
        <w:numId w:val="0"/>
      </w:numPr>
      <w:ind w:hanging="0" w:start="0" w:end="0"/>
      <w:outlineLvl w:val="9"/>
    </w:pPr>
    <w:rPr/>
  </w:style>
  <w:style w:type="paragraph" w:styleId="FootnoteText1">
    <w:name w:val="Footnote Text1"/>
    <w:basedOn w:val="Normal"/>
    <w:qFormat/>
    <w:pPr/>
    <w:rPr>
      <w:sz w:val="20"/>
    </w:rPr>
  </w:style>
  <w:style w:type="paragraph" w:styleId="TableHeadings">
    <w:name w:val="Table Headings"/>
    <w:basedOn w:val="Normal"/>
    <w:qFormat/>
    <w:pPr>
      <w:spacing w:before="36" w:after="36"/>
      <w:jc w:val="center"/>
    </w:pPr>
    <w:rPr>
      <w:rFonts w:ascii="Arial" w:hAnsi="Arial" w:cs="Arial"/>
      <w:caps/>
      <w:sz w:val="16"/>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package" Target="embeddings/oleObject1.xlsx"/><Relationship Id="rId4" Type="http://schemas.openxmlformats.org/officeDocument/2006/relationships/image" Target="media/image1.wmf"/><Relationship Id="rId5" Type="http://schemas.openxmlformats.org/officeDocument/2006/relationships/package" Target="embeddings/oleObject2.xlsx"/><Relationship Id="rId6" Type="http://schemas.openxmlformats.org/officeDocument/2006/relationships/image" Target="media/image2.wmf"/><Relationship Id="rId7" Type="http://schemas.openxmlformats.org/officeDocument/2006/relationships/package" Target="embeddings/oleObject3.xlsx"/><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package" Target="embeddings/oleObject4.pptx"/><Relationship Id="rId11" Type="http://schemas.openxmlformats.org/officeDocument/2006/relationships/image" Target="media/image5.wmf"/><Relationship Id="rId12" Type="http://schemas.openxmlformats.org/officeDocument/2006/relationships/package" Target="embeddings/oleObject5.pptx"/><Relationship Id="rId13" Type="http://schemas.openxmlformats.org/officeDocument/2006/relationships/image" Target="media/image6.wmf"/><Relationship Id="rId14" Type="http://schemas.openxmlformats.org/officeDocument/2006/relationships/oleObject" Target="embeddings/oleObject6.bin"/><Relationship Id="rId15" Type="http://schemas.openxmlformats.org/officeDocument/2006/relationships/image" Target="media/image7.wmf"/><Relationship Id="rId16" Type="http://schemas.openxmlformats.org/officeDocument/2006/relationships/hyperlink" Target="mailto:PV12@1o" TargetMode="Externa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2000-05-14T00:23:00Z</dcterms:created>
  <dc:creator>ENA</dc:creator>
  <dc:description/>
  <dc:language>en-CA</dc:language>
  <cp:lastModifiedBy>sjohn</cp:lastModifiedBy>
  <cp:lastPrinted>2000-05-13T17:55:00Z</cp:lastPrinted>
  <dcterms:modified xsi:type="dcterms:W3CDTF">2000-05-14T00:23:00Z</dcterms:modified>
  <cp:revision>2</cp:revision>
  <dc:subject/>
  <dc:title>I</dc:title>
</cp:coreProperties>
</file>