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media/image4.png" ContentType="image/png"/>
  <Override PartName="/word/media/image5.wmf" ContentType="image/x-wmf"/>
  <Override PartName="/word/media/image6.wmf" ContentType="image/x-wmf"/>
  <Override PartName="/word/media/image7.wmf" ContentType="image/x-wmf"/>
  <Override PartName="/word/footer5.xml" ContentType="application/vnd.openxmlformats-officedocument.wordprocessingml.footer+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bin" ContentType="application/vnd.openxmlformats-officedocument.oleObject"/>
  <Override PartName="/word/embeddings/oleObject4.xlsx" ContentType="application/vnd.openxmlformats-officedocument.spreadsheetml.sheet"/>
  <Override PartName="/word/embeddings/oleObject5.xlsx" ContentType="application/vnd.openxmlformats-officedocument.spreadsheetml.shee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drawing>
          <wp:anchor behindDoc="0" distT="0" distB="0" distL="114935" distR="114935" simplePos="0" locked="0" layoutInCell="0" allowOverlap="1" relativeHeight="43">
            <wp:simplePos x="0" y="0"/>
            <wp:positionH relativeFrom="column">
              <wp:posOffset>2396490</wp:posOffset>
            </wp:positionH>
            <wp:positionV relativeFrom="paragraph">
              <wp:posOffset>409575</wp:posOffset>
            </wp:positionV>
            <wp:extent cx="685800" cy="6667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2" t="-54" r="-52" b="-54"/>
                    <a:stretch>
                      <a:fillRect/>
                    </a:stretch>
                  </pic:blipFill>
                  <pic:spPr bwMode="auto">
                    <a:xfrm>
                      <a:off x="0" y="0"/>
                      <a:ext cx="685800" cy="666750"/>
                    </a:xfrm>
                    <a:prstGeom prst="rect">
                      <a:avLst/>
                    </a:prstGeom>
                    <a:noFill/>
                  </pic:spPr>
                </pic:pic>
              </a:graphicData>
            </a:graphic>
          </wp:anchor>
        </w:drawing>
      </w:r>
    </w:p>
    <w:p>
      <w:pPr>
        <w:pStyle w:val="Heading"/>
        <w:spacing w:before="0" w:after="120"/>
        <w:rPr>
          <w:rFonts w:ascii="Arial" w:hAnsi="Arial" w:cs="Arial"/>
          <w:sz w:val="26"/>
        </w:rPr>
      </w:pPr>
      <w:r>
        <w:rPr>
          <w:rFonts w:cs="Arial" w:ascii="Arial" w:hAnsi="Arial"/>
          <w:sz w:val="26"/>
        </w:rPr>
      </w:r>
    </w:p>
    <w:p>
      <w:pPr>
        <w:pStyle w:val="Heading"/>
        <w:spacing w:before="0" w:after="120"/>
        <w:rPr>
          <w:rFonts w:ascii="Arial" w:hAnsi="Arial" w:cs="Arial"/>
          <w:sz w:val="26"/>
        </w:rPr>
      </w:pPr>
      <w:r>
        <w:rPr>
          <w:rFonts w:cs="Arial" w:ascii="Arial" w:hAnsi="Arial"/>
          <w:sz w:val="26"/>
        </w:rPr>
        <w:t xml:space="preserve">Las Vegas Cogeneration, LP </w:t>
      </w:r>
    </w:p>
    <w:p>
      <w:pPr>
        <w:pStyle w:val="Heading"/>
        <w:spacing w:before="0" w:after="120"/>
        <w:rPr>
          <w:rFonts w:ascii="Arial" w:hAnsi="Arial" w:cs="Arial"/>
          <w:sz w:val="26"/>
        </w:rPr>
      </w:pPr>
      <w:r>
        <w:rPr>
          <w:rFonts w:cs="Arial" w:ascii="Arial" w:hAnsi="Arial"/>
          <w:sz w:val="26"/>
        </w:rPr>
        <w:t>&amp;</w:t>
      </w:r>
    </w:p>
    <w:p>
      <w:pPr>
        <w:pStyle w:val="Heading"/>
        <w:spacing w:before="0" w:after="120"/>
        <w:rPr>
          <w:rFonts w:ascii="Arial" w:hAnsi="Arial" w:cs="Arial"/>
          <w:sz w:val="26"/>
        </w:rPr>
      </w:pPr>
      <w:r>
        <w:rPr>
          <w:rFonts w:cs="Arial" w:ascii="Arial" w:hAnsi="Arial"/>
          <w:sz w:val="26"/>
        </w:rPr>
        <w:t>Las Vegas Cogeneration II, LLC</w:t>
      </w:r>
    </w:p>
    <w:p>
      <w:pPr>
        <w:pStyle w:val="Heading"/>
        <w:spacing w:before="480" w:after="0"/>
        <w:rPr>
          <w:rFonts w:ascii="Arial" w:hAnsi="Arial" w:cs="Arial"/>
          <w:b w:val="false"/>
          <w:spacing w:val="0"/>
          <w:sz w:val="24"/>
        </w:rPr>
      </w:pPr>
      <w:r>
        <w:rPr>
          <w:rFonts w:cs="Arial" w:ascii="Arial" w:hAnsi="Arial"/>
          <w:b w:val="false"/>
          <w:spacing w:val="0"/>
          <w:sz w:val="24"/>
        </w:rPr>
      </w:r>
    </w:p>
    <w:p>
      <w:pPr>
        <w:pStyle w:val="Heading"/>
        <w:spacing w:before="0" w:after="0"/>
        <w:rPr>
          <w:rFonts w:ascii="Arial" w:hAnsi="Arial" w:cs="Arial"/>
          <w:b w:val="false"/>
          <w:spacing w:val="0"/>
          <w:sz w:val="24"/>
        </w:rPr>
      </w:pPr>
      <w:r>
        <w:rPr>
          <w:rFonts w:cs="Arial" w:ascii="Arial" w:hAnsi="Arial"/>
          <w:b w:val="false"/>
          <w:spacing w:val="0"/>
          <w:sz w:val="24"/>
        </w:rPr>
        <w:t xml:space="preserve">A 54 MW Qualifying Facility </w:t>
      </w:r>
    </w:p>
    <w:p>
      <w:pPr>
        <w:pStyle w:val="Heading"/>
        <w:spacing w:before="0" w:after="0"/>
        <w:rPr>
          <w:rFonts w:ascii="Arial" w:hAnsi="Arial" w:cs="Arial"/>
          <w:b w:val="false"/>
          <w:spacing w:val="0"/>
          <w:sz w:val="24"/>
        </w:rPr>
      </w:pPr>
      <w:r>
        <w:rPr>
          <w:rFonts w:cs="Arial" w:ascii="Arial" w:hAnsi="Arial"/>
          <w:b w:val="false"/>
          <w:spacing w:val="0"/>
          <w:sz w:val="24"/>
        </w:rPr>
        <w:t>Located in North Las Vegas, Nevada</w:t>
      </w:r>
    </w:p>
    <w:p>
      <w:pPr>
        <w:pStyle w:val="Heading"/>
        <w:spacing w:before="0" w:after="0"/>
        <w:rPr>
          <w:rFonts w:ascii="Arial" w:hAnsi="Arial" w:cs="Arial"/>
          <w:b w:val="false"/>
          <w:spacing w:val="0"/>
          <w:sz w:val="24"/>
        </w:rPr>
      </w:pPr>
      <w:r>
        <w:rPr>
          <w:rFonts w:cs="Arial" w:ascii="Arial" w:hAnsi="Arial"/>
          <w:b w:val="false"/>
          <w:spacing w:val="0"/>
          <w:sz w:val="24"/>
        </w:rPr>
      </w:r>
    </w:p>
    <w:p>
      <w:pPr>
        <w:pStyle w:val="Heading"/>
        <w:spacing w:before="0" w:after="0"/>
        <w:rPr>
          <w:rFonts w:ascii="Arial" w:hAnsi="Arial" w:cs="Arial"/>
          <w:b w:val="false"/>
          <w:spacing w:val="0"/>
          <w:sz w:val="24"/>
        </w:rPr>
      </w:pPr>
      <w:r>
        <w:rPr>
          <w:rFonts w:cs="Arial" w:ascii="Arial" w:hAnsi="Arial"/>
          <w:b w:val="false"/>
          <w:spacing w:val="0"/>
          <w:sz w:val="24"/>
        </w:rPr>
        <w:t>&amp;</w:t>
      </w:r>
    </w:p>
    <w:p>
      <w:pPr>
        <w:pStyle w:val="Heading"/>
        <w:spacing w:before="120" w:after="0"/>
        <w:rPr>
          <w:rFonts w:ascii="Arial" w:hAnsi="Arial" w:cs="Arial"/>
          <w:b w:val="false"/>
          <w:spacing w:val="0"/>
          <w:sz w:val="24"/>
        </w:rPr>
      </w:pPr>
      <w:r>
        <w:rPr>
          <w:rFonts w:cs="Arial" w:ascii="Arial" w:hAnsi="Arial"/>
          <w:b w:val="false"/>
          <w:spacing w:val="0"/>
          <w:sz w:val="24"/>
        </w:rPr>
        <w:t>A 230 MW Combined Cycle Merchant Facility</w:t>
        <w:br/>
        <w:t>Under Development in North Las Vegas, Nevada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rFonts w:ascii="Arial" w:hAnsi="Arial" w:cs="Arial"/>
        </w:rPr>
      </w:pPr>
      <w:r>
        <w:rPr>
          <w:rFonts w:cs="Arial" w:ascii="Arial" w:hAnsi="Arial"/>
        </w:rPr>
        <w:t>Enron North America (the ”Company”) is issuing this confidential information memorandum in connection with the sale of  Las Vegas Cogeneration, LP (LVCLP), a singled fueled, natural gas-fired combined cycle qualifying facility (QF) in North Las Vegas, Nevada and Las Vegas Cogeneration II, L.L.C. (LVCII), a 230MW combined cycle cogeneration facility under development  in North Las Vegas, Nevada.</w:t>
      </w:r>
    </w:p>
    <w:p>
      <w:pPr>
        <w:pStyle w:val="CIMBodyTextSmall"/>
        <w:rPr>
          <w:rFonts w:ascii="Arial" w:hAnsi="Arial" w:cs="Arial"/>
        </w:rPr>
      </w:pPr>
      <w:r>
        <w:rPr>
          <w:rFonts w:cs="Arial" w:ascii="Arial" w:hAnsi="Arial"/>
        </w:rPr>
        <w:t>This Confidential Information Memorandum (the “Memorandum”) is being delivered to a select number of parties who have expressed an interest in pursuing the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IF YOU HAVE NOT EXECUTED AND DELIVERED SUCH A CONFIDENTIALITY AGREEMENT, YOU HAVE RECEIVED THIS MEMORANDUM IN ERROR.  IF SO, PLEASE NOTIFY US IMMEDIATELY BY TELEPHONE, AND RETURN THE MEMORANDUM TO US AT THE ADDRESS BELOW.</w:t>
      </w:r>
    </w:p>
    <w:p>
      <w:pPr>
        <w:pStyle w:val="CIMBodyTextSmall"/>
        <w:rPr>
          <w:rFonts w:ascii="Arial" w:hAnsi="Arial" w:cs="Arial"/>
          <w:b/>
        </w:rPr>
      </w:pPr>
      <w:r>
        <w:rPr>
          <w:rFonts w:eastAsia="Arial" w:cs="Arial" w:ascii="Arial" w:hAnsi="Arial"/>
          <w:b/>
        </w:rPr>
        <w:t xml:space="preserve"> </w:t>
      </w:r>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w:t>
      </w:r>
    </w:p>
    <w:p>
      <w:pPr>
        <w:pStyle w:val="CIMBodyTextSmall"/>
        <w:rPr>
          <w:rFonts w:ascii="Arial" w:hAnsi="Arial" w:cs="Aria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r>
        <w:rPr/>
        <w:t>All communications or inquires relating to the Project should be directed to the following persons:</w:t>
      </w:r>
    </w:p>
    <w:tbl>
      <w:tblPr>
        <w:tblW w:w="9361" w:type="dxa"/>
        <w:jc w:val="start"/>
        <w:tblInd w:w="-108" w:type="dxa"/>
        <w:tblLayout w:type="fixed"/>
        <w:tblCellMar>
          <w:top w:w="0" w:type="dxa"/>
          <w:start w:w="0" w:type="dxa"/>
          <w:bottom w:w="0" w:type="dxa"/>
          <w:end w:w="0" w:type="dxa"/>
        </w:tblCellMar>
      </w:tblPr>
      <w:tblGrid>
        <w:gridCol w:w="1098"/>
        <w:gridCol w:w="664"/>
        <w:gridCol w:w="578"/>
        <w:gridCol w:w="1098"/>
        <w:gridCol w:w="857"/>
        <w:gridCol w:w="385"/>
        <w:gridCol w:w="1278"/>
        <w:gridCol w:w="870"/>
        <w:gridCol w:w="192"/>
        <w:gridCol w:w="1098"/>
        <w:gridCol w:w="1242"/>
        <w:gridCol w:w="1"/>
      </w:tblGrid>
      <w:tr>
        <w:trPr/>
        <w:tc>
          <w:tcPr>
            <w:tcW w:w="1098" w:type="dxa"/>
            <w:tcBorders/>
          </w:tcPr>
          <w:p>
            <w:pPr>
              <w:pStyle w:val="TableHeading"/>
              <w:suppressLineNumbers/>
              <w:spacing w:before="0" w:after="120"/>
              <w:jc w:val="center"/>
              <w:rPr/>
            </w:pPr>
            <w:r>
              <w:rPr/>
            </w:r>
          </w:p>
        </w:tc>
        <w:tc>
          <w:tcPr>
            <w:tcW w:w="2340" w:type="dxa"/>
            <w:gridSpan w:val="3"/>
            <w:tcBorders/>
            <w:tcMar>
              <w:start w:w="108" w:type="dxa"/>
              <w:end w:w="108" w:type="dxa"/>
            </w:tcMar>
          </w:tcPr>
          <w:p>
            <w:pPr>
              <w:pStyle w:val="DLJTitle"/>
              <w:snapToGrid w:val="false"/>
              <w:jc w:val="center"/>
              <w:rPr>
                <w:rFonts w:ascii="Arial" w:hAnsi="Arial" w:cs="Arial"/>
                <w:sz w:val="18"/>
              </w:rPr>
            </w:pPr>
            <w:r>
              <w:rPr>
                <w:rFonts w:cs="Arial" w:ascii="Arial" w:hAnsi="Arial"/>
                <w:sz w:val="18"/>
              </w:rPr>
            </w:r>
          </w:p>
        </w:tc>
        <w:tc>
          <w:tcPr>
            <w:tcW w:w="2520" w:type="dxa"/>
            <w:gridSpan w:val="3"/>
            <w:tcBorders/>
            <w:tcMar>
              <w:start w:w="108" w:type="dxa"/>
              <w:end w:w="108" w:type="dxa"/>
            </w:tcMar>
          </w:tcPr>
          <w:p>
            <w:pPr>
              <w:pStyle w:val="BodyText"/>
              <w:snapToGrid w:val="false"/>
              <w:spacing w:before="0" w:after="120"/>
              <w:jc w:val="center"/>
              <w:rPr>
                <w:rFonts w:ascii="Arial" w:hAnsi="Arial" w:cs="Arial"/>
                <w:sz w:val="18"/>
              </w:rPr>
            </w:pPr>
            <w:r>
              <w:rPr>
                <w:rFonts w:cs="Arial" w:ascii="Arial" w:hAnsi="Arial"/>
                <w:sz w:val="18"/>
              </w:rPr>
            </w:r>
          </w:p>
        </w:tc>
        <w:tc>
          <w:tcPr>
            <w:tcW w:w="216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8"/>
              </w:rPr>
            </w:pPr>
            <w:r>
              <w:rPr>
                <w:rFonts w:cs="Arial" w:ascii="Arial" w:hAnsi="Arial"/>
                <w:kern w:val="2"/>
                <w:sz w:val="18"/>
              </w:rPr>
            </w:r>
          </w:p>
        </w:tc>
        <w:tc>
          <w:tcPr>
            <w:tcW w:w="1243" w:type="dxa"/>
            <w:tcBorders/>
          </w:tcPr>
          <w:p>
            <w:pPr>
              <w:pStyle w:val="Normal"/>
              <w:snapToGrid w:val="false"/>
              <w:spacing w:before="0" w:after="120"/>
              <w:rPr>
                <w:rFonts w:ascii="Arial" w:hAnsi="Arial" w:cs="Arial"/>
                <w:kern w:val="2"/>
              </w:rPr>
            </w:pPr>
            <w:r>
              <w:rPr>
                <w:rFonts w:cs="Arial" w:ascii="Arial" w:hAnsi="Arial"/>
                <w:kern w:val="2"/>
              </w:rPr>
            </w:r>
          </w:p>
        </w:tc>
      </w:tr>
      <w:tr>
        <w:trPr/>
        <w:tc>
          <w:tcPr>
            <w:tcW w:w="1098" w:type="dxa"/>
            <w:tcBorders/>
          </w:tcPr>
          <w:p>
            <w:pPr>
              <w:pStyle w:val="TableContents"/>
              <w:spacing w:before="0" w:after="120"/>
              <w:rPr>
                <w:rFonts w:ascii="Arial" w:hAnsi="Arial" w:cs="Arial"/>
                <w:kern w:val="2"/>
              </w:rPr>
            </w:pPr>
            <w:r>
              <w:rPr>
                <w:rFonts w:cs="Arial" w:ascii="Arial" w:hAnsi="Arial"/>
                <w:kern w:val="2"/>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rPr>
            </w:pPr>
            <w:r>
              <w:rPr>
                <w:rFonts w:cs="Arial" w:ascii="Arial" w:hAnsi="Arial"/>
                <w:kern w:val="2"/>
              </w:rPr>
            </w:r>
          </w:p>
        </w:tc>
        <w:tc>
          <w:tcPr>
            <w:tcW w:w="2520" w:type="dxa"/>
            <w:gridSpan w:val="3"/>
            <w:tcBorders/>
            <w:tcMar>
              <w:start w:w="108" w:type="dxa"/>
              <w:end w:w="108" w:type="dxa"/>
            </w:tcMar>
          </w:tcPr>
          <w:p>
            <w:pPr>
              <w:pStyle w:val="BodyText"/>
              <w:snapToGrid w:val="false"/>
              <w:spacing w:before="0" w:after="120"/>
              <w:jc w:val="center"/>
              <w:rPr>
                <w:rFonts w:ascii="Arial" w:hAnsi="Arial" w:cs="Arial"/>
                <w:kern w:val="2"/>
                <w:sz w:val="18"/>
              </w:rPr>
            </w:pPr>
            <w:r>
              <w:rPr>
                <w:rFonts w:cs="Arial" w:ascii="Arial" w:hAnsi="Arial"/>
                <w:kern w:val="2"/>
                <w:sz w:val="18"/>
              </w:rPr>
            </w:r>
          </w:p>
        </w:tc>
        <w:tc>
          <w:tcPr>
            <w:tcW w:w="216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8"/>
              </w:rPr>
            </w:pPr>
            <w:r>
              <w:rPr>
                <w:rFonts w:cs="Arial" w:ascii="Arial" w:hAnsi="Arial"/>
                <w:kern w:val="2"/>
                <w:sz w:val="18"/>
              </w:rPr>
            </w:r>
          </w:p>
        </w:tc>
        <w:tc>
          <w:tcPr>
            <w:tcW w:w="1243" w:type="dxa"/>
            <w:tcBorders/>
          </w:tcPr>
          <w:p>
            <w:pPr>
              <w:pStyle w:val="Normal"/>
              <w:snapToGrid w:val="false"/>
              <w:spacing w:before="0" w:after="120"/>
              <w:rPr>
                <w:rFonts w:ascii="Arial" w:hAnsi="Arial" w:cs="Arial"/>
                <w:kern w:val="2"/>
              </w:rPr>
            </w:pPr>
            <w:r>
              <w:rPr>
                <w:rFonts w:cs="Arial" w:ascii="Arial" w:hAnsi="Arial"/>
                <w:kern w:val="2"/>
              </w:rPr>
            </w:r>
          </w:p>
        </w:tc>
      </w:tr>
      <w:tr>
        <w:trPr/>
        <w:tc>
          <w:tcPr>
            <w:tcW w:w="1762" w:type="dxa"/>
            <w:gridSpan w:val="2"/>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r>
      <w:tr>
        <w:trPr/>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6"/>
              </w:rPr>
            </w:pPr>
            <w:r>
              <w:rPr>
                <w:rFonts w:cs="Arial" w:ascii="Arial" w:hAnsi="Arial"/>
                <w:kern w:val="2"/>
                <w:sz w:val="16"/>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rPr>
            </w:pPr>
            <w:r>
              <w:rPr>
                <w:rFonts w:cs="Arial" w:ascii="Arial" w:hAnsi="Arial"/>
                <w:kern w:val="2"/>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b/>
                <w:kern w:val="2"/>
              </w:rPr>
            </w:pPr>
            <w:r>
              <w:rPr>
                <w:rFonts w:cs="Arial" w:ascii="Arial" w:hAnsi="Arial"/>
                <w:b/>
                <w:kern w:val="2"/>
              </w:rPr>
            </w:r>
          </w:p>
        </w:tc>
        <w:tc>
          <w:tcPr>
            <w:tcW w:w="2340" w:type="dxa"/>
            <w:gridSpan w:val="2"/>
            <w:tcBorders/>
            <w:tcMar>
              <w:start w:w="108" w:type="dxa"/>
              <w:end w:w="108" w:type="dxa"/>
            </w:tcMar>
          </w:tcPr>
          <w:p>
            <w:pPr>
              <w:pStyle w:val="DLJPhone"/>
              <w:snapToGrid w:val="false"/>
              <w:spacing w:lineRule="atLeast" w:line="200" w:before="0" w:after="0"/>
              <w:jc w:val="center"/>
              <w:rPr>
                <w:rFonts w:ascii="Arial" w:hAnsi="Arial" w:cs="Arial"/>
                <w:b/>
              </w:rPr>
            </w:pPr>
            <w:r>
              <w:rPr>
                <w:rFonts w:cs="Arial" w:ascii="Arial" w:hAnsi="Arial"/>
                <w:b/>
              </w:rPr>
            </w:r>
          </w:p>
        </w:tc>
      </w:tr>
    </w:tbl>
    <w:p>
      <w:pPr>
        <w:sectPr>
          <w:headerReference w:type="default" r:id="rId3"/>
          <w:headerReference w:type="first" r:id="rId4"/>
          <w:footerReference w:type="default" r:id="rId5"/>
          <w:footerReference w:type="first" r:id="rId6"/>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numPr>
          <w:ilvl w:val="0"/>
          <w:numId w:val="0"/>
        </w:numPr>
        <w:spacing w:before="0" w:after="120"/>
        <w:ind w:hanging="0" w:start="-720"/>
        <w:outlineLvl w:val="0"/>
        <w:rPr>
          <w:rFonts w:ascii="Arial" w:hAnsi="Arial" w:cs="Arial"/>
        </w:rPr>
      </w:pPr>
      <w:r>
        <w:rPr>
          <w:rFonts w:cs="Arial" w:ascii="Arial" w:hAnsi="Arial"/>
        </w:rPr>
        <w:t>Table of Contents  [TO BE REVISED]</w:t>
      </w:r>
    </w:p>
    <w:p>
      <w:pPr>
        <w:pStyle w:val="TOC1"/>
        <w:keepNext w:val="false"/>
        <w:keepLines w:val="false"/>
        <w:widowControl w:val="false"/>
        <w:numPr>
          <w:ilvl w:val="0"/>
          <w:numId w:val="0"/>
        </w:numPr>
        <w:tabs>
          <w:tab w:val="left" w:pos="403" w:leader="none"/>
          <w:tab w:val="left" w:pos="605" w:leader="none"/>
          <w:tab w:val="right" w:pos="8280" w:leader="none"/>
          <w:tab w:val="right" w:pos="8496" w:leader="none"/>
        </w:tabs>
        <w:ind w:hanging="0" w:start="0"/>
        <w:rPr>
          <w:rFonts w:ascii="Arial" w:hAnsi="Arial" w:cs="Arial"/>
        </w:rPr>
      </w:pPr>
      <w:r>
        <w:rPr>
          <w:rFonts w:cs="Arial" w:ascii="Arial" w:hAnsi="Arial"/>
        </w:rPr>
        <w:t>I.</w:t>
      </w:r>
    </w:p>
    <w:sdt>
      <w:sdtPr>
        <w:docPartObj>
          <w:docPartGallery w:val="Table of Contents"/>
          <w:docPartUnique w:val="true"/>
        </w:docPartObj>
      </w:sdtPr>
      <w:sdtContent>
        <w:p>
          <w:pPr>
            <w:pStyle w:val="TOC1"/>
            <w:keepNext w:val="false"/>
            <w:keepLines w:val="false"/>
            <w:widowControl w:val="false"/>
            <w:numPr>
              <w:ilvl w:val="0"/>
              <w:numId w:val="0"/>
            </w:numPr>
            <w:tabs>
              <w:tab w:val="left" w:pos="403" w:leader="none"/>
              <w:tab w:val="left" w:pos="605" w:leader="none"/>
              <w:tab w:val="right" w:pos="8280" w:leader="none"/>
              <w:tab w:val="right" w:pos="8496" w:leader="none"/>
            </w:tabs>
            <w:ind w:hanging="0" w:start="0"/>
            <w:rPr>
              <w:rFonts w:ascii="Arial" w:hAnsi="Arial" w:cs="Arial"/>
            </w:rPr>
          </w:pPr>
          <w:r>
            <w:fldChar w:fldCharType="begin"/>
          </w:r>
          <w:r>
            <w:rPr>
              <w:rFonts w:cs="Arial" w:ascii="Arial" w:hAnsi="Arial"/>
            </w:rPr>
            <w:instrText xml:space="preserve"> TOC \o "1-4" </w:instrText>
          </w:r>
          <w:r>
            <w:rPr>
              <w:rFonts w:cs="Arial" w:ascii="Arial" w:hAnsi="Arial"/>
            </w:rPr>
            <w:fldChar w:fldCharType="separate"/>
          </w:r>
          <w:r>
            <w:rPr>
              <w:rFonts w:cs="Arial" w:ascii="Arial" w:hAnsi="Arial"/>
            </w:rPr>
            <w:tab/>
            <w:t>Executive Summary</w:t>
            <w:tab/>
            <w:t>1</w:t>
          </w:r>
        </w:p>
        <w:p>
          <w:pPr>
            <w:pStyle w:val="Normal"/>
            <w:spacing w:before="0" w:after="0"/>
            <w:rPr>
              <w:rFonts w:ascii="Arial" w:hAnsi="Arial" w:cs="Arial"/>
            </w:rPr>
          </w:pPr>
          <w:r>
            <w:rPr>
              <w:rFonts w:cs="Arial" w:ascii="Arial" w:hAnsi="Arial"/>
            </w:rPr>
            <w:t>A. Overview</w:t>
            <w:tab/>
            <w:tab/>
            <w:tab/>
            <w:tab/>
            <w:tab/>
            <w:tab/>
            <w:tab/>
            <w:tab/>
            <w:tab/>
            <w:t xml:space="preserve">   1</w:t>
          </w:r>
        </w:p>
        <w:p>
          <w:pPr>
            <w:pStyle w:val="BodyText"/>
            <w:spacing w:before="0" w:after="0"/>
            <w:rPr>
              <w:rFonts w:ascii="Arial" w:hAnsi="Arial" w:cs="Arial"/>
            </w:rPr>
          </w:pPr>
          <w:r>
            <w:rPr>
              <w:rFonts w:cs="Arial" w:ascii="Arial" w:hAnsi="Arial"/>
            </w:rPr>
            <w:t>B.  The Project</w:t>
            <w:tab/>
            <w:tab/>
            <w:tab/>
            <w:tab/>
            <w:tab/>
            <w:tab/>
            <w:tab/>
            <w:tab/>
            <w:t xml:space="preserve">   1</w:t>
          </w:r>
        </w:p>
        <w:p>
          <w:pPr>
            <w:pStyle w:val="TOC1"/>
            <w:numPr>
              <w:ilvl w:val="0"/>
              <w:numId w:val="0"/>
            </w:numPr>
            <w:ind w:hanging="0" w:start="0"/>
            <w:rPr>
              <w:rFonts w:ascii="Arial" w:hAnsi="Arial" w:cs="Arial"/>
            </w:rPr>
          </w:pPr>
          <w:r>
            <w:rPr>
              <w:rFonts w:cs="Arial" w:ascii="Arial" w:hAnsi="Arial"/>
            </w:rPr>
            <w:t>II.    Key Success Factors</w:t>
          </w:r>
        </w:p>
        <w:p>
          <w:pPr>
            <w:pStyle w:val="TOC1"/>
            <w:numPr>
              <w:ilvl w:val="0"/>
              <w:numId w:val="0"/>
            </w:numPr>
            <w:ind w:hanging="0" w:start="0"/>
            <w:rPr>
              <w:rFonts w:ascii="Arial" w:hAnsi="Arial" w:cs="Arial"/>
            </w:rPr>
          </w:pPr>
          <w:r>
            <w:rPr>
              <w:rFonts w:cs="Arial" w:ascii="Arial" w:hAnsi="Arial"/>
            </w:rPr>
            <w:t>III.   Process Schedule</w:t>
          </w:r>
        </w:p>
        <w:p>
          <w:pPr>
            <w:pStyle w:val="TOC1"/>
            <w:numPr>
              <w:ilvl w:val="0"/>
              <w:numId w:val="0"/>
            </w:numPr>
            <w:ind w:hanging="0" w:start="0"/>
            <w:rPr>
              <w:rFonts w:ascii="Arial" w:hAnsi="Arial" w:cs="Arial"/>
            </w:rPr>
          </w:pPr>
          <w:r>
            <w:rPr>
              <w:rFonts w:cs="Arial" w:ascii="Arial" w:hAnsi="Arial"/>
            </w:rPr>
            <w:t>II.</w:t>
            <w:tab/>
            <w:t>Las Vegas Cogeneration, Limited Partnership</w:t>
            <w:tab/>
            <w:t>2</w:t>
          </w:r>
        </w:p>
        <w:p>
          <w:pPr>
            <w:pStyle w:val="TOC2"/>
            <w:ind w:start="0" w:end="0"/>
            <w:rPr>
              <w:rFonts w:ascii="Arial" w:hAnsi="Arial" w:cs="Arial"/>
            </w:rPr>
          </w:pPr>
          <w:r>
            <w:rPr>
              <w:rFonts w:cs="Arial" w:ascii="Arial" w:hAnsi="Arial"/>
            </w:rPr>
            <w:t>A.  Project Description</w:t>
            <w:tab/>
          </w:r>
          <w:hyperlink w:anchor="__RefHeading___Toc483025968">
            <w:r>
              <w:rPr>
                <w:rStyle w:val="IndexLink"/>
                <w:rFonts w:cs="Arial" w:ascii="Arial" w:hAnsi="Arial"/>
                <w:lang w:val="en-CA"/>
              </w:rPr>
              <w:t>4</w:t>
            </w:r>
          </w:hyperlink>
        </w:p>
        <w:p>
          <w:pPr>
            <w:pStyle w:val="TOC3"/>
            <w:ind w:start="0" w:end="0"/>
            <w:rPr>
              <w:rFonts w:ascii="Arial" w:hAnsi="Arial" w:cs="Arial"/>
            </w:rPr>
          </w:pPr>
          <w:r>
            <w:rPr>
              <w:rFonts w:cs="Arial" w:ascii="Arial" w:hAnsi="Arial"/>
            </w:rPr>
            <w:t>B.Technical Description</w:t>
            <w:tab/>
          </w:r>
          <w:hyperlink w:anchor="__RefHeading___Toc483025970">
            <w:r>
              <w:rPr>
                <w:rStyle w:val="IndexLink"/>
                <w:rFonts w:cs="Arial" w:ascii="Arial" w:hAnsi="Arial"/>
              </w:rPr>
              <w:t>5</w:t>
            </w:r>
          </w:hyperlink>
        </w:p>
        <w:p>
          <w:pPr>
            <w:pStyle w:val="TOC4"/>
            <w:ind w:start="0" w:end="0"/>
            <w:rPr>
              <w:rFonts w:ascii="Arial" w:hAnsi="Arial" w:cs="Arial"/>
            </w:rPr>
          </w:pPr>
          <w:r>
            <w:rPr>
              <w:rFonts w:cs="Arial" w:ascii="Arial" w:hAnsi="Arial"/>
            </w:rPr>
            <w:t>2.1</w:t>
            <w:tab/>
            <w:t>Equipment</w:t>
            <w:tab/>
          </w:r>
          <w:hyperlink w:anchor="__RefHeading___Toc483025971">
            <w:r>
              <w:rPr>
                <w:rStyle w:val="IndexLink"/>
                <w:rFonts w:cs="Arial" w:ascii="Arial" w:hAnsi="Arial"/>
                <w:lang w:val="en-CA"/>
              </w:rPr>
              <w:t>5</w:t>
            </w:r>
          </w:hyperlink>
        </w:p>
        <w:p>
          <w:pPr>
            <w:pStyle w:val="TOC4"/>
            <w:ind w:start="0" w:end="0"/>
            <w:rPr>
              <w:rFonts w:ascii="Arial" w:hAnsi="Arial" w:cs="Arial"/>
            </w:rPr>
          </w:pPr>
          <w:r>
            <w:rPr>
              <w:rFonts w:cs="Arial" w:ascii="Arial" w:hAnsi="Arial"/>
            </w:rPr>
            <w:t>2.2</w:t>
            <w:tab/>
            <w:t>Capacity</w:t>
            <w:tab/>
          </w:r>
          <w:hyperlink w:anchor="__RefHeading___Toc483025972">
            <w:r>
              <w:rPr>
                <w:rStyle w:val="IndexLink"/>
                <w:rFonts w:cs="Arial" w:ascii="Arial" w:hAnsi="Arial"/>
                <w:b/>
                <w:lang w:val="en-CA"/>
              </w:rPr>
              <w:t>Error! Bookmark not defined.</w:t>
            </w:r>
          </w:hyperlink>
        </w:p>
        <w:p>
          <w:pPr>
            <w:pStyle w:val="TOC3"/>
            <w:ind w:start="0" w:end="0"/>
            <w:rPr>
              <w:rFonts w:ascii="Arial" w:hAnsi="Arial" w:cs="Arial"/>
            </w:rPr>
          </w:pPr>
          <w:r>
            <w:rPr>
              <w:rFonts w:cs="Arial" w:ascii="Arial" w:hAnsi="Arial"/>
            </w:rPr>
            <w:t>C.Contractual Structure</w:t>
            <w:tab/>
          </w:r>
          <w:hyperlink w:anchor="__RefHeading___Toc483025973">
            <w:r>
              <w:rPr>
                <w:rStyle w:val="IndexLink"/>
                <w:rFonts w:cs="Arial" w:ascii="Arial" w:hAnsi="Arial"/>
              </w:rPr>
              <w:t>6</w:t>
            </w:r>
          </w:hyperlink>
        </w:p>
        <w:p>
          <w:pPr>
            <w:pStyle w:val="TOC3"/>
            <w:ind w:start="0" w:end="0"/>
            <w:rPr>
              <w:rFonts w:ascii="Arial" w:hAnsi="Arial" w:cs="Arial"/>
            </w:rPr>
          </w:pPr>
          <w:r>
            <w:rPr>
              <w:rFonts w:cs="Arial" w:ascii="Arial" w:hAnsi="Arial"/>
            </w:rPr>
            <w:t>D.Power Purchase Agreement</w:t>
            <w:tab/>
          </w:r>
          <w:hyperlink w:anchor="__RefHeading___Toc483025974">
            <w:r>
              <w:rPr>
                <w:rStyle w:val="IndexLink"/>
                <w:rFonts w:cs="Arial" w:ascii="Arial" w:hAnsi="Arial"/>
              </w:rPr>
              <w:t>6</w:t>
            </w:r>
          </w:hyperlink>
        </w:p>
        <w:p>
          <w:pPr>
            <w:pStyle w:val="TOC4"/>
            <w:ind w:start="0" w:end="0"/>
            <w:rPr>
              <w:rFonts w:ascii="Arial" w:hAnsi="Arial" w:cs="Arial"/>
            </w:rPr>
          </w:pPr>
          <w:r>
            <w:rPr>
              <w:rFonts w:cs="Arial" w:ascii="Arial" w:hAnsi="Arial"/>
            </w:rPr>
            <w:t>4.1</w:t>
            <w:tab/>
            <w:t>45 MW PPA Principal terms</w:t>
            <w:tab/>
          </w:r>
          <w:hyperlink w:anchor="__RefHeading___Toc483025975">
            <w:r>
              <w:rPr>
                <w:rStyle w:val="IndexLink"/>
                <w:rFonts w:cs="Arial" w:ascii="Arial" w:hAnsi="Arial"/>
                <w:b/>
                <w:lang w:val="en-CA"/>
              </w:rPr>
              <w:t>Error! Bookmark not defined.</w:t>
            </w:r>
          </w:hyperlink>
        </w:p>
        <w:p>
          <w:pPr>
            <w:pStyle w:val="TOC4"/>
            <w:ind w:start="0" w:end="0"/>
            <w:rPr>
              <w:rFonts w:ascii="Arial" w:hAnsi="Arial" w:cs="Arial"/>
            </w:rPr>
          </w:pPr>
          <w:r>
            <w:rPr>
              <w:rFonts w:cs="Arial" w:ascii="Arial" w:hAnsi="Arial"/>
            </w:rPr>
            <w:t>4.2</w:t>
            <w:tab/>
            <w:t>Merchant Sharing Agreement</w:t>
            <w:tab/>
          </w:r>
          <w:hyperlink w:anchor="__RefHeading___Toc483025976">
            <w:r>
              <w:rPr>
                <w:rStyle w:val="IndexLink"/>
                <w:rFonts w:cs="Arial" w:ascii="Arial" w:hAnsi="Arial"/>
                <w:lang w:val="en-CA"/>
              </w:rPr>
              <w:t>8</w:t>
            </w:r>
          </w:hyperlink>
        </w:p>
        <w:p>
          <w:pPr>
            <w:pStyle w:val="TOC4"/>
            <w:ind w:start="0" w:end="0"/>
            <w:rPr>
              <w:rFonts w:ascii="Arial" w:hAnsi="Arial" w:cs="Arial"/>
            </w:rPr>
          </w:pPr>
          <w:r>
            <w:rPr>
              <w:rFonts w:cs="Arial" w:ascii="Arial" w:hAnsi="Arial"/>
            </w:rPr>
            <w:t>4.3</w:t>
            <w:tab/>
            <w:t>EPMI Commodities Services Agreement</w:t>
            <w:tab/>
          </w:r>
          <w:hyperlink w:anchor="__RefHeading___Toc483025977">
            <w:r>
              <w:rPr>
                <w:rStyle w:val="IndexLink"/>
                <w:rFonts w:cs="Arial" w:ascii="Arial" w:hAnsi="Arial"/>
                <w:lang w:val="en-CA"/>
              </w:rPr>
              <w:t>8</w:t>
            </w:r>
          </w:hyperlink>
        </w:p>
        <w:p>
          <w:pPr>
            <w:pStyle w:val="TOC3"/>
            <w:ind w:start="0" w:end="0"/>
            <w:rPr>
              <w:rFonts w:ascii="Arial" w:hAnsi="Arial" w:cs="Arial"/>
            </w:rPr>
          </w:pPr>
          <w:r>
            <w:rPr>
              <w:rFonts w:cs="Arial" w:ascii="Arial" w:hAnsi="Arial"/>
            </w:rPr>
            <w:t>E.Gas Supply and Transportation Agreements</w:t>
            <w:tab/>
          </w:r>
          <w:hyperlink w:anchor="__RefHeading___Toc483025978">
            <w:r>
              <w:rPr>
                <w:rStyle w:val="IndexLink"/>
                <w:rFonts w:cs="Arial" w:ascii="Arial" w:hAnsi="Arial"/>
              </w:rPr>
              <w:t>8</w:t>
            </w:r>
          </w:hyperlink>
        </w:p>
        <w:p>
          <w:pPr>
            <w:pStyle w:val="TOC4"/>
            <w:ind w:start="0" w:end="0"/>
            <w:rPr>
              <w:rFonts w:ascii="Arial" w:hAnsi="Arial" w:cs="Arial"/>
            </w:rPr>
          </w:pPr>
          <w:r>
            <w:rPr>
              <w:rFonts w:cs="Arial" w:ascii="Arial" w:hAnsi="Arial"/>
            </w:rPr>
            <w:t>5.1</w:t>
            <w:tab/>
            <w:t>Primary Gas Supply and Transportation Agreement</w:t>
            <w:tab/>
          </w:r>
          <w:hyperlink w:anchor="__RefHeading___Toc483025979">
            <w:r>
              <w:rPr>
                <w:rStyle w:val="IndexLink"/>
                <w:rFonts w:cs="Arial" w:ascii="Arial" w:hAnsi="Arial"/>
                <w:lang w:val="en-CA"/>
              </w:rPr>
              <w:t>8</w:t>
            </w:r>
          </w:hyperlink>
        </w:p>
        <w:p>
          <w:pPr>
            <w:pStyle w:val="TOC4"/>
            <w:ind w:start="0" w:end="0"/>
            <w:rPr>
              <w:rFonts w:ascii="Arial" w:hAnsi="Arial" w:cs="Arial"/>
            </w:rPr>
          </w:pPr>
          <w:r>
            <w:rPr>
              <w:rFonts w:cs="Arial" w:ascii="Arial" w:hAnsi="Arial"/>
            </w:rPr>
            <w:t>5.2</w:t>
            <w:tab/>
            <w:t>Primary Gas Hedging</w:t>
            <w:tab/>
          </w:r>
          <w:hyperlink w:anchor="__RefHeading___Toc483025980">
            <w:r>
              <w:rPr>
                <w:rStyle w:val="IndexLink"/>
                <w:rFonts w:cs="Arial" w:ascii="Arial" w:hAnsi="Arial"/>
                <w:lang w:val="en-CA"/>
              </w:rPr>
              <w:t>9</w:t>
            </w:r>
          </w:hyperlink>
        </w:p>
        <w:p>
          <w:pPr>
            <w:pStyle w:val="TOC4"/>
            <w:ind w:start="0" w:end="0"/>
            <w:rPr>
              <w:rFonts w:ascii="Arial" w:hAnsi="Arial" w:cs="Arial"/>
            </w:rPr>
          </w:pPr>
          <w:r>
            <w:rPr>
              <w:rFonts w:cs="Arial" w:ascii="Arial" w:hAnsi="Arial"/>
            </w:rPr>
            <w:t>5.3</w:t>
            <w:tab/>
            <w:t>Transportation – Kern River Gas Transmission Company</w:t>
            <w:tab/>
          </w:r>
          <w:hyperlink w:anchor="__RefHeading___Toc483025981">
            <w:r>
              <w:rPr>
                <w:rStyle w:val="IndexLink"/>
                <w:rFonts w:cs="Arial" w:ascii="Arial" w:hAnsi="Arial"/>
                <w:lang w:val="en-CA"/>
              </w:rPr>
              <w:t>10</w:t>
            </w:r>
          </w:hyperlink>
        </w:p>
        <w:p>
          <w:pPr>
            <w:pStyle w:val="TOC4"/>
            <w:ind w:start="0" w:end="0"/>
            <w:rPr>
              <w:rFonts w:ascii="Arial" w:hAnsi="Arial" w:cs="Arial"/>
            </w:rPr>
          </w:pPr>
          <w:r>
            <w:rPr>
              <w:rFonts w:cs="Arial" w:ascii="Arial" w:hAnsi="Arial"/>
            </w:rPr>
            <w:t>5.4</w:t>
            <w:tab/>
            <w:t>Transportation – Southwest Gas Corporation</w:t>
            <w:tab/>
          </w:r>
          <w:hyperlink w:anchor="__RefHeading___Toc483025982">
            <w:r>
              <w:rPr>
                <w:rStyle w:val="IndexLink"/>
                <w:rFonts w:cs="Arial" w:ascii="Arial" w:hAnsi="Arial"/>
                <w:lang w:val="en-CA"/>
              </w:rPr>
              <w:t>10</w:t>
            </w:r>
          </w:hyperlink>
        </w:p>
        <w:p>
          <w:pPr>
            <w:pStyle w:val="TOC4"/>
            <w:ind w:start="0" w:end="0"/>
            <w:rPr>
              <w:rFonts w:ascii="Arial" w:hAnsi="Arial" w:cs="Arial"/>
            </w:rPr>
          </w:pPr>
          <w:r>
            <w:rPr>
              <w:rFonts w:cs="Arial" w:ascii="Arial" w:hAnsi="Arial"/>
            </w:rPr>
            <w:t>5.5</w:t>
            <w:tab/>
            <w:t>Secondary Gas Supply and Transportation Arrangements</w:t>
            <w:tab/>
          </w:r>
          <w:hyperlink w:anchor="__RefHeading___Toc483025983">
            <w:r>
              <w:rPr>
                <w:rStyle w:val="IndexLink"/>
                <w:rFonts w:cs="Arial" w:ascii="Arial" w:hAnsi="Arial"/>
                <w:lang w:val="en-CA"/>
              </w:rPr>
              <w:t>10</w:t>
            </w:r>
          </w:hyperlink>
        </w:p>
        <w:p>
          <w:pPr>
            <w:pStyle w:val="TOC4"/>
            <w:ind w:start="0" w:end="0"/>
            <w:rPr>
              <w:rFonts w:ascii="Arial" w:hAnsi="Arial" w:cs="Arial"/>
            </w:rPr>
          </w:pPr>
          <w:r>
            <w:rPr>
              <w:rFonts w:cs="Arial" w:ascii="Arial" w:hAnsi="Arial"/>
            </w:rPr>
            <w:t>5.6</w:t>
            <w:tab/>
            <w:t>Summary of Fuel Arrangements</w:t>
            <w:tab/>
          </w:r>
          <w:hyperlink w:anchor="__RefHeading___Toc483025984">
            <w:r>
              <w:rPr>
                <w:rStyle w:val="IndexLink"/>
                <w:rFonts w:cs="Arial" w:ascii="Arial" w:hAnsi="Arial"/>
                <w:lang w:val="en-CA"/>
              </w:rPr>
              <w:t>11</w:t>
            </w:r>
          </w:hyperlink>
        </w:p>
        <w:p>
          <w:pPr>
            <w:pStyle w:val="TOC3"/>
            <w:ind w:start="0" w:end="0"/>
            <w:rPr>
              <w:rFonts w:ascii="Arial" w:hAnsi="Arial" w:cs="Arial"/>
            </w:rPr>
          </w:pPr>
          <w:r>
            <w:rPr>
              <w:rFonts w:cs="Arial" w:ascii="Arial" w:hAnsi="Arial"/>
            </w:rPr>
            <w:t>F.Operation &amp; Maintenance Arrangements</w:t>
            <w:tab/>
          </w:r>
          <w:hyperlink w:anchor="__RefHeading___Toc483025986">
            <w:r>
              <w:rPr>
                <w:rStyle w:val="IndexLink"/>
                <w:rFonts w:cs="Arial" w:ascii="Arial" w:hAnsi="Arial"/>
              </w:rPr>
              <w:t>12</w:t>
            </w:r>
          </w:hyperlink>
        </w:p>
        <w:p>
          <w:pPr>
            <w:pStyle w:val="TOC3"/>
            <w:ind w:start="0" w:end="0"/>
            <w:rPr>
              <w:rFonts w:ascii="Arial" w:hAnsi="Arial" w:cs="Arial"/>
            </w:rPr>
          </w:pPr>
          <w:r>
            <w:rPr>
              <w:rFonts w:cs="Arial" w:ascii="Arial" w:hAnsi="Arial"/>
            </w:rPr>
            <w:t>8.Project Insurance</w:t>
            <w:tab/>
          </w:r>
          <w:hyperlink w:anchor="__RefHeading___Toc483025987">
            <w:r>
              <w:rPr>
                <w:rStyle w:val="IndexLink"/>
                <w:rFonts w:cs="Arial" w:ascii="Arial" w:hAnsi="Arial"/>
              </w:rPr>
              <w:t>12</w:t>
            </w:r>
          </w:hyperlink>
        </w:p>
        <w:p>
          <w:pPr>
            <w:pStyle w:val="TOC2"/>
            <w:ind w:start="0" w:end="0"/>
            <w:rPr>
              <w:rFonts w:ascii="Arial" w:hAnsi="Arial" w:cs="Arial"/>
            </w:rPr>
          </w:pPr>
          <w:r>
            <w:rPr>
              <w:rFonts w:cs="Arial" w:ascii="Arial" w:hAnsi="Arial"/>
            </w:rPr>
            <w:t>B. Ownership and Contractual Counterparts</w:t>
            <w:tab/>
          </w:r>
          <w:hyperlink w:anchor="__RefHeading___Toc483025988">
            <w:r>
              <w:rPr>
                <w:rStyle w:val="IndexLink"/>
                <w:rFonts w:cs="Arial" w:ascii="Arial" w:hAnsi="Arial"/>
                <w:lang w:val="en-CA"/>
              </w:rPr>
              <w:t>12</w:t>
            </w:r>
          </w:hyperlink>
        </w:p>
        <w:p>
          <w:pPr>
            <w:pStyle w:val="TOC3"/>
            <w:ind w:start="0" w:end="0"/>
            <w:rPr>
              <w:rFonts w:ascii="Arial" w:hAnsi="Arial" w:cs="Arial"/>
            </w:rPr>
          </w:pPr>
          <w:r>
            <w:rPr>
              <w:rFonts w:cs="Arial" w:ascii="Arial" w:hAnsi="Arial"/>
            </w:rPr>
            <w:t>1.Las Vegas Cogeneration Limited Partnership</w:t>
            <w:tab/>
          </w:r>
          <w:hyperlink w:anchor="__RefHeading___Toc483025989">
            <w:r>
              <w:rPr>
                <w:rStyle w:val="IndexLink"/>
                <w:rFonts w:cs="Arial" w:ascii="Arial" w:hAnsi="Arial"/>
              </w:rPr>
              <w:t>12</w:t>
            </w:r>
          </w:hyperlink>
        </w:p>
        <w:p>
          <w:pPr>
            <w:pStyle w:val="TOC2"/>
            <w:ind w:start="0" w:end="0"/>
            <w:rPr>
              <w:rFonts w:ascii="Arial" w:hAnsi="Arial" w:cs="Arial"/>
            </w:rPr>
          </w:pPr>
          <w:r>
            <w:rPr>
              <w:rFonts w:cs="Arial" w:ascii="Arial" w:hAnsi="Arial"/>
            </w:rPr>
            <w:t>C.  Financing Structure</w:t>
            <w:tab/>
          </w:r>
          <w:hyperlink w:anchor="__RefHeading___Toc483025990">
            <w:r>
              <w:rPr>
                <w:rStyle w:val="IndexLink"/>
                <w:rFonts w:cs="Arial" w:ascii="Arial" w:hAnsi="Arial"/>
                <w:lang w:val="en-CA"/>
              </w:rPr>
              <w:t>13</w:t>
            </w:r>
          </w:hyperlink>
        </w:p>
        <w:p>
          <w:pPr>
            <w:pStyle w:val="TOC3"/>
            <w:ind w:start="0" w:end="0"/>
            <w:rPr>
              <w:rFonts w:ascii="Arial" w:hAnsi="Arial" w:cs="Arial"/>
            </w:rPr>
          </w:pPr>
          <w:r>
            <w:rPr>
              <w:rFonts w:cs="Arial" w:ascii="Arial" w:hAnsi="Arial"/>
            </w:rPr>
            <w:t>1.Total Acquisition Cost and Financial Structure</w:t>
            <w:tab/>
          </w:r>
          <w:hyperlink w:anchor="__RefHeading___Toc483025991">
            <w:r>
              <w:rPr>
                <w:rStyle w:val="IndexLink"/>
                <w:rFonts w:cs="Arial" w:ascii="Arial" w:hAnsi="Arial"/>
                <w:b/>
              </w:rPr>
              <w:t>Error! Bookmark not defined.</w:t>
            </w:r>
          </w:hyperlink>
        </w:p>
        <w:p>
          <w:pPr>
            <w:pStyle w:val="TOC3"/>
            <w:ind w:start="0" w:end="0"/>
            <w:rPr>
              <w:rFonts w:ascii="Arial" w:hAnsi="Arial" w:cs="Arial"/>
            </w:rPr>
          </w:pPr>
          <w:r>
            <w:rPr>
              <w:rFonts w:cs="Arial" w:ascii="Arial" w:hAnsi="Arial"/>
            </w:rPr>
            <w:t>2.Key Terms and Conditions of Senior Debt</w:t>
            <w:tab/>
          </w:r>
          <w:hyperlink w:anchor="__RefHeading___Toc483025992">
            <w:r>
              <w:rPr>
                <w:rStyle w:val="IndexLink"/>
                <w:rFonts w:cs="Arial" w:ascii="Arial" w:hAnsi="Arial"/>
              </w:rPr>
              <w:t>13</w:t>
            </w:r>
          </w:hyperlink>
        </w:p>
        <w:p>
          <w:pPr>
            <w:pStyle w:val="TOC4"/>
            <w:ind w:start="0" w:end="0"/>
            <w:rPr>
              <w:rFonts w:ascii="Arial" w:hAnsi="Arial" w:cs="Arial"/>
            </w:rPr>
          </w:pPr>
          <w:r>
            <w:rPr>
              <w:rFonts w:cs="Arial" w:ascii="Arial" w:hAnsi="Arial"/>
            </w:rPr>
            <w:t>2.1</w:t>
            <w:tab/>
            <w:t>Term Loan</w:t>
            <w:tab/>
          </w:r>
          <w:hyperlink w:anchor="__RefHeading___Toc483025993">
            <w:r>
              <w:rPr>
                <w:rStyle w:val="IndexLink"/>
                <w:rFonts w:cs="Arial" w:ascii="Arial" w:hAnsi="Arial"/>
                <w:lang w:val="en-CA"/>
              </w:rPr>
              <w:t>13</w:t>
            </w:r>
          </w:hyperlink>
        </w:p>
        <w:p>
          <w:pPr>
            <w:pStyle w:val="TOC4"/>
            <w:ind w:start="0" w:end="0"/>
            <w:rPr>
              <w:rFonts w:ascii="Arial" w:hAnsi="Arial" w:cs="Arial"/>
            </w:rPr>
          </w:pPr>
          <w:r>
            <w:rPr>
              <w:rFonts w:cs="Arial" w:ascii="Arial" w:hAnsi="Arial"/>
            </w:rPr>
            <w:t>2.2</w:t>
            <w:tab/>
            <w:t>Standby Letter Of Credit – Southwest Gas</w:t>
            <w:tab/>
          </w:r>
          <w:hyperlink w:anchor="__RefHeading___Toc483025994">
            <w:r>
              <w:rPr>
                <w:rStyle w:val="IndexLink"/>
                <w:rFonts w:cs="Arial" w:ascii="Arial" w:hAnsi="Arial"/>
                <w:lang w:val="en-CA"/>
              </w:rPr>
              <w:t>14</w:t>
            </w:r>
          </w:hyperlink>
        </w:p>
        <w:p>
          <w:pPr>
            <w:pStyle w:val="TOC4"/>
            <w:ind w:start="0" w:end="0"/>
            <w:rPr>
              <w:rFonts w:ascii="Arial" w:hAnsi="Arial" w:cs="Arial"/>
            </w:rPr>
          </w:pPr>
          <w:r>
            <w:rPr>
              <w:rFonts w:cs="Arial" w:ascii="Arial" w:hAnsi="Arial"/>
            </w:rPr>
            <w:t>2.3</w:t>
            <w:tab/>
            <w:t>Standby Letter Of Credit – Duke Fuels</w:t>
            <w:tab/>
          </w:r>
          <w:hyperlink w:anchor="__RefHeading___Toc483025995">
            <w:r>
              <w:rPr>
                <w:rStyle w:val="IndexLink"/>
                <w:rFonts w:cs="Arial" w:ascii="Arial" w:hAnsi="Arial"/>
                <w:lang w:val="en-CA"/>
              </w:rPr>
              <w:t>15</w:t>
            </w:r>
          </w:hyperlink>
        </w:p>
        <w:p>
          <w:pPr>
            <w:pStyle w:val="TOC3"/>
            <w:ind w:start="0" w:end="0"/>
            <w:rPr>
              <w:rFonts w:ascii="Arial" w:hAnsi="Arial" w:cs="Arial"/>
            </w:rPr>
          </w:pPr>
          <w:r>
            <w:rPr>
              <w:rFonts w:cs="Arial" w:ascii="Arial" w:hAnsi="Arial"/>
            </w:rPr>
            <w:t>3.Financial Hedging</w:t>
            <w:tab/>
          </w:r>
          <w:hyperlink w:anchor="__RefHeading___Toc483025996">
            <w:r>
              <w:rPr>
                <w:rStyle w:val="IndexLink"/>
                <w:rFonts w:cs="Arial" w:ascii="Arial" w:hAnsi="Arial"/>
              </w:rPr>
              <w:t>15</w:t>
            </w:r>
          </w:hyperlink>
        </w:p>
        <w:p>
          <w:pPr>
            <w:pStyle w:val="Normal"/>
            <w:rPr>
              <w:rFonts w:ascii="Arial" w:hAnsi="Arial" w:cs="Arial"/>
            </w:rPr>
          </w:pPr>
          <w:r>
            <w:rPr>
              <w:rFonts w:cs="Arial" w:ascii="Arial" w:hAnsi="Arial"/>
            </w:rPr>
            <w:t>D.  Financial Performance and Pro Forma</w:t>
            <w:tab/>
            <w:tab/>
            <w:tab/>
            <w:tab/>
            <w:tab/>
            <w:tab/>
            <w:t xml:space="preserve">  26</w:t>
          </w:r>
        </w:p>
        <w:p>
          <w:pPr>
            <w:pStyle w:val="TOC1"/>
            <w:numPr>
              <w:ilvl w:val="0"/>
              <w:numId w:val="0"/>
            </w:numPr>
            <w:ind w:hanging="0" w:start="0"/>
            <w:rPr>
              <w:rFonts w:ascii="Arial" w:hAnsi="Arial" w:cs="Arial"/>
            </w:rPr>
          </w:pPr>
          <w:r>
            <w:rPr>
              <w:rFonts w:cs="Arial" w:ascii="Arial" w:hAnsi="Arial"/>
            </w:rPr>
            <w:t>III.</w:t>
            <w:tab/>
            <w:t>Las Vegas Cogeneration II, Limited Liability company</w:t>
            <w:tab/>
          </w:r>
          <w:hyperlink w:anchor="__RefHeading___Toc483025997">
            <w:r>
              <w:rPr>
                <w:rStyle w:val="IndexLink"/>
                <w:rFonts w:cs="Arial" w:ascii="Arial" w:hAnsi="Arial"/>
                <w:lang w:val="en-CA"/>
              </w:rPr>
              <w:t>18</w:t>
            </w:r>
          </w:hyperlink>
        </w:p>
        <w:p>
          <w:pPr>
            <w:pStyle w:val="TOC2"/>
            <w:ind w:start="0" w:end="0"/>
            <w:rPr>
              <w:rFonts w:ascii="Arial" w:hAnsi="Arial" w:cs="Arial"/>
            </w:rPr>
          </w:pPr>
          <w:r>
            <w:rPr>
              <w:rFonts w:cs="Arial" w:ascii="Arial" w:hAnsi="Arial"/>
            </w:rPr>
            <w:t>A.Project Description</w:t>
            <w:tab/>
          </w:r>
          <w:hyperlink w:anchor="__RefHeading___Toc483025998">
            <w:r>
              <w:rPr>
                <w:rStyle w:val="IndexLink"/>
                <w:rFonts w:cs="Arial" w:ascii="Arial" w:hAnsi="Arial"/>
                <w:lang w:val="en-CA"/>
              </w:rPr>
              <w:t>18</w:t>
            </w:r>
          </w:hyperlink>
        </w:p>
        <w:p>
          <w:pPr>
            <w:pStyle w:val="TOC3"/>
            <w:ind w:start="0" w:end="0"/>
            <w:rPr>
              <w:rFonts w:ascii="Arial" w:hAnsi="Arial" w:cs="Arial"/>
            </w:rPr>
          </w:pPr>
          <w:r>
            <w:rPr>
              <w:rFonts w:cs="Arial" w:ascii="Arial" w:hAnsi="Arial"/>
            </w:rPr>
            <w:t>1.Location and Project Site</w:t>
            <w:tab/>
          </w:r>
          <w:hyperlink w:anchor="__RefHeading___Toc483025999">
            <w:r>
              <w:rPr>
                <w:rStyle w:val="IndexLink"/>
                <w:rFonts w:cs="Arial" w:ascii="Arial" w:hAnsi="Arial"/>
              </w:rPr>
              <w:t>18</w:t>
            </w:r>
          </w:hyperlink>
        </w:p>
        <w:p>
          <w:pPr>
            <w:pStyle w:val="TOC3"/>
            <w:ind w:start="0" w:end="0"/>
            <w:rPr>
              <w:rFonts w:ascii="Arial" w:hAnsi="Arial" w:cs="Arial"/>
            </w:rPr>
          </w:pPr>
          <w:r>
            <w:rPr>
              <w:rFonts w:cs="Arial" w:ascii="Arial" w:hAnsi="Arial"/>
            </w:rPr>
            <w:t>2.Technical Description</w:t>
            <w:tab/>
          </w:r>
          <w:hyperlink w:anchor="__RefHeading___Toc483026000">
            <w:r>
              <w:rPr>
                <w:rStyle w:val="IndexLink"/>
                <w:rFonts w:cs="Arial" w:ascii="Arial" w:hAnsi="Arial"/>
              </w:rPr>
              <w:t>18</w:t>
            </w:r>
          </w:hyperlink>
        </w:p>
        <w:p>
          <w:pPr>
            <w:pStyle w:val="TOC4"/>
            <w:ind w:start="0" w:end="0"/>
            <w:rPr>
              <w:rFonts w:ascii="Arial" w:hAnsi="Arial" w:cs="Arial"/>
            </w:rPr>
          </w:pPr>
          <w:r>
            <w:rPr>
              <w:rFonts w:cs="Arial" w:ascii="Arial" w:hAnsi="Arial"/>
            </w:rPr>
            <w:t>2.1</w:t>
            <w:tab/>
            <w:t>Equipment</w:t>
            <w:tab/>
          </w:r>
          <w:hyperlink w:anchor="__RefHeading___Toc483026001">
            <w:r>
              <w:rPr>
                <w:rStyle w:val="IndexLink"/>
                <w:rFonts w:cs="Arial" w:ascii="Arial" w:hAnsi="Arial"/>
                <w:lang w:val="en-CA"/>
              </w:rPr>
              <w:t>18</w:t>
            </w:r>
          </w:hyperlink>
        </w:p>
        <w:p>
          <w:pPr>
            <w:pStyle w:val="TOC4"/>
            <w:ind w:start="0" w:end="0"/>
            <w:rPr>
              <w:rFonts w:ascii="Arial" w:hAnsi="Arial" w:cs="Arial"/>
            </w:rPr>
          </w:pPr>
          <w:r>
            <w:rPr>
              <w:rFonts w:cs="Arial" w:ascii="Arial" w:hAnsi="Arial"/>
            </w:rPr>
            <w:t>2.2</w:t>
            <w:tab/>
            <w:t>Capacity</w:t>
            <w:tab/>
          </w:r>
          <w:hyperlink w:anchor="__RefHeading___Toc483026002">
            <w:r>
              <w:rPr>
                <w:rStyle w:val="IndexLink"/>
                <w:rFonts w:cs="Arial" w:ascii="Arial" w:hAnsi="Arial"/>
                <w:lang w:val="en-CA"/>
              </w:rPr>
              <w:t>18</w:t>
            </w:r>
          </w:hyperlink>
        </w:p>
        <w:p>
          <w:pPr>
            <w:pStyle w:val="TOC3"/>
            <w:ind w:start="0" w:end="0"/>
            <w:rPr>
              <w:rFonts w:ascii="Arial" w:hAnsi="Arial" w:cs="Arial"/>
            </w:rPr>
          </w:pPr>
          <w:r>
            <w:rPr>
              <w:rFonts w:cs="Arial" w:ascii="Arial" w:hAnsi="Arial"/>
            </w:rPr>
            <w:t>3.Permits and Environmental</w:t>
            <w:tab/>
          </w:r>
          <w:hyperlink w:anchor="__RefHeading___Toc483026003">
            <w:r>
              <w:rPr>
                <w:rStyle w:val="IndexLink"/>
                <w:rFonts w:cs="Arial" w:ascii="Arial" w:hAnsi="Arial"/>
              </w:rPr>
              <w:t>18</w:t>
            </w:r>
          </w:hyperlink>
        </w:p>
        <w:p>
          <w:pPr>
            <w:pStyle w:val="TOC3"/>
            <w:ind w:start="0" w:end="0"/>
            <w:rPr>
              <w:rFonts w:ascii="Arial" w:hAnsi="Arial" w:cs="Arial"/>
            </w:rPr>
          </w:pPr>
          <w:r>
            <w:rPr>
              <w:rFonts w:cs="Arial" w:ascii="Arial" w:hAnsi="Arial"/>
            </w:rPr>
            <w:t>4.Interconnection and Transmission</w:t>
            <w:tab/>
          </w:r>
          <w:hyperlink w:anchor="__RefHeading___Toc483026004">
            <w:r>
              <w:rPr>
                <w:rStyle w:val="IndexLink"/>
                <w:rFonts w:cs="Arial" w:ascii="Arial" w:hAnsi="Arial"/>
              </w:rPr>
              <w:t>19</w:t>
            </w:r>
          </w:hyperlink>
        </w:p>
        <w:p>
          <w:pPr>
            <w:pStyle w:val="TOC3"/>
            <w:ind w:start="0" w:end="0"/>
            <w:rPr>
              <w:rFonts w:ascii="Arial" w:hAnsi="Arial" w:cs="Arial"/>
            </w:rPr>
          </w:pPr>
          <w:r>
            <w:rPr>
              <w:rFonts w:cs="Arial" w:ascii="Arial" w:hAnsi="Arial"/>
            </w:rPr>
            <w:t>5.Contractual Structure</w:t>
            <w:tab/>
          </w:r>
          <w:hyperlink w:anchor="__RefHeading___Toc483026005">
            <w:r>
              <w:rPr>
                <w:rStyle w:val="IndexLink"/>
                <w:rFonts w:cs="Arial" w:ascii="Arial" w:hAnsi="Arial"/>
              </w:rPr>
              <w:t>20</w:t>
            </w:r>
          </w:hyperlink>
        </w:p>
        <w:p>
          <w:pPr>
            <w:pStyle w:val="TOC3"/>
            <w:ind w:start="0" w:end="0"/>
            <w:rPr>
              <w:rFonts w:ascii="Arial" w:hAnsi="Arial" w:cs="Arial"/>
            </w:rPr>
          </w:pPr>
          <w:r>
            <w:rPr>
              <w:rFonts w:cs="Arial" w:ascii="Arial" w:hAnsi="Arial"/>
            </w:rPr>
            <w:t>6.Energy Sale Agreements</w:t>
            <w:tab/>
          </w:r>
          <w:hyperlink w:anchor="__RefHeading___Toc483026006">
            <w:r>
              <w:rPr>
                <w:rStyle w:val="IndexLink"/>
                <w:rFonts w:cs="Arial" w:ascii="Arial" w:hAnsi="Arial"/>
                <w:b/>
              </w:rPr>
              <w:t>Error! Bookmark not defined.</w:t>
            </w:r>
          </w:hyperlink>
        </w:p>
        <w:p>
          <w:pPr>
            <w:pStyle w:val="TOC3"/>
            <w:ind w:start="0" w:end="0"/>
            <w:rPr>
              <w:rFonts w:ascii="Arial" w:hAnsi="Arial" w:cs="Arial"/>
            </w:rPr>
          </w:pPr>
          <w:r>
            <w:rPr>
              <w:rFonts w:cs="Arial" w:ascii="Arial" w:hAnsi="Arial"/>
            </w:rPr>
            <w:t>7.Gas Supply and Transportation Arrangements</w:t>
            <w:tab/>
          </w:r>
          <w:hyperlink w:anchor="__RefHeading___Toc483026007">
            <w:r>
              <w:rPr>
                <w:rStyle w:val="IndexLink"/>
                <w:rFonts w:cs="Arial" w:ascii="Arial" w:hAnsi="Arial"/>
                <w:b/>
              </w:rPr>
              <w:t>Error! Bookmark not defined.</w:t>
            </w:r>
          </w:hyperlink>
        </w:p>
        <w:p>
          <w:pPr>
            <w:pStyle w:val="TOC3"/>
            <w:ind w:start="0" w:end="0"/>
            <w:rPr>
              <w:rFonts w:ascii="Arial" w:hAnsi="Arial" w:cs="Arial"/>
            </w:rPr>
          </w:pPr>
          <w:r>
            <w:rPr>
              <w:rFonts w:cs="Arial" w:ascii="Arial" w:hAnsi="Arial"/>
            </w:rPr>
            <w:t>8.Operations &amp; Maintenance Agreements</w:t>
            <w:tab/>
          </w:r>
          <w:hyperlink w:anchor="__RefHeading___Toc483026008">
            <w:r>
              <w:rPr>
                <w:rStyle w:val="IndexLink"/>
                <w:rFonts w:cs="Arial" w:ascii="Arial" w:hAnsi="Arial"/>
              </w:rPr>
              <w:t>20</w:t>
            </w:r>
          </w:hyperlink>
        </w:p>
        <w:p>
          <w:pPr>
            <w:pStyle w:val="TOC3"/>
            <w:ind w:start="0" w:end="0"/>
            <w:rPr>
              <w:rFonts w:ascii="Arial" w:hAnsi="Arial" w:cs="Arial"/>
            </w:rPr>
          </w:pPr>
          <w:r>
            <w:rPr>
              <w:rFonts w:cs="Arial" w:ascii="Arial" w:hAnsi="Arial"/>
            </w:rPr>
            <w:t>9.Site opton agreement</w:t>
            <w:tab/>
          </w:r>
          <w:hyperlink w:anchor="__RefHeading___Toc483026009">
            <w:r>
              <w:rPr>
                <w:rStyle w:val="IndexLink"/>
                <w:rFonts w:cs="Arial" w:ascii="Arial" w:hAnsi="Arial"/>
              </w:rPr>
              <w:t>20</w:t>
            </w:r>
          </w:hyperlink>
        </w:p>
        <w:p>
          <w:pPr>
            <w:pStyle w:val="TOC3"/>
            <w:tabs>
              <w:tab w:val="left" w:pos="1000" w:leader="none"/>
              <w:tab w:val="right" w:pos="8280" w:leader="none"/>
              <w:tab w:val="right" w:pos="8496" w:leader="none"/>
            </w:tabs>
            <w:ind w:start="0" w:end="0"/>
            <w:rPr>
              <w:rFonts w:ascii="Arial" w:hAnsi="Arial" w:cs="Arial"/>
            </w:rPr>
          </w:pPr>
          <w:r>
            <w:rPr>
              <w:rFonts w:cs="Arial" w:ascii="Arial" w:hAnsi="Arial"/>
            </w:rPr>
            <w:t>10Estimated Timetable</w:t>
            <w:tab/>
          </w:r>
          <w:hyperlink w:anchor="__RefHeading___Toc483026010">
            <w:r>
              <w:rPr>
                <w:rStyle w:val="IndexLink"/>
                <w:rFonts w:cs="Arial" w:ascii="Arial" w:hAnsi="Arial"/>
              </w:rPr>
              <w:t>21</w:t>
            </w:r>
          </w:hyperlink>
        </w:p>
        <w:p>
          <w:pPr>
            <w:pStyle w:val="TOC3"/>
            <w:tabs>
              <w:tab w:val="left" w:pos="1000" w:leader="none"/>
              <w:tab w:val="right" w:pos="8280" w:leader="none"/>
              <w:tab w:val="right" w:pos="8496" w:leader="none"/>
            </w:tabs>
            <w:ind w:start="0" w:end="0"/>
            <w:rPr>
              <w:rFonts w:ascii="Arial" w:hAnsi="Arial" w:cs="Arial"/>
            </w:rPr>
          </w:pPr>
          <w:r>
            <w:rPr>
              <w:rFonts w:cs="Arial" w:ascii="Arial" w:hAnsi="Arial"/>
            </w:rPr>
            <w:t>11.Total Project Finance Cost</w:t>
            <w:tab/>
          </w:r>
          <w:hyperlink w:anchor="__RefHeading___Toc483026011">
            <w:r>
              <w:rPr>
                <w:rStyle w:val="IndexLink"/>
                <w:rFonts w:cs="Arial" w:ascii="Arial" w:hAnsi="Arial"/>
              </w:rPr>
              <w:t>22</w:t>
            </w:r>
          </w:hyperlink>
        </w:p>
        <w:p>
          <w:pPr>
            <w:pStyle w:val="TOC3"/>
            <w:tabs>
              <w:tab w:val="left" w:pos="1000" w:leader="none"/>
              <w:tab w:val="right" w:pos="8280" w:leader="none"/>
              <w:tab w:val="right" w:pos="8496" w:leader="none"/>
            </w:tabs>
            <w:ind w:start="0" w:end="0"/>
            <w:rPr>
              <w:rFonts w:ascii="Arial" w:hAnsi="Arial" w:cs="Arial"/>
            </w:rPr>
          </w:pPr>
          <w:r>
            <w:rPr>
              <w:rFonts w:cs="Arial" w:ascii="Arial" w:hAnsi="Arial"/>
            </w:rPr>
            <w:t>12.Comparable Installation in WSCC</w:t>
            <w:tab/>
          </w:r>
          <w:hyperlink w:anchor="__RefHeading___Toc483026012">
            <w:r>
              <w:rPr>
                <w:rStyle w:val="IndexLink"/>
                <w:rFonts w:cs="Arial" w:ascii="Arial" w:hAnsi="Arial"/>
                <w:b/>
              </w:rPr>
              <w:t>Error! Bookmark not defined.</w:t>
            </w:r>
          </w:hyperlink>
        </w:p>
        <w:p>
          <w:pPr>
            <w:pStyle w:val="TOC3"/>
            <w:tabs>
              <w:tab w:val="left" w:pos="1000" w:leader="none"/>
              <w:tab w:val="right" w:pos="8280" w:leader="none"/>
              <w:tab w:val="right" w:pos="8496" w:leader="none"/>
            </w:tabs>
            <w:ind w:start="0" w:end="0"/>
            <w:rPr>
              <w:rFonts w:ascii="Arial" w:hAnsi="Arial" w:cs="Arial"/>
            </w:rPr>
          </w:pPr>
          <w:r>
            <w:rPr>
              <w:rFonts w:cs="Arial" w:ascii="Arial" w:hAnsi="Arial"/>
            </w:rPr>
            <w:t>13.Expected Finance Structure</w:t>
            <w:tab/>
          </w:r>
          <w:hyperlink w:anchor="__RefHeading___Toc483026013">
            <w:r>
              <w:rPr>
                <w:rStyle w:val="IndexLink"/>
                <w:rFonts w:cs="Arial" w:ascii="Arial" w:hAnsi="Arial"/>
                <w:b/>
              </w:rPr>
              <w:t>Error! Bookmark not defined.</w:t>
            </w:r>
          </w:hyperlink>
        </w:p>
        <w:p>
          <w:pPr>
            <w:pStyle w:val="TOC1"/>
            <w:keepNext w:val="false"/>
            <w:keepLines w:val="false"/>
            <w:widowControl w:val="false"/>
            <w:numPr>
              <w:ilvl w:val="0"/>
              <w:numId w:val="0"/>
            </w:numPr>
            <w:tabs>
              <w:tab w:val="left" w:pos="403" w:leader="none"/>
              <w:tab w:val="left" w:pos="605" w:leader="none"/>
              <w:tab w:val="right" w:pos="8280" w:leader="none"/>
              <w:tab w:val="right" w:pos="8496" w:leader="none"/>
            </w:tabs>
            <w:ind w:hanging="0" w:start="0"/>
            <w:rPr>
              <w:rFonts w:ascii="Arial" w:hAnsi="Arial" w:cs="Arial"/>
            </w:rPr>
          </w:pPr>
          <w:r>
            <w:rPr>
              <w:rFonts w:cs="Arial" w:ascii="Arial" w:hAnsi="Arial"/>
            </w:rPr>
            <w:t>IV.</w:t>
            <w:tab/>
            <w:t>Market Analysis</w:t>
            <w:tab/>
          </w:r>
          <w:hyperlink w:anchor="__RefHeading___Toc483025963">
            <w:r>
              <w:rPr>
                <w:rStyle w:val="IndexLink"/>
                <w:rFonts w:cs="Arial" w:ascii="Arial" w:hAnsi="Arial"/>
                <w:lang w:val="en-CA"/>
              </w:rPr>
              <w:t>26</w:t>
            </w:r>
          </w:hyperlink>
        </w:p>
        <w:p>
          <w:pPr>
            <w:pStyle w:val="TOC2"/>
            <w:ind w:start="0" w:end="0"/>
            <w:rPr>
              <w:rFonts w:ascii="Arial" w:hAnsi="Arial" w:cs="Arial"/>
            </w:rPr>
          </w:pPr>
          <w:r>
            <w:rPr>
              <w:rFonts w:cs="Arial" w:ascii="Arial" w:hAnsi="Arial"/>
            </w:rPr>
            <w:t>A.Industry Overview</w:t>
            <w:tab/>
          </w:r>
          <w:hyperlink w:anchor="__RefHeading___Toc483025964">
            <w:r>
              <w:rPr>
                <w:rStyle w:val="IndexLink"/>
                <w:rFonts w:cs="Arial" w:ascii="Arial" w:hAnsi="Arial"/>
                <w:lang w:val="en-CA"/>
              </w:rPr>
              <w:t>26</w:t>
            </w:r>
          </w:hyperlink>
        </w:p>
        <w:p>
          <w:pPr>
            <w:pStyle w:val="TOC2"/>
            <w:ind w:start="0" w:end="0"/>
            <w:rPr>
              <w:rFonts w:ascii="Arial" w:hAnsi="Arial" w:cs="Arial"/>
            </w:rPr>
          </w:pPr>
          <w:r>
            <w:rPr>
              <w:rFonts w:cs="Arial" w:ascii="Arial" w:hAnsi="Arial"/>
            </w:rPr>
            <w:t>B.Western Systems Coordination Council</w:t>
            <w:tab/>
          </w:r>
          <w:hyperlink w:anchor="__RefHeading___Toc483025965">
            <w:r>
              <w:rPr>
                <w:rStyle w:val="IndexLink"/>
                <w:rFonts w:cs="Arial" w:ascii="Arial" w:hAnsi="Arial"/>
                <w:lang w:val="en-CA"/>
              </w:rPr>
              <w:t>26</w:t>
            </w:r>
          </w:hyperlink>
        </w:p>
        <w:p>
          <w:pPr>
            <w:pStyle w:val="TOC2"/>
            <w:ind w:start="0" w:end="0"/>
            <w:rPr>
              <w:rFonts w:ascii="Arial" w:hAnsi="Arial" w:cs="Arial"/>
            </w:rPr>
          </w:pPr>
          <w:r>
            <w:rPr>
              <w:rFonts w:cs="Arial" w:ascii="Arial" w:hAnsi="Arial"/>
            </w:rPr>
            <w:t>C.Nevada and California Markets</w:t>
            <w:tab/>
          </w:r>
          <w:hyperlink w:anchor="__RefHeading___Toc483025966">
            <w:r>
              <w:rPr>
                <w:rStyle w:val="IndexLink"/>
                <w:rFonts w:cs="Arial" w:ascii="Arial" w:hAnsi="Arial"/>
                <w:lang w:val="en-CA"/>
              </w:rPr>
              <w:t>29</w:t>
            </w:r>
          </w:hyperlink>
        </w:p>
        <w:p>
          <w:pPr>
            <w:pStyle w:val="TOC1"/>
            <w:numPr>
              <w:ilvl w:val="0"/>
              <w:numId w:val="0"/>
            </w:numPr>
            <w:tabs>
              <w:tab w:val="left" w:pos="403" w:leader="none"/>
              <w:tab w:val="left" w:pos="605" w:leader="none"/>
              <w:tab w:val="right" w:pos="8280" w:leader="none"/>
              <w:tab w:val="right" w:pos="8496" w:leader="none"/>
            </w:tabs>
            <w:ind w:hanging="0" w:start="0"/>
            <w:rPr>
              <w:rFonts w:ascii="Arial" w:hAnsi="Arial" w:cs="Arial"/>
            </w:rPr>
          </w:pPr>
          <w:r>
            <w:rPr>
              <w:rFonts w:cs="Arial" w:ascii="Arial" w:hAnsi="Arial"/>
            </w:rPr>
          </w:r>
        </w:p>
        <w:p>
          <w:pPr>
            <w:pStyle w:val="TOC1"/>
            <w:numPr>
              <w:ilvl w:val="0"/>
              <w:numId w:val="0"/>
            </w:numPr>
            <w:ind w:hanging="0" w:start="0"/>
            <w:rPr>
              <w:rFonts w:ascii="Arial" w:hAnsi="Arial" w:cs="Arial"/>
            </w:rPr>
          </w:pPr>
          <w:r>
            <w:rPr>
              <w:rFonts w:cs="Arial" w:ascii="Arial" w:hAnsi="Arial"/>
            </w:rPr>
            <w:t>V.</w:t>
            <w:tab/>
            <w:t>Appendices</w:t>
            <w:tab/>
          </w:r>
          <w:hyperlink w:anchor="__RefHeading___Toc483026019">
            <w:r>
              <w:rPr>
                <w:rStyle w:val="IndexLink"/>
                <w:rFonts w:cs="Arial" w:ascii="Arial" w:hAnsi="Arial"/>
                <w:b w:val="false"/>
                <w:lang w:val="en-CA"/>
              </w:rPr>
              <w:t>Error! Bookmark not defined.</w:t>
            </w:r>
          </w:hyperlink>
        </w:p>
        <w:p>
          <w:pPr>
            <w:pStyle w:val="TOC2"/>
            <w:ind w:start="0" w:end="0"/>
            <w:rPr>
              <w:rFonts w:ascii="Arial" w:hAnsi="Arial" w:cs="Arial"/>
            </w:rPr>
          </w:pPr>
          <w:r>
            <w:rPr>
              <w:rFonts w:cs="Arial" w:ascii="Arial" w:hAnsi="Arial"/>
            </w:rPr>
            <w:t>A.LVC II Performance Summary</w:t>
            <w:tab/>
          </w:r>
          <w:hyperlink w:anchor="__RefHeading___Toc483026020">
            <w:r>
              <w:rPr>
                <w:rStyle w:val="IndexLink"/>
                <w:rFonts w:cs="Arial" w:ascii="Arial" w:hAnsi="Arial"/>
                <w:b/>
                <w:lang w:val="en-CA"/>
              </w:rPr>
              <w:t>Error! Bookmark not defined.</w:t>
            </w:r>
          </w:hyperlink>
        </w:p>
        <w:p>
          <w:pPr>
            <w:pStyle w:val="TOC2"/>
            <w:ind w:start="0" w:end="0"/>
            <w:rPr>
              <w:rFonts w:ascii="Arial" w:hAnsi="Arial" w:cs="Arial"/>
            </w:rPr>
          </w:pPr>
          <w:r>
            <w:rPr>
              <w:rFonts w:cs="Arial" w:ascii="Arial" w:hAnsi="Arial"/>
            </w:rPr>
            <w:t>B.LVC II Milestone Schedule</w:t>
            <w:tab/>
          </w:r>
          <w:hyperlink w:anchor="__RefHeading___Toc483026021">
            <w:r>
              <w:rPr>
                <w:rStyle w:val="IndexLink"/>
                <w:rFonts w:cs="Arial" w:ascii="Arial" w:hAnsi="Arial"/>
                <w:b/>
                <w:lang w:val="en-CA"/>
              </w:rPr>
              <w:t>Error! Bookmark not defined.</w:t>
            </w:r>
          </w:hyperlink>
        </w:p>
        <w:p>
          <w:pPr>
            <w:pStyle w:val="TOC2"/>
            <w:ind w:start="0" w:end="0"/>
            <w:rPr>
              <w:rFonts w:ascii="Arial" w:hAnsi="Arial" w:cs="Arial"/>
            </w:rPr>
          </w:pPr>
          <w:r>
            <w:rPr>
              <w:rFonts w:cs="Arial" w:ascii="Arial" w:hAnsi="Arial"/>
            </w:rPr>
            <w:t>C.LVC II Control Matrix</w:t>
            <w:tab/>
          </w:r>
          <w:hyperlink w:anchor="__RefHeading___Toc483026022">
            <w:r>
              <w:rPr>
                <w:rStyle w:val="IndexLink"/>
                <w:rFonts w:cs="Arial" w:ascii="Arial" w:hAnsi="Arial"/>
                <w:b/>
                <w:lang w:val="en-CA"/>
              </w:rPr>
              <w:t>Error! Bookmark not defined.</w:t>
            </w:r>
          </w:hyperlink>
          <w:r>
            <w:rPr>
              <w:rStyle w:val="IndexLink"/>
              <w:b/>
              <w:rFonts w:cs="Arial" w:ascii="Arial" w:hAnsi="Arial"/>
              <w:lang w:val="en-CA"/>
            </w:rPr>
            <w:fldChar w:fldCharType="end"/>
          </w:r>
        </w:p>
      </w:sdtContent>
    </w:sdt>
    <w:p>
      <w:pPr>
        <w:sectPr>
          <w:headerReference w:type="default" r:id="rId7"/>
          <w:headerReference w:type="first" r:id="rId8"/>
          <w:footerReference w:type="default" r:id="rId9"/>
          <w:footerReference w:type="first" r:id="rId10"/>
          <w:type w:val="nextPage"/>
          <w:pgSz w:w="12240" w:h="15840"/>
          <w:pgMar w:left="1656" w:right="1440" w:gutter="0" w:header="720" w:top="1440" w:footer="720" w:bottom="1440"/>
          <w:pgNumType w:start="1" w:fmt="lowerRoman"/>
          <w:formProt w:val="false"/>
          <w:textDirection w:val="lrTb"/>
          <w:docGrid w:type="default" w:linePitch="360" w:charSpace="0"/>
        </w:sectPr>
        <w:pStyle w:val="TOC1"/>
        <w:numPr>
          <w:ilvl w:val="0"/>
          <w:numId w:val="0"/>
        </w:numPr>
        <w:ind w:hanging="0" w:start="0"/>
        <w:rPr>
          <w:rFonts w:ascii="Arial" w:hAnsi="Arial" w:cs="Arial"/>
        </w:rPr>
      </w:pPr>
      <w:r>
        <w:rPr>
          <w:rFonts w:cs="Arial" w:ascii="Arial" w:hAnsi="Arial"/>
        </w:rPr>
      </w:r>
    </w:p>
    <w:p>
      <w:pPr>
        <w:pStyle w:val="Heading1"/>
        <w:spacing w:before="0" w:after="240"/>
        <w:ind w:hanging="0" w:start="-720"/>
        <w:rPr>
          <w:rFonts w:ascii="Arial" w:hAnsi="Arial" w:cs="Arial"/>
        </w:rPr>
      </w:pPr>
      <w:r>
        <w:rPr>
          <w:rFonts w:cs="Arial" w:ascii="Arial" w:hAnsi="Arial"/>
        </w:rPr>
        <w:t>Executive Summary</w:t>
      </w:r>
    </w:p>
    <w:p>
      <w:pPr>
        <w:pStyle w:val="BodyText"/>
        <w:rPr>
          <w:rFonts w:ascii="Arial" w:hAnsi="Arial" w:cs="Arial"/>
          <w:b/>
        </w:rPr>
      </w:pPr>
      <w:r>
        <w:rPr>
          <w:rFonts w:cs="Arial" w:ascii="Arial" w:hAnsi="Arial"/>
          <w:b/>
        </w:rPr>
        <w:t>Overview</w:t>
      </w:r>
    </w:p>
    <w:p>
      <w:pPr>
        <w:pStyle w:val="BodyText"/>
        <w:rPr>
          <w:rFonts w:ascii="Arial" w:hAnsi="Arial" w:cs="Arial"/>
        </w:rPr>
      </w:pPr>
      <w:r>
        <w:rPr>
          <w:rFonts w:cs="Arial" w:ascii="Arial" w:hAnsi="Arial"/>
        </w:rPr>
        <w:t>Enron North America (“ENA” or the “Company”), a wholly owned subsidiary of Enron Corp. (“Enron”), and its affiliates, intends to facilitate the sale of 100% of Southwest Power, L.L.C. (SWP), which owns, directly or indirectly, 100% of Las Vegas Cogeneration LP (LVCLP) and Las Vegas Cogeneration II, LLC (LVCII).  LVCLP is a 54 megawatt (“MW”) single-fueled, natural gas-fired combined cycle Qualifying facility (QF) in Las Vegas, Nevada.  LVCII is the expansion of LVCLP, which is currently being developed by ENA.  The expansion effort will be for 230 MW of single-fueled, natural gas-fired combined cycle merchant cogeneration.</w:t>
      </w:r>
    </w:p>
    <w:p>
      <w:pPr>
        <w:pStyle w:val="Normal"/>
        <w:rPr>
          <w:rFonts w:ascii="Arial" w:hAnsi="Arial" w:cs="Arial"/>
          <w:b/>
        </w:rPr>
      </w:pPr>
      <w:r>
        <w:rPr>
          <w:rFonts w:cs="Arial" w:ascii="Arial" w:hAnsi="Arial"/>
          <w:b/>
        </w:rPr>
        <w:t>The Project</w:t>
      </w:r>
    </w:p>
    <w:p>
      <w:pPr>
        <w:pStyle w:val="Normal"/>
        <w:rPr>
          <w:rFonts w:ascii="Arial" w:hAnsi="Arial" w:cs="Arial"/>
          <w:i/>
          <w:i/>
        </w:rPr>
      </w:pPr>
      <w:r>
        <w:rPr>
          <w:rFonts w:cs="Arial" w:ascii="Arial" w:hAnsi="Arial"/>
          <w:i/>
        </w:rPr>
        <w:t xml:space="preserve">QF Facility </w:t>
      </w:r>
    </w:p>
    <w:p>
      <w:pPr>
        <w:pStyle w:val="Normal"/>
        <w:rPr>
          <w:rFonts w:ascii="Arial" w:hAnsi="Arial" w:cs="Arial"/>
        </w:rPr>
      </w:pPr>
      <w:r>
        <w:rPr>
          <w:rFonts w:cs="Arial" w:ascii="Arial" w:hAnsi="Arial"/>
        </w:rPr>
        <w:t xml:space="preserve">As the owner and operator of the 54 MW natural gas fired cogeneration peaking plant located near North Las Vegas, Nevada, LVCLP is currently licensed as a Qualified Facility (“QF”) under the Public Utilities Regulatory Policy Act of 1978 (“PURPA”). As a result of PURPA regulations limiting the ownership of any QF facility that can be controlled by a Utility or Utility Holding Company and certain accounting considerations, ENA established a multi-tiered ownership structure for its investment in SWP and its subsidiaries. Prior to the sale of LVCLP, the structure will be collapsed so that the transfer of the asset will be free and clear.  </w:t>
      </w:r>
    </w:p>
    <w:p>
      <w:pPr>
        <w:pStyle w:val="Normal"/>
        <w:rPr>
          <w:rFonts w:ascii="Arial" w:hAnsi="Arial" w:cs="Arial"/>
        </w:rPr>
      </w:pPr>
      <w:r>
        <w:rPr>
          <w:rFonts w:cs="Arial" w:ascii="Arial" w:hAnsi="Arial"/>
        </w:rPr>
        <w:t>The current Power Purchase Agreement with Nevada Power Corporation (NPC) obligates LVCLP to sell 45 MW during on peak hours. LVCLP completed negotiations with NPC to sell additional capacity including off-peak sales during light-load hours and excess on-peak sales above the 45 MW obligation. The merchant sales, which began in April 2000, is administered under a Commodities Services Agreement between LVCLP and Enron Power Marketing, Inc. (“EPMI”).</w:t>
      </w:r>
    </w:p>
    <w:p>
      <w:pPr>
        <w:pStyle w:val="Normal"/>
        <w:rPr>
          <w:rFonts w:ascii="Arial" w:hAnsi="Arial" w:cs="Arial"/>
          <w:i/>
          <w:i/>
        </w:rPr>
      </w:pPr>
      <w:r>
        <w:rPr>
          <w:rFonts w:cs="Arial" w:ascii="Arial" w:hAnsi="Arial"/>
          <w:i/>
        </w:rPr>
        <w:t>Project Expansion</w:t>
      </w:r>
    </w:p>
    <w:p>
      <w:pPr>
        <w:pStyle w:val="Normal"/>
        <w:rPr/>
      </w:pPr>
      <w:r>
        <w:rPr>
          <w:rFonts w:cs="Arial" w:ascii="Arial" w:hAnsi="Arial"/>
        </w:rPr>
        <w:t xml:space="preserve">Development of an expanded facility has been initiated by a newly formed entity named Las Vegas Cogeneration II, L.L.C. (“LVC II”), which is 100% owned by SWP. The project is to be configured as a 230 MW natural gas-fired power plant consisting of two two-on-one combined cycle units. The project would use four GE LM 6000 PC gas turbines, four Heat Recovery Steam Generators (“HRSGs”), and two steam turbines in a site-optimized configuration. The 230 MW merchant facility would sell into the California PX, Meade and Nevada merchant markets. The anticipated start-up date for this plant is March 2002. </w:t>
      </w:r>
      <w:r>
        <w:rPr>
          <w:rFonts w:cs="Arial" w:ascii="Arial" w:hAnsi="Arial"/>
          <w:highlight w:val="yellow"/>
        </w:rPr>
        <w:t>The estimated total construction cost including IDC, is $156.8 million</w:t>
      </w:r>
      <w:r>
        <w:rPr>
          <w:rFonts w:cs="Arial" w:ascii="Arial" w:hAnsi="Arial"/>
        </w:rPr>
        <w:t xml:space="preserve">. The O&amp;M services would be under a contractual agreement between the existing LVCLP and LVC II. The saving in costs because of the sharing of O&amp;M services and sharing of other resources with the existing facility would make LVCII very competitive in the merchant market. </w:t>
      </w:r>
    </w:p>
    <w:p>
      <w:pPr>
        <w:pStyle w:val="Heading2"/>
        <w:ind w:hanging="0" w:start="-360"/>
        <w:rPr>
          <w:rFonts w:ascii="Arial" w:hAnsi="Arial" w:cs="Arial"/>
        </w:rPr>
      </w:pPr>
      <w:r>
        <w:rPr>
          <w:rFonts w:cs="Arial" w:ascii="Arial" w:hAnsi="Arial"/>
        </w:rPr>
        <w:t>Key Success Factors</w:t>
      </w:r>
    </w:p>
    <w:p>
      <w:pPr>
        <w:pStyle w:val="Normal"/>
        <w:rPr/>
      </w:pPr>
      <w:r>
        <w:rPr>
          <w:rFonts w:cs="Arial" w:ascii="Arial" w:hAnsi="Arial"/>
          <w:b/>
          <w:color w:val="800000"/>
        </w:rPr>
        <w:t>Strategic Location</w:t>
      </w:r>
      <w:r>
        <w:rPr>
          <w:rFonts w:cs="Arial" w:ascii="Arial" w:hAnsi="Arial"/>
        </w:rPr>
        <w:t>. The plant is located in North Las Vegas, Nevada, the fastest growing city in the United States. It is anticipated that the Nevada market will open in November 2000, creating a range of opportunities to sell excess power and ancillary services. Given the projects strategic proximity to Meade, Nevada and California markets, it will have the optionality to sell merchant power into all three markets.</w:t>
      </w:r>
    </w:p>
    <w:p>
      <w:pPr>
        <w:pStyle w:val="Normal"/>
        <w:rPr/>
      </w:pPr>
      <w:r>
        <w:rPr>
          <w:rFonts w:cs="Arial" w:ascii="Arial" w:hAnsi="Arial"/>
          <w:b/>
          <w:color w:val="800000"/>
        </w:rPr>
        <w:t xml:space="preserve">Existing Merchant Capacity Anchored by Existing PPA.  </w:t>
      </w:r>
      <w:r>
        <w:rPr>
          <w:rFonts w:cs="Arial" w:ascii="Arial" w:hAnsi="Arial"/>
        </w:rPr>
        <w:t>LVCLP enjoys the financial stability associated with an anchor PPA and the upside of selling excess megawatts into nearby power markets.</w:t>
      </w:r>
    </w:p>
    <w:p>
      <w:pPr>
        <w:pStyle w:val="Normal"/>
        <w:rPr/>
      </w:pPr>
      <w:r>
        <w:rPr>
          <w:rFonts w:cs="Arial" w:ascii="Arial" w:hAnsi="Arial"/>
          <w:b/>
          <w:color w:val="800000"/>
        </w:rPr>
        <w:t>PPA Restructuring</w:t>
      </w:r>
      <w:r>
        <w:rPr>
          <w:rFonts w:cs="Arial" w:ascii="Arial" w:hAnsi="Arial"/>
        </w:rPr>
        <w:t xml:space="preserve">. ENA has had several conversations with Nevada Power, who has expressed an interest in granting LVCLP delivery point flexibility. Such renegotiation would give LVCLP the optionality to fullfill its obligation under the PPA either through market purchases or self-generation.  </w:t>
      </w:r>
    </w:p>
    <w:p>
      <w:pPr>
        <w:pStyle w:val="Normal"/>
        <w:rPr/>
      </w:pPr>
      <w:r>
        <w:rPr>
          <w:rFonts w:cs="Arial" w:ascii="Arial" w:hAnsi="Arial"/>
          <w:b/>
          <w:color w:val="800000"/>
        </w:rPr>
        <w:t xml:space="preserve">Expansion in Advanced Stage of Development. </w:t>
      </w:r>
      <w:r>
        <w:rPr>
          <w:rFonts w:cs="Arial" w:ascii="Arial" w:hAnsi="Arial"/>
        </w:rPr>
        <w:t xml:space="preserve"> ENA is in the advanced stages of development of LVCII.  LVCII’s Air Permit was deemed complete by the ADCD on June 9, 2000.  ENA expects approval of the Air Permit by November, of 2000. Other applicable local permits and approvals are expected on a similar timetable. Turnkey bids have been submitted and a limited notice to proceed will be issued on September 1, 2000.</w:t>
      </w:r>
    </w:p>
    <w:p>
      <w:pPr>
        <w:pStyle w:val="Normal"/>
        <w:rPr/>
      </w:pPr>
      <w:r>
        <w:rPr>
          <w:rFonts w:cs="Arial" w:ascii="Arial" w:hAnsi="Arial"/>
          <w:b/>
          <w:color w:val="800000"/>
        </w:rPr>
        <w:t xml:space="preserve">Firm Commitment for Turbine Schedule. </w:t>
      </w:r>
      <w:r>
        <w:rPr>
          <w:rFonts w:cs="Arial" w:ascii="Arial" w:hAnsi="Arial"/>
        </w:rPr>
        <w:t xml:space="preserve">The contract for the LM 6000s was signed with GE on </w:t>
      </w:r>
      <w:r>
        <w:rPr>
          <w:rFonts w:cs="Arial" w:ascii="Arial" w:hAnsi="Arial"/>
          <w:highlight w:val="yellow"/>
        </w:rPr>
        <w:t>____</w:t>
      </w:r>
      <w:r>
        <w:rPr>
          <w:rFonts w:cs="Arial" w:ascii="Arial" w:hAnsi="Arial"/>
        </w:rPr>
        <w:t xml:space="preserve"> and they are scheduled for delivery to support a March 2002 commercial operations date. As availability of turbines is expected to be severely limited during the next few years, any project under development without firm rights to equipment is at risk of substantial delays. </w:t>
      </w:r>
    </w:p>
    <w:p>
      <w:pPr>
        <w:pStyle w:val="Normal"/>
        <w:rPr>
          <w:rFonts w:ascii="Arial" w:hAnsi="Arial" w:cs="Arial"/>
          <w:b/>
        </w:rPr>
      </w:pPr>
      <w:r>
        <w:rPr>
          <w:rFonts w:cs="Arial" w:ascii="Arial" w:hAnsi="Arial"/>
          <w:b/>
          <w:color w:val="800000"/>
        </w:rPr>
        <w:t>Significant Barriers to Entry.</w:t>
      </w:r>
      <w:r>
        <w:rPr>
          <w:rFonts w:cs="Arial" w:ascii="Arial" w:hAnsi="Arial"/>
          <w:b/>
        </w:rPr>
        <w:t xml:space="preserve">  </w:t>
      </w:r>
      <w:r>
        <w:rPr>
          <w:rFonts w:cs="Arial" w:ascii="Arial" w:hAnsi="Arial"/>
        </w:rPr>
        <w:t xml:space="preserve">ENA believes that there are significant barriers that confront any potential power plant development in the region, including:  (i) access to water rights, (ii) air quality standards; (iii) access to industrially zoned property and existing transmission interconnections and substations (iv) availability of turbines; and (v) environmental concerns.  The inability to overcome any of these obstacles could prevent or significantly delay competing plants from being constructed or operating as economically.  </w:t>
      </w:r>
    </w:p>
    <w:p>
      <w:pPr>
        <w:pStyle w:val="Normal"/>
        <w:rPr/>
      </w:pPr>
      <w:r>
        <w:rPr>
          <w:rFonts w:cs="Arial" w:ascii="Arial" w:hAnsi="Arial"/>
          <w:b/>
          <w:color w:val="800000"/>
        </w:rPr>
        <w:t xml:space="preserve">Experienced Project Sponsor. </w:t>
      </w:r>
      <w:r>
        <w:rPr>
          <w:rFonts w:cs="Arial" w:ascii="Arial" w:hAnsi="Arial"/>
        </w:rPr>
        <w:t xml:space="preserve"> 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w:t>
      </w:r>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Process Schedule</w:t>
      </w:r>
    </w:p>
    <w:p>
      <w:pPr>
        <w:pStyle w:val="BodyText"/>
        <w:rPr>
          <w:rFonts w:ascii="Arial" w:hAnsi="Arial" w:cs="Arial"/>
        </w:rPr>
      </w:pPr>
      <w:r>
        <w:rPr>
          <w:rFonts w:cs="Arial" w:ascii="Arial" w:hAnsi="Arial"/>
        </w:rPr>
        <w:t>ENA intends to adhere to the following schedule throughout the biding process:</w:t>
      </w:r>
    </w:p>
    <w:p>
      <w:pPr>
        <w:pStyle w:val="BodyText"/>
        <w:rPr/>
      </w:pPr>
      <w:r>
        <w:rPr/>
        <w:t>[The below schedule is representative only.  Since we will not be soliciting all bidders we cannot adhere to this.]</w:t>
      </w:r>
    </w:p>
    <w:tbl>
      <w:tblPr>
        <w:tblW w:w="8712" w:type="dxa"/>
        <w:jc w:val="start"/>
        <w:tblInd w:w="0" w:type="dxa"/>
        <w:tblLayout w:type="fixed"/>
        <w:tblCellMar>
          <w:top w:w="0" w:type="dxa"/>
          <w:start w:w="108" w:type="dxa"/>
          <w:bottom w:w="0" w:type="dxa"/>
          <w:end w:w="108" w:type="dxa"/>
        </w:tblCellMar>
      </w:tblPr>
      <w:tblGrid>
        <w:gridCol w:w="2904"/>
        <w:gridCol w:w="2904"/>
        <w:gridCol w:w="2904"/>
      </w:tblGrid>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Event</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Approximate Date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Description</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Information Memorandum released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August 21,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Presentation of Information Memorandum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Data room review period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Through September 11,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have opportunity to review data supporting Information Memorandum</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Statements of Qualifications and Interests due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12,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non-binding indications of interest</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selected for Stage 2 notified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__,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ENA selects Stage 2 bidders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final bids</w:t>
            </w:r>
          </w:p>
        </w:tc>
        <w:tc>
          <w:tcPr>
            <w:tcW w:w="2904"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rFonts w:ascii="Arial" w:hAnsi="Arial" w:cs="Arial"/>
              </w:rPr>
            </w:pPr>
            <w:r>
              <w:rPr>
                <w:rFonts w:cs="Arial" w:ascii="Arial" w:hAnsi="Arial"/>
              </w:rPr>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binding bids</w:t>
            </w:r>
          </w:p>
        </w:tc>
      </w:tr>
    </w:tbl>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2"/>
        <w:ind w:hanging="0" w:start="-360"/>
        <w:rPr>
          <w:rFonts w:ascii="Arial" w:hAnsi="Arial" w:cs="Arial"/>
          <w:sz w:val="32"/>
        </w:rPr>
      </w:pPr>
      <w:bookmarkStart w:id="0" w:name="__RefHeading___Toc483025968"/>
      <w:r>
        <w:rPr>
          <w:rFonts w:cs="Arial" w:ascii="Arial" w:hAnsi="Arial"/>
          <w:sz w:val="32"/>
        </w:rPr>
        <w:t>Las Vegas Cogeneration, L.P.</w:t>
      </w:r>
    </w:p>
    <w:p>
      <w:pPr>
        <w:pStyle w:val="Heading2"/>
        <w:ind w:hanging="0" w:start="-360"/>
        <w:rPr>
          <w:rFonts w:ascii="Arial" w:hAnsi="Arial" w:cs="Arial"/>
        </w:rPr>
      </w:pPr>
      <w:bookmarkStart w:id="1" w:name="__RefHeading___Toc483025968"/>
      <w:r>
        <w:rPr>
          <w:rFonts w:cs="Arial" w:ascii="Arial" w:hAnsi="Arial"/>
        </w:rPr>
        <w:t>Project Description</w:t>
      </w:r>
      <w:bookmarkEnd w:id="1"/>
    </w:p>
    <w:p>
      <w:pPr>
        <w:pStyle w:val="Normal"/>
        <w:rPr/>
      </w:pPr>
      <w:r>
        <w:rPr>
          <w:rFonts w:cs="Arial" w:ascii="Arial" w:hAnsi="Arial"/>
          <w:b/>
        </w:rPr>
        <w:t>Location and Project Site</w:t>
      </w:r>
      <w:r>
        <w:rPr>
          <w:rFonts w:cs="Arial" w:ascii="Arial" w:hAnsi="Arial"/>
        </w:rPr>
        <w:t>.</w:t>
      </w:r>
    </w:p>
    <w:p>
      <w:pPr>
        <w:pStyle w:val="BodyTextIndent3"/>
        <w:ind w:start="0" w:end="0"/>
        <w:rPr>
          <w:rFonts w:ascii="Arial" w:hAnsi="Arial" w:cs="Arial"/>
        </w:rPr>
      </w:pPr>
      <w:r>
        <w:rPr>
          <w:rFonts w:cs="Arial" w:ascii="Arial" w:hAnsi="Arial"/>
        </w:rPr>
        <w:t>The power plant site occupies approximately 15 acres, and is located in an industrial park setting in the city of North Las Vegas, which is approximately 5 miles north of the center of Las Vegas, Nevada. Interconnections with the local gas transportation company (Southwest Gas Corporation), the power purchaser (Nevada Power Company) and the water supplier (the City of Las Vegas) are all located at the boundaries of the Project site.  The steam host, Sunco, L.L.C. (Sunco), is adjacent to the cogeneration plant.  Sunco owns and operates a 12-acre glass greenhouse that is used exclusively for growing high quality hydroponic tomatoes.  The greenhouse was constructed in 1994 and serves as the thermal host for LVCLP. The Greenhouse facility, including the land, is owned by LVCLP and is leased by Sunco.  Sunco is 100% owned by SWP.  To reduce Sunco’s dependency on steam produced from LVCLP,  Sunco is planning to install package boilers.  The boilers, under the management of LVCLP, would provide the necessary steam for tomato production when LVCLP is not in operation.</w:t>
      </w:r>
    </w:p>
    <w:p>
      <w:pPr>
        <w:pStyle w:val="Normal"/>
        <w:rPr/>
      </w:pPr>
      <w:r>
        <w:rPr>
          <w:rFonts w:cs="Arial" w:ascii="Arial" w:hAnsi="Arial"/>
          <w:b/>
        </w:rPr>
        <w:t>General.</w:t>
      </w:r>
      <w:r>
        <w:rPr>
          <w:rFonts w:cs="Arial" w:ascii="Arial" w:hAnsi="Arial"/>
        </w:rPr>
        <w:t xml:space="preserve">  LVCLP is capable of generating an average of 54 MW and is currently licensed as a QF under PURPA. The plant as a whole is capable of generating an average of 54 MW, and up to 56 MW under the most favorable ambient conditions. Since the maximum capacity and energy that NPC is contracted to take is only 45 MW, the plant has historically operated well within design parameters. Usually the ST generates at or near full load (9.5 MW) and the gas turbine generates about 36 MW (90% of nameplate) for a total gross output of 45.5 MW. The plant consumes a parasitic load of about 0.5 MW, giving a net 45 MW to NPC. Extraction steam from the ST is also used in a heat exchanger to supply hot water to the greenhouse. </w:t>
      </w:r>
    </w:p>
    <w:p>
      <w:pPr>
        <w:pStyle w:val="BodyTextIndent3"/>
        <w:ind w:start="0" w:end="0"/>
        <w:rPr>
          <w:rFonts w:ascii="Arial" w:hAnsi="Arial" w:cs="Arial"/>
        </w:rPr>
      </w:pPr>
      <w:r>
        <w:rPr>
          <w:rFonts w:cs="Arial" w:ascii="Arial" w:hAnsi="Arial"/>
        </w:rPr>
        <w:t xml:space="preserve">The plant is only required to deliver power for 90% of the on-peak periods in order to receive 100% of the capacity payments under the PPA. During the period 1996 through 1998, availability during on-peak periods has averaged 99.2%. Historically, the Project has been operated as a peaking plant, largely because of the nature of the PPA contract which requires operation only during peak hours - 12 continuous hours a day in summer and 13 (5 + 8) hours a day in winter. Merchant operations began in April 2000 with the plant operating during periods outside the hours required to serve NPC under the PPA. Additionally merchant sales were also made during the hours contracted to NPC by using the plant’s capability above the 45MW NPC obligation. These merchant sales are made on a day-ahead basis into the California PX when the market price is above the project’s variable cost of operation (fuel, variable O&amp;M and Transmission); Merchant sale profits are shared with NPC under a Limited Release Agreement. </w:t>
      </w:r>
    </w:p>
    <w:p>
      <w:pPr>
        <w:pStyle w:val="Heading2"/>
        <w:ind w:hanging="0" w:start="-360"/>
        <w:rPr>
          <w:rFonts w:ascii="Arial" w:hAnsi="Arial" w:cs="Arial"/>
        </w:rPr>
      </w:pPr>
      <w:bookmarkStart w:id="2" w:name="__RefHeading___Toc483025970"/>
      <w:bookmarkEnd w:id="2"/>
      <w:r>
        <w:rPr>
          <w:rFonts w:cs="Arial" w:ascii="Arial" w:hAnsi="Arial"/>
        </w:rPr>
        <w:t>Technical Description</w:t>
      </w:r>
    </w:p>
    <w:p>
      <w:pPr>
        <w:pStyle w:val="Heading4"/>
        <w:tabs>
          <w:tab w:val="left" w:pos="720" w:leader="none"/>
        </w:tabs>
        <w:spacing w:before="120" w:after="240"/>
        <w:ind w:hanging="0" w:start="0"/>
        <w:rPr/>
      </w:pPr>
      <w:bookmarkStart w:id="3" w:name="__RefHeading___Toc483025971"/>
      <w:r>
        <w:rPr>
          <w:i w:val="false"/>
          <w:sz w:val="21"/>
        </w:rPr>
        <w:t>Equipment</w:t>
      </w:r>
      <w:bookmarkEnd w:id="3"/>
      <w:r>
        <w:rPr>
          <w:i w:val="false"/>
          <w:sz w:val="21"/>
        </w:rPr>
        <w:t>.</w:t>
      </w:r>
      <w:r>
        <w:rPr/>
        <w:t xml:space="preserve">  </w:t>
      </w:r>
      <w:r>
        <w:rPr>
          <w:b w:val="false"/>
          <w:i w:val="false"/>
          <w:sz w:val="22"/>
        </w:rPr>
        <w:t>The Las Vegas Cogeneration facility is comprised of the following major equipment:</w:t>
      </w:r>
    </w:p>
    <w:p>
      <w:pPr>
        <w:pStyle w:val="Normal"/>
        <w:numPr>
          <w:ilvl w:val="0"/>
          <w:numId w:val="16"/>
        </w:numPr>
        <w:ind w:hanging="360" w:start="720" w:end="0"/>
        <w:rPr>
          <w:rFonts w:ascii="Arial" w:hAnsi="Arial" w:cs="Arial"/>
        </w:rPr>
      </w:pPr>
      <w:r>
        <w:rPr>
          <w:rFonts w:cs="Arial" w:ascii="Arial" w:hAnsi="Arial"/>
        </w:rPr>
        <w:t>General Electric (“GE”) LM 6000 PC aeroderivative combustion gas turbine (“GT”) and generator, rated at 44 MW;</w:t>
      </w:r>
    </w:p>
    <w:p>
      <w:pPr>
        <w:pStyle w:val="Normal"/>
        <w:numPr>
          <w:ilvl w:val="0"/>
          <w:numId w:val="16"/>
        </w:numPr>
        <w:ind w:hanging="360" w:start="720" w:end="0"/>
        <w:rPr>
          <w:rFonts w:ascii="Arial" w:hAnsi="Arial" w:cs="Arial"/>
        </w:rPr>
      </w:pPr>
      <w:r>
        <w:rPr>
          <w:rFonts w:cs="Arial" w:ascii="Arial" w:hAnsi="Arial"/>
        </w:rPr>
        <w:t>Foster Wheeler triple pressure Heat Recovery Steam Generator (“HRSG”); and</w:t>
      </w:r>
    </w:p>
    <w:p>
      <w:pPr>
        <w:pStyle w:val="Normal"/>
        <w:numPr>
          <w:ilvl w:val="0"/>
          <w:numId w:val="16"/>
        </w:numPr>
        <w:ind w:hanging="360" w:start="720" w:end="0"/>
        <w:rPr>
          <w:rFonts w:ascii="Arial" w:hAnsi="Arial" w:cs="Arial"/>
        </w:rPr>
      </w:pPr>
      <w:r>
        <w:rPr>
          <w:rFonts w:cs="Arial" w:ascii="Arial" w:hAnsi="Arial"/>
        </w:rPr>
        <w:t>Dresser-Rand high/intermediate pressure steam turbine (“ST”), driving a net 10 MW generator.</w:t>
      </w:r>
    </w:p>
    <w:p>
      <w:pPr>
        <w:pStyle w:val="Normal"/>
        <w:rPr/>
      </w:pPr>
      <w:r>
        <w:rPr>
          <w:rFonts w:cs="Arial" w:ascii="Arial" w:hAnsi="Arial"/>
          <w:b/>
          <w:sz w:val="21"/>
        </w:rPr>
        <w:t xml:space="preserve">Gas Turbine. </w:t>
      </w:r>
      <w:r>
        <w:rPr>
          <w:rFonts w:cs="Arial" w:ascii="Arial" w:hAnsi="Arial"/>
        </w:rPr>
        <w:t xml:space="preserve"> The LM 6000 is a relatively small machine, based on GE’s jet-engine design, and is therefore well suited to the particular operational demands of a plant that cycles on a frequent basis – in this case, at least daily. In November 1999, LVCLP upgraded its turbine from a LM 6000 PA to a state-of the-art LM 6000 PC. The plant net heat rate has been running at approximately </w:t>
      </w:r>
      <w:r>
        <w:rPr>
          <w:rFonts w:cs="Arial" w:ascii="Arial" w:hAnsi="Arial"/>
          <w:highlight w:val="yellow"/>
        </w:rPr>
        <w:t>8500</w:t>
      </w:r>
      <w:r>
        <w:rPr>
          <w:rFonts w:cs="Arial" w:ascii="Arial" w:hAnsi="Arial"/>
        </w:rPr>
        <w:t xml:space="preserve"> Btu/kWh with the LM 6000 PA machine. Installation of a new LM 6000 PC has lowered the net heat rate by almost 10% to 7,700 Btu/kWh, mainly by increasing nameplate capacity by 4 MW to 54 MW.</w:t>
      </w:r>
    </w:p>
    <w:p>
      <w:pPr>
        <w:pStyle w:val="Normal"/>
        <w:rPr/>
      </w:pPr>
      <w:r>
        <w:rPr>
          <w:rFonts w:cs="Arial" w:ascii="Arial" w:hAnsi="Arial"/>
          <w:b/>
          <w:sz w:val="21"/>
        </w:rPr>
        <w:t>HRSG and Steam Turbine.</w:t>
      </w:r>
      <w:r>
        <w:rPr>
          <w:rFonts w:cs="Arial" w:ascii="Arial" w:hAnsi="Arial"/>
        </w:rPr>
        <w:t xml:space="preserve"> The HRSG and ST are standard, proven equipment, with relatively low technological risk.</w:t>
      </w:r>
    </w:p>
    <w:p>
      <w:pPr>
        <w:pStyle w:val="Normal"/>
        <w:rPr/>
      </w:pPr>
      <w:r>
        <w:rPr>
          <w:rFonts w:cs="Arial" w:ascii="Arial" w:hAnsi="Arial"/>
          <w:b/>
          <w:sz w:val="21"/>
        </w:rPr>
        <w:t>Balance of Plant.</w:t>
      </w:r>
      <w:r>
        <w:rPr>
          <w:rFonts w:cs="Arial" w:ascii="Arial" w:hAnsi="Arial"/>
        </w:rPr>
        <w:t xml:space="preserve"> The balance of plant equipment includes a Selective Catalytic Reduction (“SCR”) NOx treatment, a pump station, a (leased) de-mineralized water unit, a cooling tower, a step-up transformer to increase the voltage to 138kV to match that of the adjacent switchyard owned by the Sierra Pacific Power Company (“SPP”), an administrative building, a maintenance shop, and a spare parts warehouse and inventory</w:t>
      </w:r>
    </w:p>
    <w:p>
      <w:pPr>
        <w:pStyle w:val="Heading4"/>
        <w:tabs>
          <w:tab w:val="left" w:pos="720" w:leader="none"/>
        </w:tabs>
        <w:spacing w:before="120" w:after="240"/>
        <w:ind w:hanging="0" w:start="0"/>
        <w:rPr/>
      </w:pPr>
      <w:r>
        <w:rPr>
          <w:i w:val="false"/>
          <w:sz w:val="21"/>
        </w:rPr>
        <w:t>Operating Performance.</w:t>
      </w:r>
      <w:r>
        <w:rPr/>
        <w:t xml:space="preserve">  </w:t>
      </w:r>
      <w:r>
        <w:rPr>
          <w:b w:val="false"/>
          <w:i w:val="false"/>
          <w:sz w:val="22"/>
        </w:rPr>
        <w:t xml:space="preserve">The Project has a current generating capacity of 54 MW and was upgraded in November 1999 with a replacement of the current LM 6000 PA to GE’s new LM 6000 PC package. This upgrade has provided a significant heat rate advantage as well as an incremental 4 MW. Prior to the acquisition closing, extensive due diligence by ENA and its consultants revealed that with the exception of several minor technical problems which have been satisfactorily resolved, the plant is in very good condition and operating according to its design specifications, which is exemplified by the plant’s operating statistics listed in the below chart. The steam turbine, gas turbine, support equipment, boiler equipment, and balance of plant equipment are all in good to very good condition. The SWP management and plant operating staffs are experienced with a very good knowledge of plant operations and systems. </w:t>
      </w:r>
    </w:p>
    <w:p>
      <w:pPr>
        <w:pStyle w:val="Normal"/>
        <w:rPr>
          <w:rFonts w:ascii="Arial" w:hAnsi="Arial" w:cs="Arial"/>
          <w:b/>
          <w:i/>
          <w:i/>
          <w:sz w:val="22"/>
        </w:rPr>
      </w:pPr>
      <w:r>
        <w:rPr>
          <w:rFonts w:cs="Arial" w:ascii="Arial" w:hAnsi="Arial"/>
          <w:b/>
          <w:i/>
          <w:sz w:val="22"/>
        </w:rPr>
      </w:r>
    </w:p>
    <w:p>
      <w:pPr>
        <w:pStyle w:val="Normal"/>
        <w:rPr>
          <w:rFonts w:ascii="Arial" w:hAnsi="Arial" w:cs="Arial"/>
          <w:i/>
          <w:i/>
          <w:sz w:val="32"/>
        </w:rPr>
      </w:pPr>
      <w:r>
        <w:rPr>
          <w:rFonts w:cs="Arial" w:ascii="Arial" w:hAnsi="Arial"/>
          <w:i/>
          <w:sz w:val="32"/>
        </w:rPr>
        <w:t>Insert Chart of Operating Stats- Getting Info from plant</w:t>
      </w:r>
      <w:r>
        <w:br w:type="page"/>
      </w:r>
    </w:p>
    <w:p>
      <w:pPr>
        <w:pStyle w:val="Heading2"/>
        <w:ind w:hanging="0" w:start="-360"/>
        <w:rPr>
          <w:rFonts w:ascii="Arial" w:hAnsi="Arial" w:cs="Arial"/>
        </w:rPr>
      </w:pPr>
      <w:bookmarkStart w:id="4" w:name="__RefHeading___Toc483025973"/>
      <w:bookmarkEnd w:id="4"/>
      <w:r>
        <w:rPr>
          <w:rFonts w:cs="Arial" w:ascii="Arial" w:hAnsi="Arial"/>
        </w:rPr>
        <w:t>Contractual Structure</w:t>
      </w:r>
    </w:p>
    <w:p>
      <w:pPr>
        <w:pStyle w:val="Normal"/>
        <w:rPr/>
      </w:pPr>
      <w:r>
        <w:rPr>
          <w:rFonts w:cs="Arial" w:ascii="Arial" w:hAnsi="Arial"/>
          <w:b/>
          <w:sz w:val="21"/>
        </w:rPr>
        <w:t>Principal Contract Summaries.</w:t>
      </w:r>
      <w:r>
        <w:rPr>
          <w:rFonts w:cs="Arial" w:ascii="Arial" w:hAnsi="Arial"/>
        </w:rPr>
        <w:t xml:space="preserve">  The operating contractual structure is summarized below:</w:t>
      </w:r>
    </w:p>
    <w:p>
      <w:pPr>
        <w:pStyle w:val="Normal"/>
        <w:rPr>
          <w:rFonts w:ascii="Arial" w:hAnsi="Arial" w:cs="Arial"/>
          <w:b/>
          <w:i/>
          <w:i/>
        </w:rPr>
      </w:pPr>
      <w:r>
        <w:rPr>
          <w:rFonts w:cs="Arial" w:ascii="Arial" w:hAnsi="Arial"/>
          <w:b/>
          <w:i/>
        </w:rPr>
      </w:r>
    </w:p>
    <w:p>
      <w:pPr>
        <w:pStyle w:val="Footer"/>
        <w:ind w:start="-576" w:end="0"/>
        <w:rPr>
          <w:rFonts w:ascii="Arial" w:hAnsi="Arial" w:cs="Arial"/>
          <w:b/>
          <w:i/>
          <w:i/>
          <w:lang w:val="en-CA"/>
        </w:rPr>
      </w:pPr>
      <w:r>
        <w:rPr>
          <w:rFonts w:cs="Arial" w:ascii="Arial" w:hAnsi="Arial"/>
          <w:b/>
          <w:i/>
          <w:lang w:val="en-CA"/>
        </w:rPr>
        <mc:AlternateContent>
          <mc:Choice Requires="wpg">
            <w:drawing>
              <wp:anchor behindDoc="0" distT="0" distB="0" distL="114935" distR="114935" simplePos="0" locked="0" layoutInCell="0" allowOverlap="1" relativeHeight="44">
                <wp:simplePos x="0" y="0"/>
                <wp:positionH relativeFrom="column">
                  <wp:posOffset>-457200</wp:posOffset>
                </wp:positionH>
                <wp:positionV relativeFrom="paragraph">
                  <wp:posOffset>236220</wp:posOffset>
                </wp:positionV>
                <wp:extent cx="6309360" cy="4297680"/>
                <wp:effectExtent l="5080" t="5080" r="5080" b="5080"/>
                <wp:wrapTopAndBottom/>
                <wp:docPr id="6" name=""/>
                <a:graphic xmlns:a="http://schemas.openxmlformats.org/drawingml/2006/main">
                  <a:graphicData uri="http://schemas.microsoft.com/office/word/2010/wordprocessingGroup">
                    <wpg:wgp>
                      <wpg:cNvGrpSpPr/>
                      <wpg:grpSpPr>
                        <a:xfrm>
                          <a:off x="0" y="0"/>
                          <a:ext cx="6309360" cy="4297680"/>
                          <a:chOff x="0" y="0"/>
                          <a:chExt cx="6309360" cy="4297680"/>
                        </a:xfrm>
                      </wpg:grpSpPr>
                      <wpg:grpSp>
                        <wpg:cNvGrpSpPr/>
                        <wpg:grpSpPr>
                          <a:xfrm>
                            <a:off x="2042640" y="1930320"/>
                            <a:ext cx="2663280" cy="1118880"/>
                          </a:xfrm>
                        </wpg:grpSpPr>
                        <wps:wsp>
                          <wps:cNvPr id="7" name=""/>
                          <wps:cNvSpPr/>
                          <wps:spPr>
                            <a:xfrm>
                              <a:off x="0" y="0"/>
                              <a:ext cx="775800" cy="416520"/>
                            </a:xfrm>
                            <a:prstGeom prst="rect">
                              <a:avLst/>
                            </a:prstGeom>
                            <a:noFill/>
                            <a:ln w="0">
                              <a:noFill/>
                            </a:ln>
                          </wps:spPr>
                          <wps:style>
                            <a:lnRef idx="0"/>
                            <a:fillRef idx="0"/>
                            <a:effectRef idx="0"/>
                            <a:fontRef idx="minor"/>
                          </wps:style>
                          <wps:bodyPr/>
                        </wps:wsp>
                        <wps:wsp>
                          <wps:cNvPr id="8" name=""/>
                          <wps:cNvSpPr/>
                          <wps:spPr>
                            <a:xfrm>
                              <a:off x="45720" y="713880"/>
                              <a:ext cx="712440" cy="405000"/>
                            </a:xfrm>
                            <a:prstGeom prst="rect">
                              <a:avLst/>
                            </a:prstGeom>
                            <a:noFill/>
                            <a:ln w="0">
                              <a:noFill/>
                            </a:ln>
                          </wps:spPr>
                          <wps:style>
                            <a:lnRef idx="0"/>
                            <a:fillRef idx="0"/>
                            <a:effectRef idx="0"/>
                            <a:fontRef idx="minor"/>
                          </wps:style>
                          <wps:bodyPr/>
                        </wps:wsp>
                        <wps:wsp>
                          <wps:cNvPr id="9" name=""/>
                          <wps:cNvSpPr/>
                          <wps:spPr>
                            <a:xfrm>
                              <a:off x="1385640" y="48240"/>
                              <a:ext cx="1277640" cy="172800"/>
                            </a:xfrm>
                            <a:prstGeom prst="rect">
                              <a:avLst/>
                            </a:prstGeom>
                            <a:noFill/>
                            <a:ln w="0">
                              <a:noFill/>
                            </a:ln>
                          </wps:spPr>
                          <wps:style>
                            <a:lnRef idx="0"/>
                            <a:fillRef idx="0"/>
                            <a:effectRef idx="0"/>
                            <a:fontRef idx="minor"/>
                          </wps:style>
                          <wps:bodyPr/>
                        </wps:wsp>
                      </wpg:grpSp>
                      <wps:wsp>
                        <wps:cNvSpPr txBox="1"/>
                        <wps:spPr>
                          <a:xfrm>
                            <a:off x="823680" y="1005840"/>
                            <a:ext cx="1341000" cy="365760"/>
                          </a:xfrm>
                          <a:prstGeom prst="rect">
                            <a:avLst/>
                          </a:prstGeom>
                          <a:solidFill>
                            <a:srgbClr val="ffffff"/>
                          </a:solidFill>
                          <a:ln w="0">
                            <a:noFill/>
                          </a:ln>
                        </wps:spPr>
                        <wps:txb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Kern River Gas Transportation Agreement</w:t>
                              </w:r>
                            </w:p>
                          </w:txbxContent>
                        </wps:txbx>
                        <wps:bodyPr wrap="square" anchor="t">
                          <a:noAutofit/>
                        </wps:bodyPr>
                      </wps:wsp>
                      <wps:wsp>
                        <wps:cNvSpPr txBox="1"/>
                        <wps:spPr>
                          <a:xfrm>
                            <a:off x="3383280" y="2286000"/>
                            <a:ext cx="955800" cy="384840"/>
                          </a:xfrm>
                          <a:prstGeom prst="rect">
                            <a:avLst/>
                          </a:prstGeom>
                          <a:solidFill>
                            <a:srgbClr val="ffffff"/>
                          </a:solidFill>
                          <a:ln w="0">
                            <a:noFill/>
                          </a:ln>
                        </wps:spPr>
                        <wps:txb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Power Purchase Agreement</w:t>
                              </w:r>
                            </w:p>
                          </w:txbxContent>
                        </wps:txbx>
                        <wps:bodyPr wrap="square" anchor="t">
                          <a:noAutofit/>
                        </wps:bodyPr>
                      </wps:wsp>
                      <wps:wsp>
                        <wps:cNvSpPr txBox="1"/>
                        <wps:spPr>
                          <a:xfrm>
                            <a:off x="2176200" y="2926080"/>
                            <a:ext cx="934560" cy="457200"/>
                          </a:xfrm>
                          <a:prstGeom prst="rect">
                            <a:avLst/>
                          </a:prstGeom>
                          <a:solidFill>
                            <a:srgbClr val="ffffff"/>
                          </a:solidFill>
                          <a:ln w="0">
                            <a:noFill/>
                          </a:ln>
                        </wps:spPr>
                        <wps:txbx>
                          <w:txbxContent>
                            <w:p>
                              <w:pPr>
                                <w:overflowPunct w:val="false"/>
                                <w:bidi w:val="0"/>
                                <w:spacing w:before="0" w:after="120"/>
                                <w:jc w:val="center"/>
                                <w:rPr/>
                              </w:pPr>
                              <w:r>
                                <w:rPr>
                                  <w:kern w:val="2"/>
                                  <w:sz w:val="16"/>
                                  <w:szCs w:val="20"/>
                                  <w:rFonts w:ascii="Times New Roman" w:hAnsi="Times New Roman" w:eastAsia="Times New Roman" w:cs="Times New Roman"/>
                                  <w:color w:val="auto"/>
                                  <w:lang w:val="en-US"/>
                                </w:rPr>
                                <w:t>Local Gas Transportation Agreement</w:t>
                              </w:r>
                            </w:p>
                          </w:txbxContent>
                        </wps:txbx>
                        <wps:bodyPr wrap="square" anchor="t">
                          <a:noAutofit/>
                        </wps:bodyPr>
                      </wps:wsp>
                      <wps:wsp>
                        <wps:cNvSpPr txBox="1"/>
                        <wps:spPr>
                          <a:xfrm>
                            <a:off x="2153160" y="194400"/>
                            <a:ext cx="1014120" cy="445680"/>
                          </a:xfrm>
                          <a:prstGeom prst="rect">
                            <a:avLst/>
                          </a:prstGeom>
                          <a:solidFill>
                            <a:srgbClr val="ffffff"/>
                          </a:solidFill>
                          <a:ln w="0">
                            <a:noFill/>
                          </a:ln>
                        </wps:spPr>
                        <wps:txb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Gas Supply and Transportation Agreement</w:t>
                              </w:r>
                            </w:p>
                          </w:txbxContent>
                        </wps:txbx>
                        <wps:bodyPr wrap="square" anchor="t">
                          <a:noAutofit/>
                        </wps:bodyPr>
                      </wps:wsp>
                      <wps:wsp>
                        <wps:cNvSpPr txBox="1"/>
                        <wps:spPr>
                          <a:xfrm>
                            <a:off x="9360" y="3960"/>
                            <a:ext cx="2166120" cy="1001880"/>
                          </a:xfrm>
                          <a:prstGeom prst="rect">
                            <a:avLst/>
                          </a:prstGeom>
                          <a:solidFill>
                            <a:srgbClr val="ffffff"/>
                          </a:solidFill>
                          <a:ln w="9360">
                            <a:solidFill>
                              <a:srgbClr val="000000"/>
                            </a:solidFill>
                            <a:miter/>
                          </a:ln>
                        </wps:spPr>
                        <wps:txb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Duke Energy Fuels, L.P.</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17-year Primary Gas Supply and Transportation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5,000 mmBtu of gas per day = exceeds plant on-peak requirement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A+/A1</w:t>
                              </w:r>
                            </w:p>
                          </w:txbxContent>
                        </wps:txbx>
                        <wps:bodyPr wrap="square" anchor="t">
                          <a:noAutofit/>
                        </wps:bodyPr>
                      </wps:wsp>
                      <wps:wsp>
                        <wps:cNvSpPr txBox="1"/>
                        <wps:spPr>
                          <a:xfrm>
                            <a:off x="0" y="1371600"/>
                            <a:ext cx="2166120" cy="1097280"/>
                          </a:xfrm>
                          <a:prstGeom prst="rect">
                            <a:avLst/>
                          </a:prstGeom>
                          <a:solidFill>
                            <a:srgbClr val="ffffff"/>
                          </a:solidFill>
                          <a:ln w="9360">
                            <a:solidFill>
                              <a:srgbClr val="000000"/>
                            </a:solidFill>
                            <a:miter/>
                          </a:ln>
                        </wps:spPr>
                        <wps:txb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Duke’s Kern River Gas Transmission Co.</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Gives Duke the right to transport 50,000 Mcf of natural gas per day along the Kern River Pipeline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Expires in February 2009; renewable in 1-year increments at Duke’s option</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Long-term debt rating of A-/A2</w:t>
                              </w:r>
                            </w:p>
                          </w:txbxContent>
                        </wps:txbx>
                        <wps:bodyPr wrap="square" anchor="t">
                          <a:noAutofit/>
                        </wps:bodyPr>
                      </wps:wsp>
                      <wps:wsp>
                        <wps:cNvSpPr txBox="1"/>
                        <wps:spPr>
                          <a:xfrm>
                            <a:off x="0" y="2512080"/>
                            <a:ext cx="2166120" cy="779040"/>
                          </a:xfrm>
                          <a:prstGeom prst="rect">
                            <a:avLst/>
                          </a:prstGeom>
                          <a:solidFill>
                            <a:srgbClr val="ffffff"/>
                          </a:solidFill>
                          <a:ln w="9360">
                            <a:solidFill>
                              <a:srgbClr val="000000"/>
                            </a:solidFill>
                            <a:miter/>
                          </a:ln>
                        </wps:spPr>
                        <wps:txb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Southwest Gas Transmission</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17-year gas firm transportation from Kern River Pipeline to the facility with adequate volume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of BBB-/Baa3</w:t>
                              </w:r>
                            </w:p>
                          </w:txbxContent>
                        </wps:txbx>
                        <wps:bodyPr wrap="square" anchor="t">
                          <a:noAutofit/>
                        </wps:bodyPr>
                      </wps:wsp>
                      <wps:wsp>
                        <wps:cNvSpPr txBox="1"/>
                        <wps:spPr>
                          <a:xfrm>
                            <a:off x="10080" y="3383280"/>
                            <a:ext cx="2156400" cy="914400"/>
                          </a:xfrm>
                          <a:prstGeom prst="rect">
                            <a:avLst/>
                          </a:prstGeom>
                          <a:solidFill>
                            <a:srgbClr val="ffffff"/>
                          </a:solidFill>
                          <a:ln w="9360">
                            <a:solidFill>
                              <a:srgbClr val="000000"/>
                            </a:solidFill>
                            <a:miter/>
                          </a:ln>
                        </wps:spPr>
                        <wps:txb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Enron Power Marketing, Inc.</w:t>
                              </w:r>
                            </w:p>
                            <w:p>
                              <w:pPr>
                                <w:overflowPunct w:val="false"/>
                                <w:bidi w:val="0"/>
                                <w:spacing w:before="0" w:after="60"/>
                                <w:ind w:start="180" w:end="0" w:hanging="180"/>
                                <w:jc w:val="start"/>
                                <w:rPr/>
                              </w:pPr>
                              <w:r>
                                <w:rPr>
                                  <w:kern w:val="2"/>
                                  <w:sz w:val="22"/>
                                  <w:szCs w:val="20"/>
                                  <w:rFonts w:ascii="Times New Roman" w:hAnsi="Times New Roman" w:eastAsia="Times New Roman" w:cs="Times New Roman"/>
                                  <w:color w:val="auto"/>
                                  <w:lang w:val="en-US"/>
                                </w:rPr>
                                <w:t xml:space="preserve">1-year </w:t>
                              </w:r>
                              <w:r>
                                <w:rPr>
                                  <w:kern w:val="2"/>
                                  <w:szCs w:val="20"/>
                                  <w:sz w:val="16"/>
                                  <w:rFonts w:ascii="Times New Roman" w:hAnsi="Times New Roman" w:eastAsia="Times New Roman" w:cs="Times New Roman"/>
                                  <w:color w:val="auto"/>
                                  <w:lang w:val="en-US"/>
                                </w:rPr>
                                <w:t>Commodity Services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Power Marketing</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Fuel Management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Other Services</w:t>
                              </w:r>
                            </w:p>
                          </w:txbxContent>
                        </wps:txbx>
                        <wps:bodyPr wrap="square" anchor="t">
                          <a:noAutofit/>
                        </wps:bodyPr>
                      </wps:wsp>
                      <wps:wsp>
                        <wps:cNvSpPr txBox="1"/>
                        <wps:spPr>
                          <a:xfrm>
                            <a:off x="2311560" y="1005840"/>
                            <a:ext cx="1687680" cy="274320"/>
                          </a:xfrm>
                          <a:prstGeom prst="rect">
                            <a:avLst/>
                          </a:prstGeom>
                          <a:solidFill>
                            <a:srgbClr val="ffffff"/>
                          </a:solidFill>
                          <a:ln w="19080">
                            <a:solidFill>
                              <a:srgbClr val="000000"/>
                            </a:solidFill>
                            <a:miter/>
                          </a:ln>
                        </wps:spPr>
                        <wps:txbx>
                          <w:txbxContent>
                            <w:p>
                              <w:pPr>
                                <w:overflowPunct w:val="false"/>
                                <w:bidi w:val="0"/>
                                <w:spacing w:before="0" w:after="120"/>
                                <w:jc w:val="center"/>
                                <w:rPr/>
                              </w:pPr>
                              <w:r>
                                <w:rPr>
                                  <w:kern w:val="2"/>
                                  <w:sz w:val="22"/>
                                  <w:b/>
                                  <w:szCs w:val="20"/>
                                  <w:rFonts w:ascii="Times New Roman" w:hAnsi="Times New Roman" w:eastAsia="Times New Roman" w:cs="Times New Roman"/>
                                  <w:color w:val="auto"/>
                                  <w:lang w:val="en-US"/>
                                </w:rPr>
                                <w:t>LVCLP</w:t>
                              </w:r>
                            </w:p>
                          </w:txbxContent>
                        </wps:txbx>
                        <wps:bodyPr wrap="square" anchor="t">
                          <a:noAutofit/>
                        </wps:bodyPr>
                      </wps:wsp>
                      <wps:wsp>
                        <wps:cNvSpPr/>
                        <wps:spPr>
                          <a:xfrm flipV="1">
                            <a:off x="823680" y="1005840"/>
                            <a:ext cx="0" cy="365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76200" y="640080"/>
                            <a:ext cx="905040" cy="0"/>
                          </a:xfrm>
                          <a:prstGeom prst="line">
                            <a:avLst/>
                          </a:prstGeom>
                          <a:ln w="9360">
                            <a:solidFill>
                              <a:srgbClr val="000000"/>
                            </a:solidFill>
                            <a:miter/>
                          </a:ln>
                        </wps:spPr>
                        <wps:style>
                          <a:lnRef idx="0"/>
                          <a:fillRef idx="0"/>
                          <a:effectRef idx="0"/>
                          <a:fontRef idx="minor"/>
                        </wps:style>
                        <wps:bodyPr/>
                      </wps:wsp>
                      <wps:wsp>
                        <wps:cNvSpPr/>
                        <wps:spPr>
                          <a:xfrm>
                            <a:off x="3080880" y="640080"/>
                            <a:ext cx="0" cy="365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76200" y="2926080"/>
                            <a:ext cx="846000" cy="0"/>
                          </a:xfrm>
                          <a:prstGeom prst="line">
                            <a:avLst/>
                          </a:prstGeom>
                          <a:ln w="9360">
                            <a:solidFill>
                              <a:srgbClr val="000000"/>
                            </a:solidFill>
                            <a:miter/>
                          </a:ln>
                        </wps:spPr>
                        <wps:style>
                          <a:lnRef idx="0"/>
                          <a:fillRef idx="0"/>
                          <a:effectRef idx="0"/>
                          <a:fontRef idx="minor"/>
                        </wps:style>
                        <wps:bodyPr/>
                      </wps:wsp>
                      <wps:wsp>
                        <wps:cNvSpPr/>
                        <wps:spPr>
                          <a:xfrm flipV="1">
                            <a:off x="3021840" y="1280160"/>
                            <a:ext cx="0" cy="1645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66480" y="4114800"/>
                            <a:ext cx="1033200" cy="0"/>
                          </a:xfrm>
                          <a:prstGeom prst="line">
                            <a:avLst/>
                          </a:prstGeom>
                          <a:ln w="9360">
                            <a:solidFill>
                              <a:srgbClr val="000000"/>
                            </a:solidFill>
                            <a:miter/>
                          </a:ln>
                        </wps:spPr>
                        <wps:style>
                          <a:lnRef idx="0"/>
                          <a:fillRef idx="0"/>
                          <a:effectRef idx="0"/>
                          <a:fontRef idx="minor"/>
                        </wps:style>
                        <wps:bodyPr/>
                      </wps:wsp>
                      <wps:wsp>
                        <wps:cNvSpPr/>
                        <wps:spPr>
                          <a:xfrm flipV="1">
                            <a:off x="3199680" y="1280160"/>
                            <a:ext cx="0" cy="2834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176360" y="0"/>
                            <a:ext cx="1510560" cy="365760"/>
                          </a:xfrm>
                          <a:prstGeom prst="rect">
                            <a:avLst/>
                          </a:prstGeom>
                          <a:solidFill>
                            <a:srgbClr val="ffffff"/>
                          </a:solidFill>
                          <a:ln w="9360">
                            <a:solidFill>
                              <a:srgbClr val="000000"/>
                            </a:solidFill>
                            <a:miter/>
                          </a:ln>
                        </wps:spPr>
                        <wps:txbx>
                          <w:txbxContent>
                            <w:p>
                              <w:pPr>
                                <w:overflowPunct w:val="false"/>
                                <w:bidi w:val="0"/>
                                <w:spacing w:before="0" w:after="60"/>
                                <w:ind w:start="180" w:end="0" w:hanging="180"/>
                                <w:jc w:val="both"/>
                                <w:rPr/>
                              </w:pPr>
                              <w:r>
                                <w:rPr>
                                  <w:kern w:val="2"/>
                                  <w:sz w:val="16"/>
                                  <w:u w:val="single"/>
                                  <w:szCs w:val="20"/>
                                  <w:rFonts w:ascii="Times New Roman" w:hAnsi="Times New Roman" w:eastAsia="Times New Roman" w:cs="Times New Roman"/>
                                  <w:color w:val="auto"/>
                                  <w:lang w:val="en-US"/>
                                </w:rPr>
                                <w:t>Sunco, L.L.C.</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Tomato Greenhouse</w:t>
                              </w:r>
                            </w:p>
                          </w:txbxContent>
                        </wps:txbx>
                        <wps:bodyPr wrap="square" anchor="t">
                          <a:noAutofit/>
                        </wps:bodyPr>
                      </wps:wsp>
                      <wps:wsp>
                        <wps:cNvSpPr txBox="1"/>
                        <wps:spPr>
                          <a:xfrm>
                            <a:off x="3643560" y="548640"/>
                            <a:ext cx="1155240" cy="274320"/>
                          </a:xfrm>
                          <a:prstGeom prst="rect">
                            <a:avLst/>
                          </a:prstGeom>
                          <a:solidFill>
                            <a:srgbClr val="ffffff"/>
                          </a:solidFill>
                          <a:ln w="0">
                            <a:noFill/>
                          </a:ln>
                        </wps:spPr>
                        <wps:txbx>
                          <w:txbxContent>
                            <w:p>
                              <w:pPr>
                                <w:overflowPunct w:val="false"/>
                                <w:bidi w:val="0"/>
                                <w:spacing w:before="0" w:after="120"/>
                                <w:jc w:val="both"/>
                                <w:rPr/>
                              </w:pPr>
                              <w:r>
                                <w:rPr>
                                  <w:kern w:val="2"/>
                                  <w:sz w:val="16"/>
                                  <w:szCs w:val="20"/>
                                  <w:rFonts w:ascii="Times New Roman" w:hAnsi="Times New Roman" w:eastAsia="Times New Roman" w:cs="Times New Roman"/>
                                  <w:color w:val="auto"/>
                                  <w:lang w:val="en-US"/>
                                </w:rPr>
                                <w:t>Greenhouse Lease</w:t>
                              </w:r>
                            </w:p>
                          </w:txbxContent>
                        </wps:txbx>
                        <wps:bodyPr wrap="square" anchor="t">
                          <a:noAutofit/>
                        </wps:bodyPr>
                      </wps:wsp>
                      <wps:wsp>
                        <wps:cNvSpPr/>
                        <wps:spPr>
                          <a:xfrm>
                            <a:off x="3644280" y="731520"/>
                            <a:ext cx="0" cy="274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644280" y="731520"/>
                            <a:ext cx="1777320" cy="0"/>
                          </a:xfrm>
                          <a:prstGeom prst="line">
                            <a:avLst/>
                          </a:prstGeom>
                          <a:ln w="9360">
                            <a:solidFill>
                              <a:srgbClr val="000000"/>
                            </a:solidFill>
                            <a:miter/>
                          </a:ln>
                        </wps:spPr>
                        <wps:style>
                          <a:lnRef idx="0"/>
                          <a:fillRef idx="0"/>
                          <a:effectRef idx="0"/>
                          <a:fontRef idx="minor"/>
                        </wps:style>
                        <wps:bodyPr/>
                      </wps:wsp>
                      <wps:wsp>
                        <wps:cNvSpPr/>
                        <wps:spPr>
                          <a:xfrm flipV="1">
                            <a:off x="5421600" y="377280"/>
                            <a:ext cx="0" cy="3542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176360" y="1097280"/>
                            <a:ext cx="2044080" cy="819000"/>
                          </a:xfrm>
                          <a:prstGeom prst="rect">
                            <a:avLst/>
                          </a:prstGeom>
                          <a:solidFill>
                            <a:srgbClr val="ffffff"/>
                          </a:solidFill>
                          <a:ln w="9360">
                            <a:solidFill>
                              <a:srgbClr val="000000"/>
                            </a:solidFill>
                            <a:miter/>
                          </a:ln>
                        </wps:spPr>
                        <wps:txbx>
                          <w:txbxContent>
                            <w:p>
                              <w:pPr>
                                <w:overflowPunct w:val="false"/>
                                <w:bidi w:val="0"/>
                                <w:spacing w:before="0" w:after="60"/>
                                <w:ind w:start="180" w:end="0" w:hanging="180"/>
                                <w:jc w:val="start"/>
                                <w:rPr/>
                              </w:pPr>
                              <w:r>
                                <w:rPr>
                                  <w:kern w:val="2"/>
                                  <w:sz w:val="16"/>
                                  <w:u w:val="single"/>
                                  <w:szCs w:val="20"/>
                                  <w:rFonts w:ascii="Times New Roman" w:hAnsi="Times New Roman" w:eastAsia="Times New Roman" w:cs="Times New Roman"/>
                                  <w:color w:val="auto"/>
                                  <w:lang w:val="en-US"/>
                                </w:rPr>
                                <w:t>Enron North America Corp.</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Operations &amp; Maintenance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Secondary Gas and Transportation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Gas and interest rate hedge</w:t>
                              </w:r>
                            </w:p>
                          </w:txbxContent>
                        </wps:txbx>
                        <wps:bodyPr wrap="square" anchor="t">
                          <a:noAutofit/>
                        </wps:bodyPr>
                      </wps:wsp>
                      <wps:wsp>
                        <wps:cNvSpPr/>
                        <wps:spPr>
                          <a:xfrm flipH="1">
                            <a:off x="3732480" y="1645920"/>
                            <a:ext cx="443880" cy="0"/>
                          </a:xfrm>
                          <a:prstGeom prst="line">
                            <a:avLst/>
                          </a:prstGeom>
                          <a:ln w="9360">
                            <a:solidFill>
                              <a:srgbClr val="000000"/>
                            </a:solidFill>
                            <a:miter/>
                          </a:ln>
                        </wps:spPr>
                        <wps:style>
                          <a:lnRef idx="0"/>
                          <a:fillRef idx="0"/>
                          <a:effectRef idx="0"/>
                          <a:fontRef idx="minor"/>
                        </wps:style>
                        <wps:bodyPr/>
                      </wps:wsp>
                      <wps:wsp>
                        <wps:cNvSpPr/>
                        <wps:spPr>
                          <a:xfrm flipV="1">
                            <a:off x="3733200" y="1280160"/>
                            <a:ext cx="0" cy="365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176360" y="2603520"/>
                            <a:ext cx="2133000" cy="687600"/>
                          </a:xfrm>
                          <a:prstGeom prst="rect">
                            <a:avLst/>
                          </a:prstGeom>
                          <a:solidFill>
                            <a:srgbClr val="ffffff"/>
                          </a:solidFill>
                          <a:ln w="9360">
                            <a:solidFill>
                              <a:srgbClr val="000000"/>
                            </a:solidFill>
                            <a:miter/>
                          </a:ln>
                        </wps:spPr>
                        <wps:txb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Nevada Power Company</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PPA for 45 MW of on-peak off-take through 2024.</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of BBB/Baa2</w:t>
                              </w:r>
                            </w:p>
                          </w:txbxContent>
                        </wps:txbx>
                        <wps:bodyPr wrap="square" anchor="t">
                          <a:noAutofit/>
                        </wps:bodyPr>
                      </wps:wsp>
                      <wps:wsp>
                        <wps:cNvSpPr/>
                        <wps:spPr>
                          <a:xfrm>
                            <a:off x="3555360" y="1280160"/>
                            <a:ext cx="0" cy="1005840"/>
                          </a:xfrm>
                          <a:prstGeom prst="line">
                            <a:avLst/>
                          </a:prstGeom>
                          <a:ln w="9360">
                            <a:solidFill>
                              <a:srgbClr val="000000"/>
                            </a:solidFill>
                            <a:miter/>
                          </a:ln>
                        </wps:spPr>
                        <wps:style>
                          <a:lnRef idx="0"/>
                          <a:fillRef idx="0"/>
                          <a:effectRef idx="0"/>
                          <a:fontRef idx="minor"/>
                        </wps:style>
                        <wps:bodyPr/>
                      </wps:wsp>
                      <wps:wsp>
                        <wps:cNvSpPr/>
                        <wps:spPr>
                          <a:xfrm>
                            <a:off x="3555360" y="2286000"/>
                            <a:ext cx="2132280" cy="0"/>
                          </a:xfrm>
                          <a:prstGeom prst="line">
                            <a:avLst/>
                          </a:prstGeom>
                          <a:ln w="9360">
                            <a:solidFill>
                              <a:srgbClr val="000000"/>
                            </a:solidFill>
                            <a:miter/>
                          </a:ln>
                        </wps:spPr>
                        <wps:style>
                          <a:lnRef idx="0"/>
                          <a:fillRef idx="0"/>
                          <a:effectRef idx="0"/>
                          <a:fontRef idx="minor"/>
                        </wps:style>
                        <wps:bodyPr/>
                      </wps:wsp>
                      <wps:wsp>
                        <wps:cNvSpPr/>
                        <wps:spPr>
                          <a:xfrm>
                            <a:off x="5687640" y="2286000"/>
                            <a:ext cx="0" cy="3182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176360" y="3383280"/>
                            <a:ext cx="2133000" cy="822960"/>
                          </a:xfrm>
                          <a:prstGeom prst="rect">
                            <a:avLst/>
                          </a:prstGeom>
                          <a:solidFill>
                            <a:srgbClr val="ffffff"/>
                          </a:solidFill>
                          <a:ln w="9360">
                            <a:solidFill>
                              <a:srgbClr val="000000"/>
                            </a:solidFill>
                            <a:miter/>
                          </a:ln>
                        </wps:spPr>
                        <wps:txb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Nevada Power Company</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1-year renewal Limited Release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Release of energy during off-peak and excess on-peak outside of 45 MW obligation</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Sharing of value between NPC and LVCLP</w:t>
                              </w:r>
                            </w:p>
                          </w:txbxContent>
                        </wps:txbx>
                        <wps:bodyPr wrap="square" anchor="t">
                          <a:noAutofit/>
                        </wps:bodyPr>
                      </wps:wsp>
                      <wps:wsp>
                        <wps:cNvSpPr/>
                        <wps:spPr>
                          <a:xfrm flipH="1">
                            <a:off x="3376800" y="3840480"/>
                            <a:ext cx="799560" cy="0"/>
                          </a:xfrm>
                          <a:prstGeom prst="line">
                            <a:avLst/>
                          </a:prstGeom>
                          <a:ln w="9360">
                            <a:solidFill>
                              <a:srgbClr val="000000"/>
                            </a:solidFill>
                            <a:miter/>
                          </a:ln>
                        </wps:spPr>
                        <wps:style>
                          <a:lnRef idx="0"/>
                          <a:fillRef idx="0"/>
                          <a:effectRef idx="0"/>
                          <a:fontRef idx="minor"/>
                        </wps:style>
                        <wps:bodyPr/>
                      </wps:wsp>
                      <wps:wsp>
                        <wps:cNvSpPr/>
                        <wps:spPr>
                          <a:xfrm flipV="1">
                            <a:off x="3377520" y="1280160"/>
                            <a:ext cx="0" cy="25603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6pt;margin-top:18.6pt;width:496.8pt;height:338.4pt" coordorigin="-720,372" coordsize="9936,6768">
                <v:group id="shape_0" style="position:absolute;left:2497;top:3412;width:4194;height:1762">
                  <v:rect id="shape_0" stroked="f" o:allowincell="f" style="position:absolute;left:2497;top:3412;width:1221;height:655;mso-wrap-style:none;v-text-anchor:middle">
                    <v:fill o:detectmouseclick="t" on="false"/>
                    <v:stroke color="#3465a4" joinstyle="round" endcap="flat"/>
                    <w10:wrap type="topAndBottom"/>
                  </v:rect>
                  <v:rect id="shape_0" stroked="f" o:allowincell="f" style="position:absolute;left:2569;top:4536;width:1121;height:637;mso-wrap-style:none;v-text-anchor:middle">
                    <v:fill o:detectmouseclick="t" on="false"/>
                    <v:stroke color="#3465a4" joinstyle="round" endcap="flat"/>
                    <w10:wrap type="topAndBottom"/>
                  </v:rect>
                  <v:rect id="shape_0" stroked="f" o:allowincell="f" style="position:absolute;left:4679;top:3488;width:2011;height:271;mso-wrap-style:none;v-text-anchor:middle">
                    <v:fill o:detectmouseclick="t" on="false"/>
                    <v:stroke color="#3465a4" joinstyle="round" endcap="flat"/>
                    <w10:wrap type="topAndBottom"/>
                  </v:rect>
                </v:group>
                <v:shapetype id="_x0000_t202" coordsize="21600,21600" o:spt="202" path="m,l,21600l21600,21600l21600,xe">
                  <v:stroke joinstyle="miter"/>
                  <v:path gradientshapeok="t" o:connecttype="rect"/>
                </v:shapetype>
                <v:shape id="shape_0" fillcolor="white" stroked="f" o:allowincell="f" style="position:absolute;left:577;top:1956;width:2111;height:575;mso-wrap-style:square;v-text-anchor:top" type="_x0000_t202">
                  <v:textbo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Kern River Gas Transportation Agreement</w:t>
                        </w:r>
                      </w:p>
                    </w:txbxContent>
                  </v:textbox>
                  <v:fill o:detectmouseclick="t" type="solid" color2="black"/>
                  <v:stroke color="#3465a4" joinstyle="round" endcap="flat"/>
                  <w10:wrap type="topAndBottom"/>
                </v:shape>
                <v:shape id="shape_0" fillcolor="white" stroked="f" o:allowincell="f" style="position:absolute;left:4608;top:3972;width:1504;height:605;mso-wrap-style:square;v-text-anchor:top" type="_x0000_t202">
                  <v:textbo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Power Purchase Agreement</w:t>
                        </w:r>
                      </w:p>
                    </w:txbxContent>
                  </v:textbox>
                  <v:fill o:detectmouseclick="t" type="solid" color2="black"/>
                  <v:stroke color="#3465a4" joinstyle="round" endcap="flat"/>
                  <w10:wrap type="topAndBottom"/>
                </v:shape>
                <v:shape id="shape_0" fillcolor="white" stroked="f" o:allowincell="f" style="position:absolute;left:2707;top:4980;width:1471;height:719;mso-wrap-style:square;v-text-anchor:top" type="_x0000_t202">
                  <v:textbox>
                    <w:txbxContent>
                      <w:p>
                        <w:pPr>
                          <w:overflowPunct w:val="false"/>
                          <w:bidi w:val="0"/>
                          <w:spacing w:before="0" w:after="120"/>
                          <w:jc w:val="center"/>
                          <w:rPr/>
                        </w:pPr>
                        <w:r>
                          <w:rPr>
                            <w:kern w:val="2"/>
                            <w:sz w:val="16"/>
                            <w:szCs w:val="20"/>
                            <w:rFonts w:ascii="Times New Roman" w:hAnsi="Times New Roman" w:eastAsia="Times New Roman" w:cs="Times New Roman"/>
                            <w:color w:val="auto"/>
                            <w:lang w:val="en-US"/>
                          </w:rPr>
                          <w:t>Local Gas Transportation Agreement</w:t>
                        </w:r>
                      </w:p>
                    </w:txbxContent>
                  </v:textbox>
                  <v:fill o:detectmouseclick="t" type="solid" color2="black"/>
                  <v:stroke color="#3465a4" joinstyle="round" endcap="flat"/>
                  <w10:wrap type="topAndBottom"/>
                </v:shape>
                <v:shape id="shape_0" fillcolor="white" stroked="f" o:allowincell="f" style="position:absolute;left:2671;top:678;width:1596;height:701;mso-wrap-style:square;v-text-anchor:top" type="_x0000_t202">
                  <v:textbox>
                    <w:txbxContent>
                      <w:p>
                        <w:pPr>
                          <w:overflowPunct w:val="false"/>
                          <w:bidi w:val="0"/>
                          <w:spacing w:before="0" w:after="60"/>
                          <w:jc w:val="center"/>
                          <w:rPr/>
                        </w:pPr>
                        <w:r>
                          <w:rPr>
                            <w:kern w:val="2"/>
                            <w:sz w:val="16"/>
                            <w:szCs w:val="20"/>
                            <w:rFonts w:ascii="Times New Roman" w:hAnsi="Times New Roman" w:eastAsia="Times New Roman" w:cs="Times New Roman"/>
                            <w:color w:val="auto"/>
                            <w:lang w:val="en-US"/>
                          </w:rPr>
                          <w:t>Gas Supply and Transportation Agreement</w:t>
                        </w:r>
                      </w:p>
                    </w:txbxContent>
                  </v:textbox>
                  <v:fill o:detectmouseclick="t" type="solid" color2="black"/>
                  <v:stroke color="#3465a4" joinstyle="round" endcap="flat"/>
                  <w10:wrap type="topAndBottom"/>
                </v:shape>
                <v:shape id="shape_0" fillcolor="white" stroked="t" o:allowincell="f" style="position:absolute;left:-705;top:378;width:3410;height:1577;mso-wrap-style:square;v-text-anchor:top" type="_x0000_t202">
                  <v:textbo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Duke Energy Fuels, L.P.</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17-year Primary Gas Supply and Transportation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5,000 mmBtu of gas per day = exceeds plant on-peak requirement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A+/A1</w:t>
                        </w:r>
                      </w:p>
                    </w:txbxContent>
                  </v:textbox>
                  <v:fill o:detectmouseclick="t" type="solid" color2="black"/>
                  <v:stroke color="black" weight="9360" joinstyle="miter" endcap="flat"/>
                  <w10:wrap type="topAndBottom"/>
                </v:shape>
                <v:shape id="shape_0" fillcolor="white" stroked="t" o:allowincell="f" style="position:absolute;left:-720;top:2532;width:3410;height:1727;mso-wrap-style:square;v-text-anchor:top" type="_x0000_t202">
                  <v:textbo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Duke’s Kern River Gas Transmission Co.</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Gives Duke the right to transport 50,000 Mcf of natural gas per day along the Kern River Pipeline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Expires in February 2009; renewable in 1-year increments at Duke’s option</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Long-term debt rating of A-/A2</w:t>
                        </w:r>
                      </w:p>
                    </w:txbxContent>
                  </v:textbox>
                  <v:fill o:detectmouseclick="t" type="solid" color2="black"/>
                  <v:stroke color="black" weight="9360" joinstyle="miter" endcap="flat"/>
                  <w10:wrap type="topAndBottom"/>
                </v:shape>
                <v:shape id="shape_0" fillcolor="white" stroked="t" o:allowincell="f" style="position:absolute;left:-720;top:4328;width:3410;height:1226;mso-wrap-style:square;v-text-anchor:top" type="_x0000_t202">
                  <v:textbo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Southwest Gas Transmission</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17-year gas firm transportation from Kern River Pipeline to the facility with adequate volume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of BBB-/Baa3</w:t>
                        </w:r>
                      </w:p>
                    </w:txbxContent>
                  </v:textbox>
                  <v:fill o:detectmouseclick="t" type="solid" color2="black"/>
                  <v:stroke color="black" weight="9360" joinstyle="miter" endcap="flat"/>
                  <w10:wrap type="topAndBottom"/>
                </v:shape>
                <v:shape id="shape_0" fillcolor="white" stroked="t" o:allowincell="f" style="position:absolute;left:-704;top:5700;width:3395;height:1439;mso-wrap-style:square;v-text-anchor:top" type="_x0000_t202">
                  <v:textbo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Enron Power Marketing, Inc.</w:t>
                        </w:r>
                      </w:p>
                      <w:p>
                        <w:pPr>
                          <w:overflowPunct w:val="false"/>
                          <w:bidi w:val="0"/>
                          <w:spacing w:before="0" w:after="60"/>
                          <w:ind w:start="180" w:end="0" w:hanging="180"/>
                          <w:jc w:val="start"/>
                          <w:rPr/>
                        </w:pPr>
                        <w:r>
                          <w:rPr>
                            <w:kern w:val="2"/>
                            <w:sz w:val="22"/>
                            <w:szCs w:val="20"/>
                            <w:rFonts w:ascii="Times New Roman" w:hAnsi="Times New Roman" w:eastAsia="Times New Roman" w:cs="Times New Roman"/>
                            <w:color w:val="auto"/>
                            <w:lang w:val="en-US"/>
                          </w:rPr>
                          <w:t xml:space="preserve">1-year </w:t>
                        </w:r>
                        <w:r>
                          <w:rPr>
                            <w:kern w:val="2"/>
                            <w:szCs w:val="20"/>
                            <w:sz w:val="16"/>
                            <w:rFonts w:ascii="Times New Roman" w:hAnsi="Times New Roman" w:eastAsia="Times New Roman" w:cs="Times New Roman"/>
                            <w:color w:val="auto"/>
                            <w:lang w:val="en-US"/>
                          </w:rPr>
                          <w:t>Commodity Services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Power Marketing</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Fuel Management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Other Services</w:t>
                        </w:r>
                      </w:p>
                    </w:txbxContent>
                  </v:textbox>
                  <v:fill o:detectmouseclick="t" type="solid" color2="black"/>
                  <v:stroke color="black" weight="9360" joinstyle="miter" endcap="flat"/>
                  <w10:wrap type="topAndBottom"/>
                </v:shape>
                <v:shape id="shape_0" fillcolor="white" stroked="t" o:allowincell="f" style="position:absolute;left:2920;top:1956;width:2657;height:431;mso-wrap-style:square;v-text-anchor:top" type="_x0000_t202">
                  <v:textbox>
                    <w:txbxContent>
                      <w:p>
                        <w:pPr>
                          <w:overflowPunct w:val="false"/>
                          <w:bidi w:val="0"/>
                          <w:spacing w:before="0" w:after="120"/>
                          <w:jc w:val="center"/>
                          <w:rPr/>
                        </w:pPr>
                        <w:r>
                          <w:rPr>
                            <w:kern w:val="2"/>
                            <w:sz w:val="22"/>
                            <w:b/>
                            <w:szCs w:val="20"/>
                            <w:rFonts w:ascii="Times New Roman" w:hAnsi="Times New Roman" w:eastAsia="Times New Roman" w:cs="Times New Roman"/>
                            <w:color w:val="auto"/>
                            <w:lang w:val="en-US"/>
                          </w:rPr>
                          <w:t>LVCLP</w:t>
                        </w:r>
                      </w:p>
                    </w:txbxContent>
                  </v:textbox>
                  <v:fill o:detectmouseclick="t" type="solid" color2="black"/>
                  <v:stroke color="black" weight="19080" joinstyle="miter" endcap="flat"/>
                  <w10:wrap type="topAndBottom"/>
                </v:shape>
                <v:line id="shape_0" from="577,1956" to="577,2531" stroked="t" o:allowincell="f" style="position:absolute;flip:y">
                  <v:stroke color="black" weight="9360" endarrow="block" endarrowwidth="medium" endarrowlength="medium" joinstyle="miter" endcap="flat"/>
                  <v:fill o:detectmouseclick="t" on="false"/>
                  <w10:wrap type="topAndBottom"/>
                </v:line>
                <v:line id="shape_0" from="2707,1380" to="4131,1380" stroked="t" o:allowincell="f" style="position:absolute">
                  <v:stroke color="black" weight="9360" joinstyle="miter" endcap="flat"/>
                  <v:fill o:detectmouseclick="t" on="false"/>
                  <w10:wrap type="topAndBottom"/>
                </v:line>
                <v:line id="shape_0" from="4132,1380" to="4132,1955" stroked="t" o:allowincell="f" style="position:absolute">
                  <v:stroke color="black" weight="9360" endarrow="block" endarrowwidth="medium" endarrowlength="medium" joinstyle="miter" endcap="flat"/>
                  <v:fill o:detectmouseclick="t" on="false"/>
                  <w10:wrap type="topAndBottom"/>
                </v:line>
                <v:line id="shape_0" from="2707,4980" to="4038,4980" stroked="t" o:allowincell="f" style="position:absolute">
                  <v:stroke color="black" weight="9360" joinstyle="miter" endcap="flat"/>
                  <v:fill o:detectmouseclick="t" on="false"/>
                  <w10:wrap type="topAndBottom"/>
                </v:line>
                <v:line id="shape_0" from="4039,2388" to="4039,4979" stroked="t" o:allowincell="f" style="position:absolute;flip:y">
                  <v:stroke color="black" weight="9360" endarrow="block" endarrowwidth="medium" endarrowlength="medium" joinstyle="miter" endcap="flat"/>
                  <v:fill o:detectmouseclick="t" on="false"/>
                  <w10:wrap type="topAndBottom"/>
                </v:line>
                <v:line id="shape_0" from="2692,6852" to="4318,6852" stroked="t" o:allowincell="f" style="position:absolute">
                  <v:stroke color="black" weight="9360" joinstyle="miter" endcap="flat"/>
                  <v:fill o:detectmouseclick="t" on="false"/>
                  <w10:wrap type="topAndBottom"/>
                </v:line>
                <v:line id="shape_0" from="4319,2388" to="4319,6851" stroked="t" o:allowincell="f" style="position:absolute;flip:y">
                  <v:stroke color="black" weight="9360" endarrow="block" endarrowwidth="medium" endarrowlength="medium" joinstyle="miter" endcap="flat"/>
                  <v:fill o:detectmouseclick="t" on="false"/>
                  <w10:wrap type="topAndBottom"/>
                </v:line>
                <v:shape id="shape_0" fillcolor="white" stroked="t" o:allowincell="f" style="position:absolute;left:5857;top:372;width:2378;height:575;mso-wrap-style:square;v-text-anchor:top" type="_x0000_t202">
                  <v:textbox>
                    <w:txbxContent>
                      <w:p>
                        <w:pPr>
                          <w:overflowPunct w:val="false"/>
                          <w:bidi w:val="0"/>
                          <w:spacing w:before="0" w:after="60"/>
                          <w:ind w:start="180" w:end="0" w:hanging="180"/>
                          <w:jc w:val="both"/>
                          <w:rPr/>
                        </w:pPr>
                        <w:r>
                          <w:rPr>
                            <w:kern w:val="2"/>
                            <w:sz w:val="16"/>
                            <w:u w:val="single"/>
                            <w:szCs w:val="20"/>
                            <w:rFonts w:ascii="Times New Roman" w:hAnsi="Times New Roman" w:eastAsia="Times New Roman" w:cs="Times New Roman"/>
                            <w:color w:val="auto"/>
                            <w:lang w:val="en-US"/>
                          </w:rPr>
                          <w:t>Sunco, L.L.C.</w:t>
                        </w:r>
                      </w:p>
                      <w:p>
                        <w:pPr>
                          <w:overflowPunct w:val="false"/>
                          <w:bidi w:val="0"/>
                          <w:spacing w:before="0" w:after="60"/>
                          <w:ind w:start="180" w:end="0" w:hanging="180"/>
                          <w:jc w:val="both"/>
                          <w:rPr/>
                        </w:pPr>
                        <w:r>
                          <w:rPr>
                            <w:kern w:val="2"/>
                            <w:sz w:val="16"/>
                            <w:szCs w:val="20"/>
                            <w:rFonts w:ascii="Times New Roman" w:hAnsi="Times New Roman" w:eastAsia="Times New Roman" w:cs="Times New Roman"/>
                            <w:color w:val="auto"/>
                            <w:lang w:val="en-US"/>
                          </w:rPr>
                          <w:t>Tomato Greenhouse</w:t>
                        </w:r>
                      </w:p>
                    </w:txbxContent>
                  </v:textbox>
                  <v:fill o:detectmouseclick="t" type="solid" color2="black"/>
                  <v:stroke color="black" weight="9360" joinstyle="miter" endcap="flat"/>
                  <w10:wrap type="topAndBottom"/>
                </v:shape>
                <v:shape id="shape_0" fillcolor="white" stroked="f" o:allowincell="f" style="position:absolute;left:5018;top:1236;width:1818;height:431;mso-wrap-style:square;v-text-anchor:top" type="_x0000_t202">
                  <v:textbox>
                    <w:txbxContent>
                      <w:p>
                        <w:pPr>
                          <w:overflowPunct w:val="false"/>
                          <w:bidi w:val="0"/>
                          <w:spacing w:before="0" w:after="120"/>
                          <w:jc w:val="both"/>
                          <w:rPr/>
                        </w:pPr>
                        <w:r>
                          <w:rPr>
                            <w:kern w:val="2"/>
                            <w:sz w:val="16"/>
                            <w:szCs w:val="20"/>
                            <w:rFonts w:ascii="Times New Roman" w:hAnsi="Times New Roman" w:eastAsia="Times New Roman" w:cs="Times New Roman"/>
                            <w:color w:val="auto"/>
                            <w:lang w:val="en-US"/>
                          </w:rPr>
                          <w:t>Greenhouse Lease</w:t>
                        </w:r>
                      </w:p>
                    </w:txbxContent>
                  </v:textbox>
                  <v:fill o:detectmouseclick="t" type="solid" color2="black"/>
                  <v:stroke color="#3465a4" joinstyle="round" endcap="flat"/>
                  <w10:wrap type="topAndBottom"/>
                </v:shape>
                <v:line id="shape_0" from="5019,1524" to="5019,1955" stroked="t" o:allowincell="f" style="position:absolute">
                  <v:stroke color="black" weight="9360" endarrow="block" endarrowwidth="medium" endarrowlength="medium" joinstyle="miter" endcap="flat"/>
                  <v:fill o:detectmouseclick="t" on="false"/>
                  <w10:wrap type="topAndBottom"/>
                </v:line>
                <v:line id="shape_0" from="5019,1524" to="7817,1524" stroked="t" o:allowincell="f" style="position:absolute">
                  <v:stroke color="black" weight="9360" joinstyle="miter" endcap="flat"/>
                  <v:fill o:detectmouseclick="t" on="false"/>
                  <w10:wrap type="topAndBottom"/>
                </v:line>
                <v:line id="shape_0" from="7818,966" to="7818,1523" stroked="t" o:allowincell="f" style="position:absolute;flip:y">
                  <v:stroke color="black" weight="9360" endarrow="block" endarrowwidth="medium" endarrowlength="medium" joinstyle="miter" endcap="flat"/>
                  <v:fill o:detectmouseclick="t" on="false"/>
                  <w10:wrap type="topAndBottom"/>
                </v:line>
                <v:shape id="shape_0" fillcolor="white" stroked="t" o:allowincell="f" style="position:absolute;left:5857;top:2100;width:3218;height:1289;mso-wrap-style:square;v-text-anchor:top" type="_x0000_t202">
                  <v:textbox>
                    <w:txbxContent>
                      <w:p>
                        <w:pPr>
                          <w:overflowPunct w:val="false"/>
                          <w:bidi w:val="0"/>
                          <w:spacing w:before="0" w:after="60"/>
                          <w:ind w:start="180" w:end="0" w:hanging="180"/>
                          <w:jc w:val="start"/>
                          <w:rPr/>
                        </w:pPr>
                        <w:r>
                          <w:rPr>
                            <w:kern w:val="2"/>
                            <w:sz w:val="16"/>
                            <w:u w:val="single"/>
                            <w:szCs w:val="20"/>
                            <w:rFonts w:ascii="Times New Roman" w:hAnsi="Times New Roman" w:eastAsia="Times New Roman" w:cs="Times New Roman"/>
                            <w:color w:val="auto"/>
                            <w:lang w:val="en-US"/>
                          </w:rPr>
                          <w:t>Enron North America Corp.</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Operations &amp; Maintenance</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Secondary Gas and Transportation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Gas and interest rate hedge</w:t>
                        </w:r>
                      </w:p>
                    </w:txbxContent>
                  </v:textbox>
                  <v:fill o:detectmouseclick="t" type="solid" color2="black"/>
                  <v:stroke color="black" weight="9360" joinstyle="miter" endcap="flat"/>
                  <w10:wrap type="topAndBottom"/>
                </v:shape>
                <v:line id="shape_0" from="5158,2964" to="5856,2964" stroked="t" o:allowincell="f" style="position:absolute;flip:x">
                  <v:stroke color="black" weight="9360" joinstyle="miter" endcap="flat"/>
                  <v:fill o:detectmouseclick="t" on="false"/>
                  <w10:wrap type="topAndBottom"/>
                </v:line>
                <v:line id="shape_0" from="5159,2388" to="5159,2963" stroked="t" o:allowincell="f" style="position:absolute;flip:y">
                  <v:stroke color="black" weight="9360" endarrow="block" endarrowwidth="medium" endarrowlength="medium" joinstyle="miter" endcap="flat"/>
                  <v:fill o:detectmouseclick="t" on="false"/>
                  <w10:wrap type="topAndBottom"/>
                </v:line>
                <v:shape id="shape_0" fillcolor="white" stroked="t" o:allowincell="f" style="position:absolute;left:5857;top:4472;width:3358;height:1082;mso-wrap-style:square;v-text-anchor:top" type="_x0000_t202">
                  <v:textbox>
                    <w:txbxContent>
                      <w:p>
                        <w:pPr>
                          <w:overflowPunct w:val="false"/>
                          <w:bidi w:val="0"/>
                          <w:spacing w:before="0" w:after="60"/>
                          <w:jc w:val="both"/>
                          <w:rPr/>
                        </w:pPr>
                        <w:r>
                          <w:rPr>
                            <w:kern w:val="2"/>
                            <w:sz w:val="16"/>
                            <w:u w:val="single"/>
                            <w:szCs w:val="20"/>
                            <w:rFonts w:ascii="Times New Roman" w:hAnsi="Times New Roman" w:eastAsia="Times New Roman" w:cs="Times New Roman"/>
                            <w:color w:val="auto"/>
                            <w:lang w:val="en-US"/>
                          </w:rPr>
                          <w:t>Nevada Power Company</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PPA for 45 MW of on-peak off-take through 2024.</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Long-term debt rating of BBB/Baa2</w:t>
                        </w:r>
                      </w:p>
                    </w:txbxContent>
                  </v:textbox>
                  <v:fill o:detectmouseclick="t" type="solid" color2="black"/>
                  <v:stroke color="black" weight="9360" joinstyle="miter" endcap="flat"/>
                  <w10:wrap type="topAndBottom"/>
                </v:shape>
                <v:line id="shape_0" from="4879,2388" to="4879,3971" stroked="t" o:allowincell="f" style="position:absolute">
                  <v:stroke color="black" weight="9360" joinstyle="miter" endcap="flat"/>
                  <v:fill o:detectmouseclick="t" on="false"/>
                  <w10:wrap type="topAndBottom"/>
                </v:line>
                <v:line id="shape_0" from="4879,3972" to="8236,3972" stroked="t" o:allowincell="f" style="position:absolute">
                  <v:stroke color="black" weight="9360" joinstyle="miter" endcap="flat"/>
                  <v:fill o:detectmouseclick="t" on="false"/>
                  <w10:wrap type="topAndBottom"/>
                </v:line>
                <v:line id="shape_0" from="8237,3972" to="8237,4472" stroked="t" o:allowincell="f" style="position:absolute">
                  <v:stroke color="black" weight="9360" endarrow="block" endarrowwidth="medium" endarrowlength="medium" joinstyle="miter" endcap="flat"/>
                  <v:fill o:detectmouseclick="t" on="false"/>
                  <w10:wrap type="topAndBottom"/>
                </v:line>
                <v:shape id="shape_0" fillcolor="white" stroked="t" o:allowincell="f" style="position:absolute;left:5857;top:5700;width:3358;height:1295;mso-wrap-style:square;v-text-anchor:top" type="_x0000_t202">
                  <v:textbox>
                    <w:txbxContent>
                      <w:p>
                        <w:pPr>
                          <w:overflowPunct w:val="false"/>
                          <w:bidi w:val="0"/>
                          <w:spacing w:before="0" w:after="60"/>
                          <w:jc w:val="start"/>
                          <w:rPr/>
                        </w:pPr>
                        <w:r>
                          <w:rPr>
                            <w:kern w:val="2"/>
                            <w:sz w:val="16"/>
                            <w:u w:val="single"/>
                            <w:szCs w:val="20"/>
                            <w:rFonts w:ascii="Times New Roman" w:hAnsi="Times New Roman" w:eastAsia="Times New Roman" w:cs="Times New Roman"/>
                            <w:color w:val="auto"/>
                            <w:lang w:val="en-US"/>
                          </w:rPr>
                          <w:t>Nevada Power Company</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1-year renewal Limited Release Agreement.</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Release of energy during off-peak and excess on-peak outside of 45 MW obligation</w:t>
                        </w:r>
                      </w:p>
                      <w:p>
                        <w:pPr>
                          <w:overflowPunct w:val="false"/>
                          <w:bidi w:val="0"/>
                          <w:spacing w:before="0" w:after="60"/>
                          <w:ind w:start="180" w:end="0" w:hanging="180"/>
                          <w:jc w:val="start"/>
                          <w:rPr/>
                        </w:pPr>
                        <w:r>
                          <w:rPr>
                            <w:kern w:val="2"/>
                            <w:sz w:val="16"/>
                            <w:szCs w:val="20"/>
                            <w:rFonts w:ascii="Times New Roman" w:hAnsi="Times New Roman" w:eastAsia="Times New Roman" w:cs="Times New Roman"/>
                            <w:color w:val="auto"/>
                            <w:lang w:val="en-US"/>
                          </w:rPr>
                          <w:t>Sharing of value between NPC and LVCLP</w:t>
                        </w:r>
                      </w:p>
                    </w:txbxContent>
                  </v:textbox>
                  <v:fill o:detectmouseclick="t" type="solid" color2="black"/>
                  <v:stroke color="black" weight="9360" joinstyle="miter" endcap="flat"/>
                  <w10:wrap type="topAndBottom"/>
                </v:shape>
                <v:line id="shape_0" from="4598,6420" to="5856,6420" stroked="t" o:allowincell="f" style="position:absolute;flip:x">
                  <v:stroke color="black" weight="9360" joinstyle="miter" endcap="flat"/>
                  <v:fill o:detectmouseclick="t" on="false"/>
                  <w10:wrap type="topAndBottom"/>
                </v:line>
                <v:line id="shape_0" from="4599,2388" to="4599,6419" stroked="t" o:allowincell="f" style="position:absolute;flip:y">
                  <v:stroke color="black" weight="9360" endarrow="block" endarrowwidth="medium" endarrowlength="medium" joinstyle="miter" endcap="flat"/>
                  <v:fill o:detectmouseclick="t" on="false"/>
                  <w10:wrap type="topAndBottom"/>
                </v:line>
              </v:group>
            </w:pict>
          </mc:Fallback>
        </mc:AlternateContent>
      </w:r>
    </w:p>
    <w:p>
      <w:pPr>
        <w:pStyle w:val="Heading2"/>
        <w:ind w:hanging="0" w:start="-360"/>
        <w:rPr>
          <w:rFonts w:ascii="Arial" w:hAnsi="Arial" w:cs="Arial"/>
        </w:rPr>
      </w:pPr>
      <w:bookmarkStart w:id="5" w:name="__RefHeading___Toc483025974"/>
      <w:bookmarkEnd w:id="5"/>
      <w:r>
        <w:rPr>
          <w:rFonts w:cs="Arial" w:ascii="Arial" w:hAnsi="Arial"/>
        </w:rPr>
        <w:t>Power Purchase Agreement</w:t>
      </w:r>
    </w:p>
    <w:p>
      <w:pPr>
        <w:pStyle w:val="Normal"/>
        <w:rPr/>
      </w:pPr>
      <w:r>
        <w:rPr>
          <w:rFonts w:cs="Arial" w:ascii="Arial" w:hAnsi="Arial"/>
        </w:rPr>
        <w:t>The PPA between LVCLP and NPC was executed in May 1992, and runs for 30 years of operation (to May 2024).  It is a fixed-price contract, with payments for demonstrated capacity (payable regardless of whether the plant runs) and energy (paid for power actually delivered).  Both components of the power price are escalated annually at 80% of the annual change in CPI; the escalation date is May 1</w:t>
      </w:r>
      <w:r>
        <w:rPr>
          <w:rFonts w:cs="Arial" w:ascii="Arial" w:hAnsi="Arial"/>
          <w:vertAlign w:val="superscript"/>
        </w:rPr>
        <w:t>st</w:t>
      </w:r>
      <w:r>
        <w:rPr>
          <w:rFonts w:cs="Arial" w:ascii="Arial" w:hAnsi="Arial"/>
        </w:rPr>
        <w:t xml:space="preserve"> each year. </w:t>
      </w:r>
    </w:p>
    <w:p>
      <w:pPr>
        <w:pStyle w:val="Normal"/>
        <w:rPr>
          <w:rFonts w:ascii="Arial" w:hAnsi="Arial" w:cs="Arial"/>
        </w:rPr>
      </w:pPr>
      <w:r>
        <w:rPr>
          <w:rFonts w:cs="Arial" w:ascii="Arial" w:hAnsi="Arial"/>
        </w:rPr>
        <w:t>NPC must take all power produced up to 45 MW during on-peak hours. On peak hours represent 52% of the total hours in a year and include the following periods:</w:t>
      </w:r>
    </w:p>
    <w:p>
      <w:pPr>
        <w:pStyle w:val="Normal"/>
        <w:numPr>
          <w:ilvl w:val="0"/>
          <w:numId w:val="3"/>
        </w:numPr>
        <w:ind w:hanging="360" w:start="720" w:end="0"/>
        <w:rPr>
          <w:rFonts w:ascii="Arial" w:hAnsi="Arial" w:cs="Arial"/>
        </w:rPr>
      </w:pPr>
      <w:r>
        <w:rPr>
          <w:rFonts w:cs="Arial" w:ascii="Arial" w:hAnsi="Arial"/>
        </w:rPr>
        <w:t>Summer season: 10:00 am to 10:00 pm (12 hours) from May through September (5 months).</w:t>
      </w:r>
    </w:p>
    <w:p>
      <w:pPr>
        <w:pStyle w:val="Normal"/>
        <w:numPr>
          <w:ilvl w:val="0"/>
          <w:numId w:val="3"/>
        </w:numPr>
        <w:ind w:hanging="360" w:start="720" w:end="0"/>
        <w:rPr>
          <w:rFonts w:ascii="Arial" w:hAnsi="Arial" w:cs="Arial"/>
        </w:rPr>
      </w:pPr>
      <w:r>
        <w:rPr>
          <w:rFonts w:cs="Arial" w:ascii="Arial" w:hAnsi="Arial"/>
        </w:rPr>
        <w:t>Winter season: 5:00 am to 10:00 am (5 hours) and 4:00 pm to 12:00 pm (8 hours) from October through April (7 months).</w:t>
      </w:r>
    </w:p>
    <w:p>
      <w:pPr>
        <w:pStyle w:val="Normal"/>
        <w:rPr>
          <w:rFonts w:ascii="Arial" w:hAnsi="Arial" w:cs="Arial"/>
        </w:rPr>
      </w:pPr>
      <w:r>
        <w:rPr>
          <w:rFonts w:cs="Arial" w:ascii="Arial" w:hAnsi="Arial"/>
        </w:rPr>
        <w:t>If LVCLP fails to demonstrate at least 90% availability during either the summer or winter on-peak period, it is placed on “probation” for a period of 12 months (but only for that season).  It should be noted that the 90% availability must be demonstrated during all 5 of the summer season months, but only during December through February in the winter season (3 out of 7 winter months).  This arrangement provides LVCLP with a window twice a year to perform maintenance.  If LVCLP meets the 90% threshold during a probationary 12-month period, it will be taken off probation.  If it fails to achieve 90%, NPC may elect either to extend the probation period for a further 12 months, or to reduce the contract capacity to a capacity not less than the average level actually demonstrated during the probationary period.</w:t>
      </w:r>
    </w:p>
    <w:p>
      <w:pPr>
        <w:pStyle w:val="Normal"/>
        <w:rPr>
          <w:rFonts w:ascii="Arial" w:hAnsi="Arial" w:cs="Arial"/>
        </w:rPr>
      </w:pPr>
      <w:r>
        <w:rPr>
          <w:rFonts w:cs="Arial" w:ascii="Arial" w:hAnsi="Arial"/>
        </w:rPr>
        <w:t>Energy rates are payable on the energy actually delivered, all year round, at rates that escalate year-to-year at CPI.</w:t>
      </w:r>
    </w:p>
    <w:p>
      <w:pPr>
        <w:pStyle w:val="Normal"/>
        <w:rPr>
          <w:rFonts w:ascii="Arial" w:hAnsi="Arial" w:cs="Arial"/>
        </w:rPr>
      </w:pPr>
      <w:r>
        <w:rPr>
          <w:rFonts w:cs="Arial" w:ascii="Arial" w:hAnsi="Arial"/>
        </w:rPr>
        <w:t>The PPA allows NPC to curtail its takes under the agreement during “off-peak or light-load hours when due to operational circumstances other than economic dispatch, purchases…” will result in costs greater than those that NPC may otherwise incur if NPC generates or purchases an equivalent amount of energy. The provision expressly precludes NPC from “economic dispatch” of the Project, i.e. from curtailing power deliveries, simply because it can generate power from its own system more cheaply. This issue was the subject of a dispute between LVCLP and NPC, which was finalized in 1997 after an arbitrator ruled in favor of LVCLP. Although the contract has not been amended, to recognize this interpretation, the arbitration award has finally resolved this matter.</w:t>
      </w:r>
    </w:p>
    <w:p>
      <w:pPr>
        <w:pStyle w:val="Normal"/>
        <w:rPr/>
      </w:pPr>
      <w:r>
        <w:rPr>
          <w:rFonts w:cs="Arial" w:ascii="Arial" w:hAnsi="Arial"/>
          <w:b/>
        </w:rPr>
        <w:t xml:space="preserve">Potential to Renegotiate the PPA.  </w:t>
      </w:r>
      <w:r>
        <w:rPr>
          <w:rFonts w:cs="Arial" w:ascii="Arial" w:hAnsi="Arial"/>
        </w:rPr>
        <w:t xml:space="preserve">ENA has had several discussions with Nevada Power in regards to renegotiating the PPA.  Nevada Power has expressed an interest restructuring he PPA such that LVCLP would have delivery point flexibility, allowing it to meet its contractual obligations under the PPA from nearby markets or through self-generation.  </w:t>
      </w:r>
    </w:p>
    <w:p>
      <w:pPr>
        <w:pStyle w:val="Heading4"/>
        <w:spacing w:before="120" w:after="240"/>
        <w:ind w:hanging="0" w:start="0"/>
        <w:rPr/>
      </w:pPr>
      <w:bookmarkStart w:id="6" w:name="__RefHeading___Toc483025976"/>
      <w:r>
        <w:rPr>
          <w:i w:val="false"/>
          <w:sz w:val="22"/>
        </w:rPr>
        <w:t>Merchant Sharing Agreement</w:t>
      </w:r>
      <w:bookmarkEnd w:id="6"/>
      <w:r>
        <w:rPr>
          <w:i w:val="false"/>
          <w:sz w:val="22"/>
        </w:rPr>
        <w:t xml:space="preserve">.  </w:t>
      </w:r>
      <w:r>
        <w:rPr>
          <w:b w:val="false"/>
          <w:i w:val="false"/>
          <w:sz w:val="22"/>
        </w:rPr>
        <w:t>The existing PPA grants to Nevada Power Corporation (NPC) a right to purchase the entire electric energy and capacity output of the plant during “on-peak” hours, and a right of first refusal to purchase the entire electric capacity and energy output, net of station usuage, of the plant during all other hours. In April 2000, LVCLP and NPC executed a Limited Release Agreement of Applicable Energy (the “Limited Release Agreement”) to share in value created from the sale of off-peak and excess on-peak energy above the 45 MW per hour during “on-peak hours PPA obligation. The Limited Release Agreement has a one-year term and includes a profit-sharing mechanism whereby NPC is paid a portion of the profits based on the day-ahead CalPX settlement price, less variable, transmission, and market service costs. In light of certain findings in arbitration proceedings between LVCLP and NPC (although not addressed directly), an argument can be made that NPC does not in fact have any right or obligation to receive more than 45 MW per hour during “on-peak” hours from the plant, and that excess sales can be made directly from the plant without any further payments to NPC (other than transmission cost).  There can be assurance that this argument would prevail if NPC challenged LVCLP’s right to make such excess sales.</w:t>
      </w:r>
    </w:p>
    <w:p>
      <w:pPr>
        <w:pStyle w:val="Heading4"/>
        <w:ind w:hanging="0" w:start="0"/>
        <w:rPr/>
      </w:pPr>
      <w:bookmarkStart w:id="7" w:name="__RefHeading___Toc483025977"/>
      <w:r>
        <w:rPr>
          <w:i w:val="false"/>
          <w:sz w:val="22"/>
        </w:rPr>
        <w:t>EPMI Commodities Services Agreement</w:t>
      </w:r>
      <w:bookmarkEnd w:id="7"/>
      <w:r>
        <w:rPr/>
        <w:t xml:space="preserve">.  </w:t>
      </w:r>
      <w:r>
        <w:rPr>
          <w:b w:val="false"/>
          <w:i w:val="false"/>
          <w:sz w:val="22"/>
        </w:rPr>
        <w:t>To facilitate the merchant sales under the Limited Release Agreement, LVCLP has entered into a Commodities Services Agreement with EPMI as its market services provider. Services will include facilitating the merchant energy sales transactions into the California PX and Nevada markets, fuel management services, and consulting services. This agreement has the same expiration as the “Merchant Sharing Agreement.  (NEED TO CONFIRM)</w:t>
      </w:r>
    </w:p>
    <w:p>
      <w:pPr>
        <w:pStyle w:val="Heading3"/>
        <w:ind w:hanging="0" w:start="0"/>
        <w:rPr/>
      </w:pPr>
      <w:bookmarkStart w:id="8" w:name="__RefHeading___Toc483025978"/>
      <w:r>
        <w:rPr/>
        <w:t>Gas Supply and Transportation Agreements</w:t>
      </w:r>
      <w:bookmarkEnd w:id="8"/>
      <w:r>
        <w:rPr/>
        <w:t xml:space="preserve">.  </w:t>
      </w:r>
      <w:r>
        <w:rPr>
          <w:b w:val="false"/>
          <w:sz w:val="22"/>
        </w:rPr>
        <w:t>ENA’s acquisition of LVCLP from the previous owner was accompanied by certain changes to the gas supply and transportation agreements. These changes were implemented to remove the owners and its affiliates from the contract fuel structure.  The changes to the gas supply arrangements are described in greater detail below.</w:t>
      </w:r>
    </w:p>
    <w:p>
      <w:pPr>
        <w:pStyle w:val="Heading4"/>
        <w:tabs>
          <w:tab w:val="left" w:pos="720" w:leader="none"/>
        </w:tabs>
        <w:spacing w:before="120" w:after="240"/>
        <w:ind w:hanging="0" w:start="0"/>
        <w:rPr/>
      </w:pPr>
      <w:bookmarkStart w:id="9" w:name="__RefHeading___Toc483025979"/>
      <w:bookmarkEnd w:id="9"/>
      <w:r>
        <w:rPr/>
        <w:t>Primary Gas Supply and Transportation Agreement</w:t>
      </w:r>
    </w:p>
    <w:p>
      <w:pPr>
        <w:pStyle w:val="Normal"/>
        <w:rPr>
          <w:rFonts w:ascii="Arial" w:hAnsi="Arial" w:cs="Arial"/>
        </w:rPr>
      </w:pPr>
      <w:r>
        <w:rPr>
          <w:rFonts w:cs="Arial" w:ascii="Arial" w:hAnsi="Arial"/>
        </w:rPr>
        <w:t>The previous owners undertook the primary gas supply and transportation obligations to the Project under a 17-year agreement, which expires in April 2011 (the “UEC Gas Supply Agreement”).  Its obligations were performed by Duke Energy Fuels L.P. (“Duke Fuels”) under a co-terminus agreement with UEC (the “Duke Fuels Gas Supply Agreement”).</w:t>
      </w:r>
    </w:p>
    <w:p>
      <w:pPr>
        <w:pStyle w:val="Normal"/>
        <w:rPr>
          <w:rFonts w:ascii="Arial" w:hAnsi="Arial" w:cs="Arial"/>
        </w:rPr>
      </w:pPr>
      <w:r>
        <w:rPr>
          <w:rFonts w:cs="Arial" w:ascii="Arial" w:hAnsi="Arial"/>
        </w:rPr>
        <w:t xml:space="preserve">The key provisions of the two agreements were identical, in all material respects, thus providing an effective back-to-back arrangement.  These arrangements were rationalized with the purchase by ENA of LVCLP.  As conditions to closing the purchase, the UEC Gas Supply Agreement was terminated, and the Duke Fuels Gas Supply Agreement assigned by UEC to LVCLP. </w:t>
      </w:r>
    </w:p>
    <w:p>
      <w:pPr>
        <w:pStyle w:val="Normal"/>
        <w:rPr>
          <w:rFonts w:ascii="Arial" w:hAnsi="Arial" w:cs="Arial"/>
        </w:rPr>
      </w:pPr>
      <w:r>
        <w:rPr>
          <w:rFonts w:cs="Arial" w:ascii="Arial" w:hAnsi="Arial"/>
        </w:rPr>
        <w:t>The Maximum Daily Quantity (“MDQ”) in the Duke Fuels Gas Supply Agreement is 5,000 MMBtu/day, which exceeds the plant’s fuel requirements to meet the PPA’s on-peak dispatch load.</w:t>
      </w:r>
    </w:p>
    <w:p>
      <w:pPr>
        <w:pStyle w:val="Normal"/>
        <w:rPr>
          <w:rFonts w:ascii="Arial" w:hAnsi="Arial" w:cs="Arial"/>
        </w:rPr>
      </w:pPr>
      <w:r>
        <w:rPr>
          <w:rFonts w:cs="Arial" w:ascii="Arial" w:hAnsi="Arial"/>
        </w:rPr>
        <w:t xml:space="preserve">The price for gas in the Duke Fuels Gas Supply Agreement is fixed from May 1, 1994 through April 30, 2000; the price floats thereafter, but it has been hedged by ENA for 10 years.  Also pursuant to the Duke Fuels Gas Supply Agreement, LVCLP is required to provide Duke Fuels with a letter of credit, guaranteeing its future performance under the contract. </w:t>
      </w:r>
    </w:p>
    <w:p>
      <w:pPr>
        <w:pStyle w:val="Normal"/>
        <w:rPr>
          <w:rFonts w:ascii="Arial" w:hAnsi="Arial" w:cs="Arial"/>
        </w:rPr>
      </w:pPr>
      <w:r>
        <w:rPr>
          <w:rFonts w:cs="Arial" w:ascii="Arial" w:hAnsi="Arial"/>
        </w:rPr>
        <w:t xml:space="preserve">Gas is transported through the Kern River pipeline under the terms of a separate agreement between Duke Fuels and Kern River Gas Transmission Company.  </w:t>
      </w:r>
    </w:p>
    <w:p>
      <w:pPr>
        <w:pStyle w:val="Heading4"/>
        <w:tabs>
          <w:tab w:val="left" w:pos="720" w:leader="none"/>
        </w:tabs>
        <w:spacing w:before="120" w:after="240"/>
        <w:ind w:hanging="0" w:start="0"/>
        <w:rPr/>
      </w:pPr>
      <w:bookmarkStart w:id="10" w:name="__RefHeading___Toc483025980"/>
      <w:bookmarkEnd w:id="10"/>
      <w:r>
        <w:rPr/>
        <w:t>Primary Gas Hedging</w:t>
      </w:r>
    </w:p>
    <w:p>
      <w:pPr>
        <w:pStyle w:val="Normal"/>
        <w:rPr>
          <w:rFonts w:ascii="Arial" w:hAnsi="Arial" w:cs="Arial"/>
        </w:rPr>
      </w:pPr>
      <w:r>
        <w:rPr>
          <w:rFonts w:cs="Arial" w:ascii="Arial" w:hAnsi="Arial"/>
        </w:rPr>
        <w:t>From May 1, 2000, the contract price under the Duke Fuels Gas Supply Agreement is set by reference to a defined market price index (please see chart below).  In order to cover this market price exposure, ENA has entered into a series of forward commodity swaps with LVCLP.  The Project will therefore receive fixed-priced (non-escalating) gas for a period of 10 years from May 1, 2000 to April 30, 2010.  The strike price is $2.405/MMBtu.</w:t>
      </w:r>
    </w:p>
    <w:p>
      <w:pPr>
        <w:pStyle w:val="Normal"/>
        <w:ind w:start="360" w:end="0"/>
        <w:rPr>
          <w:rFonts w:ascii="Arial" w:hAnsi="Arial" w:cs="Arial"/>
        </w:rPr>
      </w:pPr>
      <w:r>
        <w:rPr>
          <w:rFonts w:cs="Arial" w:ascii="Arial" w:hAnsi="Arial"/>
        </w:rPr>
      </w:r>
    </w:p>
    <w:p>
      <w:pPr>
        <w:pStyle w:val="Normal"/>
        <w:ind w:start="360" w:end="0"/>
        <w:rPr>
          <w:rFonts w:ascii="Arial" w:hAnsi="Arial" w:cs="Arial"/>
          <w:b/>
        </w:rPr>
      </w:pPr>
      <w:r>
        <w:rPr>
          <w:rFonts w:cs="Arial" w:ascii="Arial" w:hAnsi="Arial"/>
          <w:b/>
        </w:rPr>
        <w:t>Natural Gas Financial Hedge</w:t>
      </w:r>
    </w:p>
    <w:p>
      <w:pPr>
        <w:pStyle w:val="Normal"/>
        <w:ind w:start="-576" w:end="0"/>
        <w:jc w:val="center"/>
        <w:rPr>
          <w:rFonts w:ascii="Arial" w:hAnsi="Arial" w:cs="Arial"/>
        </w:rPr>
      </w:pPr>
      <w:bookmarkStart w:id="11" w:name="_1019904141"/>
      <w:bookmarkStart w:id="12" w:name="_1019748073"/>
      <w:bookmarkStart w:id="13" w:name="_1019748021"/>
      <w:bookmarkEnd w:id="11"/>
      <w:bookmarkEnd w:id="12"/>
      <w:bookmarkEnd w:id="13"/>
      <w:r>
        <w:rPr>
          <w:rFonts w:cs="Arial" w:ascii="Arial" w:hAnsi="Arial"/>
          <w:lang w:val="en-CA"/>
        </w:rPr>
        <w:object w:dxaOrig="14400" w:dyaOrig="1080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492.4pt;height:368.95pt" filled="f" o:ole="">
            <v:imagedata r:id="rId12" o:title=""/>
          </v:shape>
          <o:OLEObject Type="Embed" ProgID="PowerPoint.Show.12" ShapeID="ole_rId11" DrawAspect="Content" ObjectID="_1098258851" r:id="rId11"/>
        </w:object>
      </w:r>
    </w:p>
    <w:p>
      <w:pPr>
        <w:pStyle w:val="Heading4"/>
        <w:spacing w:before="40" w:after="240"/>
        <w:ind w:hanging="0" w:start="0"/>
        <w:rPr/>
      </w:pPr>
      <w:bookmarkStart w:id="14" w:name="__RefHeading___Toc483025981"/>
      <w:bookmarkEnd w:id="14"/>
      <w:r>
        <w:rPr/>
        <w:t>Transportation – Kern River Gas Transmission Company</w:t>
      </w:r>
    </w:p>
    <w:p>
      <w:pPr>
        <w:pStyle w:val="Normal"/>
        <w:ind w:start="360" w:end="0"/>
        <w:rPr>
          <w:rFonts w:ascii="Arial" w:hAnsi="Arial" w:cs="Arial"/>
        </w:rPr>
      </w:pPr>
      <w:r>
        <w:rPr>
          <w:rFonts w:cs="Arial" w:ascii="Arial" w:hAnsi="Arial"/>
        </w:rPr>
        <w:t>Duke Fuels’ transportation obligations under the Duke Fuels Gas Supply Agreement are performed by Kern River Gas Transmission Company under an agreement with Duke Fuels (the “KRGTC Agreement”).  This agreement expires in February 2009, but is extendable for successive 1-year periods thereafter, at Duke Fuels’ option.</w:t>
      </w:r>
    </w:p>
    <w:p>
      <w:pPr>
        <w:pStyle w:val="Normal"/>
        <w:ind w:start="360" w:end="0"/>
        <w:rPr>
          <w:rFonts w:ascii="Arial" w:hAnsi="Arial" w:cs="Arial"/>
        </w:rPr>
      </w:pPr>
      <w:r>
        <w:rPr>
          <w:rFonts w:cs="Arial" w:ascii="Arial" w:hAnsi="Arial"/>
        </w:rPr>
        <w:t>Rates are renegotiated prior to any extension of the agreement, but are capped at FERC’s maximum authorized rate for firm transportation service at the time.</w:t>
      </w:r>
    </w:p>
    <w:p>
      <w:pPr>
        <w:pStyle w:val="Normal"/>
        <w:ind w:start="360" w:end="0"/>
        <w:rPr>
          <w:rFonts w:ascii="Arial" w:hAnsi="Arial" w:cs="Arial"/>
        </w:rPr>
      </w:pPr>
      <w:r>
        <w:rPr>
          <w:rFonts w:cs="Arial" w:ascii="Arial" w:hAnsi="Arial"/>
        </w:rPr>
        <w:t xml:space="preserve">The primary receipt points for gas is at Opal, Wyoming, the northern most point of the Kern River Pipeline, and delivery is at the interconnection with Southwest Gas Corporation (“Southwest Gas”) 4.5 miles from the Project site. </w:t>
      </w:r>
    </w:p>
    <w:p>
      <w:pPr>
        <w:pStyle w:val="Heading4"/>
        <w:tabs>
          <w:tab w:val="left" w:pos="720" w:leader="none"/>
        </w:tabs>
        <w:spacing w:before="120" w:after="240"/>
        <w:ind w:hanging="0" w:start="0"/>
        <w:rPr/>
      </w:pPr>
      <w:bookmarkStart w:id="15" w:name="__RefHeading___Toc483025982"/>
      <w:bookmarkEnd w:id="15"/>
      <w:r>
        <w:rPr/>
        <w:t>Transportation – Southwest Gas Corporation</w:t>
      </w:r>
    </w:p>
    <w:p>
      <w:pPr>
        <w:pStyle w:val="Normal"/>
        <w:ind w:start="360" w:end="0"/>
        <w:rPr>
          <w:rFonts w:ascii="Arial" w:hAnsi="Arial" w:cs="Arial"/>
        </w:rPr>
      </w:pPr>
      <w:r>
        <w:rPr>
          <w:rFonts w:cs="Arial" w:ascii="Arial" w:hAnsi="Arial"/>
        </w:rPr>
        <w:t>After transmission of the Project’s gas through Kern River, it is transferred to Southwest Gas’ system, for the final 4.5 miles to the Project site.  LVCLP’s agreement with Southwest is for 17 years (expiring in August 2011), subject to year-to-year extensions thereafter at renegotiated rates.</w:t>
      </w:r>
    </w:p>
    <w:p>
      <w:pPr>
        <w:pStyle w:val="Normal"/>
        <w:ind w:start="360" w:end="0"/>
        <w:rPr>
          <w:rFonts w:ascii="Arial" w:hAnsi="Arial" w:cs="Arial"/>
        </w:rPr>
      </w:pPr>
      <w:r>
        <w:rPr>
          <w:rFonts w:cs="Arial" w:ascii="Arial" w:hAnsi="Arial"/>
        </w:rPr>
        <w:t xml:space="preserve">The MDQ in the Southwest Gas Agreement is 5,200 MMBtu/day (4% above the Duke Fuels MDQ).  The rates for firm transportation escalate at 80% of the change in CPI, representing a perfect hedge with the PPA rates. Pursuant to the agreement, Southwest Gas constructed a 4.5-mile spur connecting Kern River to the Project site specifically to service the Project.  Although the cost of construction was fully covered by Southwest Gas, the company also sought assurances that it would not lose the value of its capital investment due to LVCLP’s non-performance of its obligations under the Gas Agreement.  To satisfy Southwest Gas’s requirement, the facilities incorporate a $0.89 million letter of credit.  The amount of the letter of credit amortizes during the term of the senior debt according to the depreciation schedule of the spur and can be drawn in the event of LVCLP’s non-performance under the contract.  </w:t>
      </w:r>
    </w:p>
    <w:p>
      <w:pPr>
        <w:pStyle w:val="Heading4"/>
        <w:spacing w:before="120" w:after="240"/>
        <w:ind w:hanging="0" w:start="0"/>
        <w:rPr/>
      </w:pPr>
      <w:bookmarkStart w:id="16" w:name="__RefHeading___Toc483025983"/>
      <w:bookmarkEnd w:id="16"/>
      <w:r>
        <w:rPr/>
        <w:t>Secondary Gas Supply and Transportation Arrangements</w:t>
      </w:r>
    </w:p>
    <w:p>
      <w:pPr>
        <w:pStyle w:val="Normal"/>
        <w:ind w:start="360" w:end="0"/>
        <w:rPr/>
      </w:pPr>
      <w:r>
        <w:rPr>
          <w:rFonts w:cs="Arial" w:ascii="Arial" w:hAnsi="Arial"/>
        </w:rPr>
        <w:t xml:space="preserve">As a condition to the approval of the PPA by the Nevada Public Utilities Commission (“NPUC”), LVCLP has to demonstrate pursuant to the NPUC order, </w:t>
      </w:r>
      <w:r>
        <w:rPr>
          <w:rFonts w:cs="Arial" w:ascii="Arial" w:hAnsi="Arial"/>
          <w:i/>
        </w:rPr>
        <w:t>inter alia</w:t>
      </w:r>
      <w:r>
        <w:rPr>
          <w:rFonts w:cs="Arial" w:ascii="Arial" w:hAnsi="Arial"/>
        </w:rPr>
        <w:t>, that it has entered into primary and secondary gas supply arrangements for at least 15 years duration.  To satisfy this requirement, LVCLP had a secondary gas supply and transportation agreement with United Oil &amp; Minerals (“UOM”).  This agreement was terminated at closing of the Project’s purchase by ENA, and ENA has taken over UOM’s former role.</w:t>
      </w:r>
    </w:p>
    <w:p>
      <w:pPr>
        <w:pStyle w:val="Normal"/>
        <w:ind w:start="360" w:end="0"/>
        <w:rPr>
          <w:rFonts w:ascii="Arial" w:hAnsi="Arial" w:cs="Arial"/>
        </w:rPr>
      </w:pPr>
      <w:r>
        <w:rPr>
          <w:rFonts w:cs="Arial" w:ascii="Arial" w:hAnsi="Arial"/>
        </w:rPr>
        <w:t>ENA’s secondary gas supply agreement is for 5,000 MMBtu/day and runs from September 1, 1999 through May 31, 2024.  Daily pricing is equal to the SoCal Border price plus $0.10/MMBtu and the primary delivery point is the interconnect between the El Paso pipeline and Southwest Gas Company.</w:t>
      </w:r>
    </w:p>
    <w:p>
      <w:pPr>
        <w:pStyle w:val="Heading4"/>
        <w:spacing w:before="120" w:after="240"/>
        <w:ind w:hanging="0" w:start="0"/>
        <w:rPr/>
      </w:pPr>
      <w:bookmarkStart w:id="17" w:name="__RefHeading___Toc483025984"/>
      <w:bookmarkEnd w:id="17"/>
      <w:r>
        <w:rPr/>
        <w:t>Summary of Fuel Arrangements</w:t>
      </w:r>
    </w:p>
    <w:p>
      <w:pPr>
        <w:pStyle w:val="Normal"/>
        <w:ind w:start="360" w:end="0"/>
        <w:rPr>
          <w:rFonts w:ascii="Arial" w:hAnsi="Arial" w:cs="Arial"/>
        </w:rPr>
      </w:pPr>
      <w:r>
        <w:rPr>
          <w:rFonts w:cs="Arial" w:ascii="Arial" w:hAnsi="Arial"/>
        </w:rPr>
        <w:t>For ease of reference, the following is a tabular summary of the key gas supply and transportation agreements, as at Financial Close.  The final column shows how long each agreement extends beyond the final maturity of the senior debt:</w:t>
      </w:r>
    </w:p>
    <w:tbl>
      <w:tblPr>
        <w:tblW w:w="9717" w:type="dxa"/>
        <w:jc w:val="start"/>
        <w:tblInd w:w="18" w:type="dxa"/>
        <w:tblLayout w:type="fixed"/>
        <w:tblCellMar>
          <w:top w:w="0" w:type="dxa"/>
          <w:start w:w="108" w:type="dxa"/>
          <w:bottom w:w="0" w:type="dxa"/>
          <w:end w:w="108" w:type="dxa"/>
        </w:tblCellMar>
      </w:tblPr>
      <w:tblGrid>
        <w:gridCol w:w="4054"/>
        <w:gridCol w:w="2427"/>
        <w:gridCol w:w="1747"/>
        <w:gridCol w:w="1489"/>
      </w:tblGrid>
      <w:tr>
        <w:trPr/>
        <w:tc>
          <w:tcPr>
            <w:tcW w:w="4054" w:type="dxa"/>
            <w:tcBorders>
              <w:top w:val="double" w:sz="4" w:space="0" w:color="000000"/>
              <w:start w:val="double" w:sz="4" w:space="0" w:color="000000"/>
              <w:bottom w:val="double" w:sz="4" w:space="0" w:color="000000"/>
              <w:end w:val="single" w:sz="4" w:space="0" w:color="000000"/>
            </w:tcBorders>
            <w:shd w:fill="DFDFDF" w:val="clear"/>
          </w:tcPr>
          <w:p>
            <w:pPr>
              <w:pStyle w:val="Normal"/>
              <w:spacing w:before="0" w:after="0"/>
              <w:rPr>
                <w:rFonts w:ascii="Arial" w:hAnsi="Arial" w:cs="Arial"/>
              </w:rPr>
            </w:pPr>
            <w:r>
              <w:rPr>
                <w:rFonts w:cs="Arial" w:ascii="Arial" w:hAnsi="Arial"/>
              </w:rPr>
              <w:t>Agreement</w:t>
            </w:r>
          </w:p>
        </w:tc>
        <w:tc>
          <w:tcPr>
            <w:tcW w:w="2427" w:type="dxa"/>
            <w:tcBorders>
              <w:top w:val="double" w:sz="4" w:space="0" w:color="000000"/>
              <w:start w:val="single" w:sz="4" w:space="0" w:color="000000"/>
              <w:bottom w:val="double" w:sz="4" w:space="0" w:color="000000"/>
              <w:end w:val="single" w:sz="4" w:space="0" w:color="000000"/>
            </w:tcBorders>
            <w:shd w:fill="DFDFDF" w:val="clear"/>
          </w:tcPr>
          <w:p>
            <w:pPr>
              <w:pStyle w:val="Normal"/>
              <w:spacing w:before="0" w:after="0"/>
              <w:rPr>
                <w:rFonts w:ascii="Arial" w:hAnsi="Arial" w:cs="Arial"/>
              </w:rPr>
            </w:pPr>
            <w:r>
              <w:rPr>
                <w:rFonts w:cs="Arial" w:ascii="Arial" w:hAnsi="Arial"/>
              </w:rPr>
              <w:t>Parties</w:t>
            </w:r>
          </w:p>
        </w:tc>
        <w:tc>
          <w:tcPr>
            <w:tcW w:w="1747" w:type="dxa"/>
            <w:tcBorders>
              <w:top w:val="double" w:sz="4" w:space="0" w:color="000000"/>
              <w:start w:val="single" w:sz="4" w:space="0" w:color="000000"/>
              <w:bottom w:val="double" w:sz="4" w:space="0" w:color="000000"/>
              <w:end w:val="single" w:sz="4" w:space="0" w:color="000000"/>
            </w:tcBorders>
            <w:shd w:fill="DFDFDF" w:val="clear"/>
          </w:tcPr>
          <w:p>
            <w:pPr>
              <w:pStyle w:val="Normal"/>
              <w:spacing w:before="0" w:after="0"/>
              <w:rPr>
                <w:rFonts w:ascii="Arial" w:hAnsi="Arial" w:cs="Arial"/>
              </w:rPr>
            </w:pPr>
            <w:r>
              <w:rPr>
                <w:rFonts w:cs="Arial" w:ascii="Arial" w:hAnsi="Arial"/>
              </w:rPr>
              <w:t>Expiry date</w:t>
            </w:r>
          </w:p>
        </w:tc>
        <w:tc>
          <w:tcPr>
            <w:tcW w:w="1489" w:type="dxa"/>
            <w:tcBorders>
              <w:top w:val="double" w:sz="4" w:space="0" w:color="000000"/>
              <w:start w:val="single" w:sz="4" w:space="0" w:color="000000"/>
              <w:bottom w:val="double" w:sz="4" w:space="0" w:color="000000"/>
              <w:end w:val="double" w:sz="4" w:space="0" w:color="000000"/>
            </w:tcBorders>
            <w:shd w:fill="DFDFDF" w:val="clear"/>
          </w:tcPr>
          <w:p>
            <w:pPr>
              <w:pStyle w:val="Normal"/>
              <w:spacing w:before="0" w:after="0"/>
              <w:rPr>
                <w:rFonts w:ascii="Arial" w:hAnsi="Arial" w:cs="Arial"/>
              </w:rPr>
            </w:pPr>
            <w:r>
              <w:rPr>
                <w:rFonts w:cs="Arial" w:ascii="Arial" w:hAnsi="Arial"/>
              </w:rPr>
              <w:t>Debt tail</w:t>
            </w:r>
          </w:p>
        </w:tc>
      </w:tr>
      <w:tr>
        <w:trPr/>
        <w:tc>
          <w:tcPr>
            <w:tcW w:w="4054" w:type="dxa"/>
            <w:tcBorders>
              <w:top w:val="single" w:sz="4" w:space="0" w:color="000000"/>
              <w:start w:val="doub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 xml:space="preserve">Primary Gas Supply &amp; Transportation </w:t>
            </w:r>
          </w:p>
        </w:tc>
        <w:tc>
          <w:tcPr>
            <w:tcW w:w="242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LVCLP and Duke Fuels</w:t>
            </w:r>
          </w:p>
        </w:tc>
        <w:tc>
          <w:tcPr>
            <w:tcW w:w="174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April 2010</w:t>
            </w:r>
          </w:p>
        </w:tc>
        <w:tc>
          <w:tcPr>
            <w:tcW w:w="1489" w:type="dxa"/>
            <w:tcBorders>
              <w:top w:val="single" w:sz="4" w:space="0" w:color="000000"/>
              <w:start w:val="single" w:sz="4" w:space="0" w:color="000000"/>
              <w:bottom w:val="single" w:sz="4" w:space="0" w:color="000000"/>
              <w:end w:val="double" w:sz="4" w:space="0" w:color="000000"/>
            </w:tcBorders>
          </w:tcPr>
          <w:p>
            <w:pPr>
              <w:pStyle w:val="Normal"/>
              <w:spacing w:before="0" w:after="0"/>
              <w:rPr>
                <w:rFonts w:ascii="Arial" w:hAnsi="Arial" w:cs="Arial"/>
              </w:rPr>
            </w:pPr>
            <w:r>
              <w:rPr>
                <w:rFonts w:cs="Arial" w:ascii="Arial" w:hAnsi="Arial"/>
              </w:rPr>
              <w:t>7 mos.</w:t>
            </w:r>
          </w:p>
        </w:tc>
      </w:tr>
      <w:tr>
        <w:trPr/>
        <w:tc>
          <w:tcPr>
            <w:tcW w:w="4054" w:type="dxa"/>
            <w:tcBorders>
              <w:top w:val="single" w:sz="4" w:space="0" w:color="000000"/>
              <w:start w:val="doub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Primary Gas Hedging</w:t>
            </w:r>
          </w:p>
        </w:tc>
        <w:tc>
          <w:tcPr>
            <w:tcW w:w="242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LVCLP and ENA</w:t>
            </w:r>
          </w:p>
        </w:tc>
        <w:tc>
          <w:tcPr>
            <w:tcW w:w="174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April 2010</w:t>
            </w:r>
          </w:p>
        </w:tc>
        <w:tc>
          <w:tcPr>
            <w:tcW w:w="1489" w:type="dxa"/>
            <w:tcBorders>
              <w:top w:val="single" w:sz="4" w:space="0" w:color="000000"/>
              <w:start w:val="single" w:sz="4" w:space="0" w:color="000000"/>
              <w:bottom w:val="single" w:sz="4" w:space="0" w:color="000000"/>
              <w:end w:val="double" w:sz="4" w:space="0" w:color="000000"/>
            </w:tcBorders>
          </w:tcPr>
          <w:p>
            <w:pPr>
              <w:pStyle w:val="Normal"/>
              <w:spacing w:before="0" w:after="0"/>
              <w:rPr>
                <w:rFonts w:ascii="Arial" w:hAnsi="Arial" w:cs="Arial"/>
              </w:rPr>
            </w:pPr>
            <w:r>
              <w:rPr>
                <w:rFonts w:cs="Arial" w:ascii="Arial" w:hAnsi="Arial"/>
              </w:rPr>
              <w:t>7 mos.</w:t>
            </w:r>
          </w:p>
        </w:tc>
      </w:tr>
      <w:tr>
        <w:trPr>
          <w:trHeight w:val="274" w:hRule="atLeast"/>
        </w:trPr>
        <w:tc>
          <w:tcPr>
            <w:tcW w:w="4054" w:type="dxa"/>
            <w:tcBorders>
              <w:top w:val="single" w:sz="4" w:space="0" w:color="000000"/>
              <w:start w:val="doub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Kern River Gas Transportation</w:t>
            </w:r>
            <w:r>
              <w:rPr>
                <w:rStyle w:val="FootnoteCharacters"/>
                <w:rStyle w:val="FootnoteReference"/>
                <w:rFonts w:cs="Arial" w:ascii="Arial" w:hAnsi="Arial"/>
              </w:rPr>
              <w:footnoteReference w:customMarkFollows="1" w:id="2"/>
              <w:t>1</w:t>
            </w:r>
          </w:p>
        </w:tc>
        <w:tc>
          <w:tcPr>
            <w:tcW w:w="242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Duke Fuels and KRGTC</w:t>
            </w:r>
          </w:p>
        </w:tc>
        <w:tc>
          <w:tcPr>
            <w:tcW w:w="174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February2009</w:t>
            </w:r>
          </w:p>
        </w:tc>
        <w:tc>
          <w:tcPr>
            <w:tcW w:w="1489" w:type="dxa"/>
            <w:tcBorders>
              <w:top w:val="single" w:sz="4" w:space="0" w:color="000000"/>
              <w:start w:val="single" w:sz="4" w:space="0" w:color="000000"/>
              <w:bottom w:val="single" w:sz="4" w:space="0" w:color="000000"/>
              <w:end w:val="double" w:sz="4" w:space="0" w:color="000000"/>
            </w:tcBorders>
          </w:tcPr>
          <w:p>
            <w:pPr>
              <w:pStyle w:val="Normal"/>
              <w:spacing w:before="0" w:after="0"/>
              <w:rPr>
                <w:rFonts w:ascii="Arial" w:hAnsi="Arial" w:cs="Arial"/>
              </w:rPr>
            </w:pPr>
            <w:r>
              <w:rPr>
                <w:rFonts w:cs="Arial" w:ascii="Arial" w:hAnsi="Arial"/>
              </w:rPr>
              <w:t>7 mos.</w:t>
            </w:r>
          </w:p>
        </w:tc>
      </w:tr>
      <w:tr>
        <w:trPr/>
        <w:tc>
          <w:tcPr>
            <w:tcW w:w="4054" w:type="dxa"/>
            <w:tcBorders>
              <w:top w:val="single" w:sz="4" w:space="0" w:color="000000"/>
              <w:start w:val="doub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Southwest Gas Transportation</w:t>
            </w:r>
            <w:r>
              <w:rPr>
                <w:rStyle w:val="FootnoteCharacters"/>
                <w:rStyle w:val="FootnoteReference"/>
                <w:rFonts w:cs="Arial" w:ascii="Arial" w:hAnsi="Arial"/>
              </w:rPr>
              <w:footnoteReference w:customMarkFollows="1" w:id="3"/>
              <w:t>2</w:t>
            </w:r>
          </w:p>
        </w:tc>
        <w:tc>
          <w:tcPr>
            <w:tcW w:w="242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LVCLP and SWGC</w:t>
            </w:r>
          </w:p>
        </w:tc>
        <w:tc>
          <w:tcPr>
            <w:tcW w:w="1747"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rPr>
            </w:pPr>
            <w:r>
              <w:rPr>
                <w:rFonts w:cs="Arial" w:ascii="Arial" w:hAnsi="Arial"/>
              </w:rPr>
              <w:t>December 2011</w:t>
            </w:r>
          </w:p>
        </w:tc>
        <w:tc>
          <w:tcPr>
            <w:tcW w:w="1489" w:type="dxa"/>
            <w:tcBorders>
              <w:top w:val="single" w:sz="4" w:space="0" w:color="000000"/>
              <w:start w:val="single" w:sz="4" w:space="0" w:color="000000"/>
              <w:bottom w:val="single" w:sz="4" w:space="0" w:color="000000"/>
              <w:end w:val="double" w:sz="4" w:space="0" w:color="000000"/>
            </w:tcBorders>
          </w:tcPr>
          <w:p>
            <w:pPr>
              <w:pStyle w:val="Normal"/>
              <w:spacing w:before="0" w:after="0"/>
              <w:rPr>
                <w:rFonts w:ascii="Arial" w:hAnsi="Arial" w:cs="Arial"/>
              </w:rPr>
            </w:pPr>
            <w:r>
              <w:rPr>
                <w:rFonts w:cs="Arial" w:ascii="Arial" w:hAnsi="Arial"/>
              </w:rPr>
              <w:t>1 yr. 11 mos.</w:t>
            </w:r>
          </w:p>
        </w:tc>
      </w:tr>
      <w:tr>
        <w:trPr/>
        <w:tc>
          <w:tcPr>
            <w:tcW w:w="4054" w:type="dxa"/>
            <w:tcBorders>
              <w:top w:val="single" w:sz="4" w:space="0" w:color="000000"/>
              <w:start w:val="double" w:sz="4" w:space="0" w:color="000000"/>
              <w:bottom w:val="double" w:sz="4" w:space="0" w:color="000000"/>
              <w:end w:val="single" w:sz="4" w:space="0" w:color="000000"/>
            </w:tcBorders>
          </w:tcPr>
          <w:p>
            <w:pPr>
              <w:pStyle w:val="Normal"/>
              <w:spacing w:before="0" w:after="0"/>
              <w:rPr>
                <w:rFonts w:ascii="Arial" w:hAnsi="Arial" w:cs="Arial"/>
              </w:rPr>
            </w:pPr>
            <w:r>
              <w:rPr>
                <w:rFonts w:cs="Arial" w:ascii="Arial" w:hAnsi="Arial"/>
              </w:rPr>
              <w:t>Secondary Gas Supply and Transportation</w:t>
            </w:r>
          </w:p>
        </w:tc>
        <w:tc>
          <w:tcPr>
            <w:tcW w:w="2427" w:type="dxa"/>
            <w:tcBorders>
              <w:top w:val="single" w:sz="4" w:space="0" w:color="000000"/>
              <w:start w:val="single" w:sz="4" w:space="0" w:color="000000"/>
              <w:bottom w:val="double" w:sz="4" w:space="0" w:color="000000"/>
              <w:end w:val="single" w:sz="4" w:space="0" w:color="000000"/>
            </w:tcBorders>
          </w:tcPr>
          <w:p>
            <w:pPr>
              <w:pStyle w:val="Normal"/>
              <w:spacing w:before="0" w:after="0"/>
              <w:rPr>
                <w:rFonts w:ascii="Arial" w:hAnsi="Arial" w:cs="Arial"/>
              </w:rPr>
            </w:pPr>
            <w:r>
              <w:rPr>
                <w:rFonts w:cs="Arial" w:ascii="Arial" w:hAnsi="Arial"/>
              </w:rPr>
              <w:t>LVCLP and ENA</w:t>
            </w:r>
          </w:p>
        </w:tc>
        <w:tc>
          <w:tcPr>
            <w:tcW w:w="1747" w:type="dxa"/>
            <w:tcBorders>
              <w:top w:val="single" w:sz="4" w:space="0" w:color="000000"/>
              <w:start w:val="single" w:sz="4" w:space="0" w:color="000000"/>
              <w:bottom w:val="double" w:sz="4" w:space="0" w:color="000000"/>
              <w:end w:val="single" w:sz="4" w:space="0" w:color="000000"/>
            </w:tcBorders>
          </w:tcPr>
          <w:p>
            <w:pPr>
              <w:pStyle w:val="Normal"/>
              <w:spacing w:before="0" w:after="0"/>
              <w:rPr>
                <w:rFonts w:ascii="Arial" w:hAnsi="Arial" w:cs="Arial"/>
              </w:rPr>
            </w:pPr>
            <w:r>
              <w:rPr>
                <w:rFonts w:cs="Arial" w:ascii="Arial" w:hAnsi="Arial"/>
              </w:rPr>
              <w:t>May 2024</w:t>
            </w:r>
          </w:p>
        </w:tc>
        <w:tc>
          <w:tcPr>
            <w:tcW w:w="1489" w:type="dxa"/>
            <w:tcBorders>
              <w:top w:val="single" w:sz="4" w:space="0" w:color="000000"/>
              <w:start w:val="single" w:sz="4" w:space="0" w:color="000000"/>
              <w:bottom w:val="double" w:sz="4" w:space="0" w:color="000000"/>
              <w:end w:val="double" w:sz="4" w:space="0" w:color="000000"/>
            </w:tcBorders>
          </w:tcPr>
          <w:p>
            <w:pPr>
              <w:pStyle w:val="Normal"/>
              <w:spacing w:before="0" w:after="0"/>
              <w:rPr>
                <w:rFonts w:ascii="Arial" w:hAnsi="Arial" w:cs="Arial"/>
              </w:rPr>
            </w:pPr>
            <w:r>
              <w:rPr>
                <w:rFonts w:cs="Arial" w:ascii="Arial" w:hAnsi="Arial"/>
              </w:rPr>
              <w:t>14 yrs. 8 mos.</w:t>
            </w:r>
          </w:p>
        </w:tc>
      </w:tr>
    </w:tbl>
    <w:p>
      <w:pPr>
        <w:pStyle w:val="Heading3"/>
        <w:tabs>
          <w:tab w:val="left" w:pos="720" w:leader="none"/>
        </w:tabs>
        <w:ind w:hanging="0" w:start="0"/>
        <w:rPr/>
      </w:pPr>
      <w:r>
        <w:rPr/>
      </w:r>
    </w:p>
    <w:p>
      <w:pPr>
        <w:pStyle w:val="Heading3"/>
        <w:tabs>
          <w:tab w:val="left" w:pos="720" w:leader="none"/>
        </w:tabs>
        <w:ind w:hanging="0" w:start="0"/>
        <w:rPr/>
      </w:pPr>
      <w:r>
        <w:rPr/>
      </w:r>
    </w:p>
    <w:p>
      <w:pPr>
        <w:pStyle w:val="Heading3"/>
        <w:tabs>
          <w:tab w:val="left" w:pos="720" w:leader="none"/>
        </w:tabs>
        <w:ind w:hanging="0" w:start="0"/>
        <w:rPr/>
      </w:pPr>
      <w:r>
        <w:rPr/>
        <w:t>Greenhouse Lease Agreement</w:t>
      </w:r>
    </w:p>
    <w:p>
      <w:pPr>
        <w:pStyle w:val="Normal"/>
        <w:rPr>
          <w:rFonts w:ascii="Arial" w:hAnsi="Arial" w:cs="Arial"/>
        </w:rPr>
      </w:pPr>
      <w:r>
        <w:rPr>
          <w:rFonts w:cs="Arial" w:ascii="Arial" w:hAnsi="Arial"/>
        </w:rPr>
        <w:t>Pursuant to a Greenhouse Lease Agreement:</w:t>
      </w:r>
    </w:p>
    <w:p>
      <w:pPr>
        <w:pStyle w:val="Normal"/>
        <w:numPr>
          <w:ilvl w:val="0"/>
          <w:numId w:val="21"/>
        </w:numPr>
        <w:rPr>
          <w:rFonts w:ascii="Arial" w:hAnsi="Arial" w:cs="Arial"/>
        </w:rPr>
      </w:pPr>
      <w:r>
        <w:rPr>
          <w:rFonts w:cs="Arial" w:ascii="Arial" w:hAnsi="Arial"/>
        </w:rPr>
        <w:t xml:space="preserve">leases land to Sunco and </w:t>
      </w:r>
    </w:p>
    <w:p>
      <w:pPr>
        <w:pStyle w:val="Normal"/>
        <w:numPr>
          <w:ilvl w:val="0"/>
          <w:numId w:val="21"/>
        </w:numPr>
        <w:rPr>
          <w:rFonts w:ascii="Arial" w:hAnsi="Arial" w:cs="Arial"/>
        </w:rPr>
      </w:pPr>
      <w:r>
        <w:rPr>
          <w:rFonts w:cs="Arial" w:ascii="Arial" w:hAnsi="Arial"/>
        </w:rPr>
        <w:t>supplies Sunco’s requirements for thermal energy for the production of agricultural crops in the greenhouse.</w:t>
      </w:r>
    </w:p>
    <w:p>
      <w:pPr>
        <w:pStyle w:val="Normal"/>
        <w:rPr>
          <w:rFonts w:ascii="Arial" w:hAnsi="Arial" w:cs="Arial"/>
        </w:rPr>
      </w:pPr>
      <w:r>
        <w:rPr>
          <w:rFonts w:cs="Arial" w:ascii="Arial" w:hAnsi="Arial"/>
        </w:rPr>
        <w:t>In consideration for the above, Sunco pays rent to LVCLP in an amount equal to 100% of its net revenue to LVCLP, net revenue being defined as all revenues received by Sunco less all the direct and indirect expenses incurred in operating the greenhouse.</w:t>
      </w:r>
    </w:p>
    <w:p>
      <w:pPr>
        <w:pStyle w:val="Normal"/>
        <w:rPr>
          <w:rFonts w:ascii="Arial" w:hAnsi="Arial" w:cs="Arial"/>
        </w:rPr>
      </w:pPr>
      <w:r>
        <w:rPr>
          <w:rFonts w:cs="Arial" w:ascii="Arial" w:hAnsi="Arial"/>
        </w:rPr>
        <w:t>Sunco is required to remit 100% of the revenues to LVCLP within two days of receiving them. Sunco is also required to prepare, no later than 90 days before the end of each year, an annual operating budget for the succeeding year for all expenses.  Within two days of funds being available to LVCLP for that purpose, LVCLP is in turn required to advance, on a month-by-month basis, the funds amount budgeted for each month to Sunco. Any surplus funds remaining after application to budgeted items will at LVCLP’s option either be returned to LVCLP or set off against the subsequent month’s advances.</w:t>
      </w:r>
    </w:p>
    <w:p>
      <w:pPr>
        <w:pStyle w:val="Normal"/>
        <w:rPr>
          <w:rFonts w:ascii="Arial" w:hAnsi="Arial" w:cs="Arial"/>
        </w:rPr>
      </w:pPr>
      <w:r>
        <w:rPr>
          <w:rFonts w:cs="Arial" w:ascii="Arial" w:hAnsi="Arial"/>
        </w:rPr>
        <w:t>Also pursuant to the Greenhouse Lease Agreement, LVCLP is required to obtain and maintain insurance for the greenhouse operations to the extent required by the Lenders.</w:t>
      </w:r>
    </w:p>
    <w:p>
      <w:pPr>
        <w:pStyle w:val="Normal"/>
        <w:rPr>
          <w:rFonts w:ascii="Arial" w:hAnsi="Arial" w:cs="Arial"/>
        </w:rPr>
      </w:pPr>
      <w:r>
        <w:rPr>
          <w:rFonts w:cs="Arial" w:ascii="Arial" w:hAnsi="Arial"/>
        </w:rPr>
        <w:t>The lease agreement expires in 2009. Before that date, both parties to the contract have the right to terminate it at will as long as they give the other party at least a 24-month notice. The risk of the lease terminating against the interests of the Project is substantially mitigated by the fact that ENA has acquired both parties to the contract, thus ultimately retaining control of the lease at both ends.</w:t>
      </w:r>
    </w:p>
    <w:p>
      <w:pPr>
        <w:pStyle w:val="BodyText"/>
        <w:rPr>
          <w:rFonts w:ascii="Arial" w:hAnsi="Arial" w:cs="Arial"/>
        </w:rPr>
      </w:pPr>
      <w:r>
        <w:rPr>
          <w:rFonts w:cs="Arial" w:ascii="Arial" w:hAnsi="Arial"/>
        </w:rPr>
        <w:t>ENA is currently in the process of soliciting bids for the sale of the greenhouse, which will only be sold if LVCLP’s QF requirements are removed.</w:t>
      </w:r>
    </w:p>
    <w:p>
      <w:pPr>
        <w:pStyle w:val="Heading3"/>
        <w:tabs>
          <w:tab w:val="left" w:pos="720" w:leader="none"/>
        </w:tabs>
        <w:ind w:hanging="0" w:start="0"/>
        <w:rPr/>
      </w:pPr>
      <w:bookmarkStart w:id="18" w:name="__RefHeading___Toc483025986"/>
      <w:bookmarkEnd w:id="18"/>
      <w:r>
        <w:rPr/>
        <w:t>Operation &amp; Maintenance Arrangements</w:t>
      </w:r>
    </w:p>
    <w:p>
      <w:pPr>
        <w:pStyle w:val="Normal"/>
        <w:rPr>
          <w:rFonts w:ascii="Arial" w:hAnsi="Arial" w:cs="Arial"/>
        </w:rPr>
      </w:pPr>
      <w:r>
        <w:rPr>
          <w:rFonts w:cs="Arial" w:ascii="Arial" w:hAnsi="Arial"/>
        </w:rPr>
        <w:t xml:space="preserve">The power plant is currently operated by LVCLP with a staff of 10. The management team is comprised of a plant manager, a plant engineer, and senior administrator - all of whom have been with the Project since the outset. Under ENA’s member management responsibilities on behalf of Southwest Power, LLC, O&amp;M will continue to be principally undertaken by the LVCLP. The services of all existing employees from the previous owner have been retained and transferred to LVCLP. </w:t>
      </w:r>
    </w:p>
    <w:p>
      <w:pPr>
        <w:pStyle w:val="Normal"/>
        <w:rPr>
          <w:rFonts w:ascii="Arial" w:hAnsi="Arial" w:cs="Arial"/>
          <w:b/>
        </w:rPr>
      </w:pPr>
      <w:r>
        <w:rPr>
          <w:rFonts w:cs="Arial" w:ascii="Arial" w:hAnsi="Arial"/>
          <w:b/>
        </w:rPr>
        <w:t>INSERT BIOGRAPHIES</w:t>
      </w:r>
    </w:p>
    <w:p>
      <w:pPr>
        <w:pStyle w:val="Heading3"/>
        <w:tabs>
          <w:tab w:val="left" w:pos="720" w:leader="none"/>
        </w:tabs>
        <w:ind w:hanging="0" w:start="0"/>
        <w:rPr/>
      </w:pPr>
      <w:bookmarkStart w:id="19" w:name="__RefHeading___Toc483025987"/>
      <w:bookmarkEnd w:id="19"/>
      <w:r>
        <w:rPr/>
        <w:t>Project Insurance</w:t>
      </w:r>
    </w:p>
    <w:p>
      <w:pPr>
        <w:pStyle w:val="Normal"/>
        <w:rPr>
          <w:rFonts w:ascii="Arial" w:hAnsi="Arial" w:cs="Arial"/>
        </w:rPr>
      </w:pPr>
      <w:r>
        <w:rPr>
          <w:rFonts w:cs="Arial" w:ascii="Arial" w:hAnsi="Arial"/>
        </w:rPr>
        <w:t>The Project has been insured under Enron/ENA’s umbrella insurance arrangements and provides coverage for customary risks including physical damage, boiler and machinery and business interruption.  Following the sale of LVCLP by ENA, the plant or potential buyer will have to arrange for the appropriate coverage.</w:t>
      </w:r>
    </w:p>
    <w:p>
      <w:pPr>
        <w:pStyle w:val="Heading2"/>
        <w:ind w:hanging="0" w:start="-360"/>
        <w:rPr>
          <w:rFonts w:ascii="Arial" w:hAnsi="Arial" w:cs="Arial"/>
        </w:rPr>
      </w:pPr>
      <w:r>
        <w:rPr>
          <w:rFonts w:eastAsia="Arial" w:cs="Arial" w:ascii="Arial" w:hAnsi="Arial"/>
        </w:rPr>
        <w:t xml:space="preserve"> </w:t>
      </w:r>
      <w:bookmarkStart w:id="20" w:name="__RefHeading___Toc483025988"/>
      <w:r>
        <w:rPr>
          <w:rFonts w:cs="Arial" w:ascii="Arial" w:hAnsi="Arial"/>
        </w:rPr>
        <w:t>Ownership and Contractual Counterparts</w:t>
      </w:r>
      <w:bookmarkEnd w:id="20"/>
    </w:p>
    <w:p>
      <w:pPr>
        <w:pStyle w:val="Heading3"/>
        <w:tabs>
          <w:tab w:val="left" w:pos="720" w:leader="none"/>
        </w:tabs>
        <w:ind w:hanging="0" w:start="0"/>
        <w:rPr/>
      </w:pPr>
      <w:bookmarkStart w:id="21" w:name="__RefHeading___Toc483025989"/>
      <w:bookmarkEnd w:id="21"/>
      <w:r>
        <w:rPr/>
        <w:t>Las Vegas Cogeneration Limited Partnership</w:t>
      </w:r>
    </w:p>
    <w:p>
      <w:pPr>
        <w:pStyle w:val="Normal"/>
        <w:rPr>
          <w:rFonts w:ascii="Arial" w:hAnsi="Arial" w:cs="Arial"/>
        </w:rPr>
      </w:pPr>
      <w:r>
        <w:rPr>
          <w:rFonts w:cs="Arial" w:ascii="Arial" w:hAnsi="Arial"/>
        </w:rPr>
        <w:t>The ownership structure that will be created following the collapse of the multi-tiered ownership structure is depicted below.</w:t>
      </w:r>
    </w:p>
    <w:p>
      <w:pPr>
        <w:pStyle w:val="Header"/>
        <w:rPr>
          <w:rFonts w:ascii="Arial" w:hAnsi="Arial" w:cs="Arial"/>
        </w:rPr>
      </w:pPr>
      <w:bookmarkStart w:id="22" w:name="_1028561027"/>
      <w:bookmarkStart w:id="23" w:name="_1028540470"/>
      <w:bookmarkStart w:id="24" w:name="_1028452662"/>
      <w:bookmarkStart w:id="25" w:name="_1028452545"/>
      <w:bookmarkStart w:id="26" w:name="_1028452428"/>
      <w:bookmarkStart w:id="27" w:name="_1001260974"/>
      <w:bookmarkEnd w:id="22"/>
      <w:bookmarkEnd w:id="23"/>
      <w:bookmarkEnd w:id="24"/>
      <w:bookmarkEnd w:id="25"/>
      <w:bookmarkEnd w:id="26"/>
      <w:bookmarkEnd w:id="27"/>
      <w:r>
        <w:rPr>
          <w:rFonts w:cs="Arial" w:ascii="Arial" w:hAnsi="Arial"/>
        </w:rPr>
        <w:object w:dxaOrig="14400" w:dyaOrig="1080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360.3pt;height:252.6pt" filled="f" o:ole="">
            <v:imagedata r:id="rId14" o:title=""/>
          </v:shape>
          <o:OLEObject Type="Embed" ProgID="PowerPoint.Show.12" ShapeID="ole_rId13" DrawAspect="Content" ObjectID="_50857992" r:id="rId13"/>
        </w:object>
      </w:r>
    </w:p>
    <w:p>
      <w:pPr>
        <w:pStyle w:val="Heading2"/>
        <w:ind w:hanging="0" w:start="-360"/>
        <w:rPr>
          <w:rFonts w:ascii="Arial" w:hAnsi="Arial" w:cs="Arial"/>
        </w:rPr>
      </w:pPr>
      <w:bookmarkStart w:id="28" w:name="__RefHeading___Toc483025990"/>
      <w:bookmarkEnd w:id="28"/>
      <w:r>
        <w:rPr>
          <w:rFonts w:cs="Arial" w:ascii="Arial" w:hAnsi="Arial"/>
        </w:rPr>
        <w:t>Financing Structure</w:t>
      </w:r>
    </w:p>
    <w:p>
      <w:pPr>
        <w:pStyle w:val="Heading3"/>
        <w:tabs>
          <w:tab w:val="left" w:pos="720" w:leader="none"/>
        </w:tabs>
        <w:ind w:hanging="0" w:start="0"/>
        <w:rPr/>
      </w:pPr>
      <w:bookmarkStart w:id="29" w:name="__RefHeading___Toc483025992"/>
      <w:bookmarkEnd w:id="29"/>
      <w:r>
        <w:rPr/>
        <w:t>Key Terms and Conditions of Senior Debt</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spacing w:before="0" w:after="120"/>
              <w:jc w:val="start"/>
              <w:rPr>
                <w:rFonts w:ascii="Arial" w:hAnsi="Arial" w:cs="Arial"/>
                <w:b/>
              </w:rPr>
            </w:pPr>
            <w:r>
              <w:rPr>
                <w:rFonts w:cs="Arial" w:ascii="Arial" w:hAnsi="Arial"/>
                <w:b/>
              </w:rPr>
              <w:t>Borrower:</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widowControl/>
              <w:bidi w:val="0"/>
              <w:spacing w:before="0" w:after="120"/>
              <w:jc w:val="both"/>
              <w:rPr>
                <w:rFonts w:ascii="Arial" w:hAnsi="Arial" w:cs="Arial"/>
              </w:rPr>
            </w:pPr>
            <w:r>
              <w:rPr>
                <w:rFonts w:cs="Arial" w:ascii="Arial" w:hAnsi="Arial"/>
              </w:rPr>
              <w:t>Las Vegas Cogeneration Limited Partnership, a Nevada limited partnership, the owner and operator of a 54 MW cogeneration facility located in North Las Vegas, NV (together with all related agreements and facilities, the “Project”).  The General and Limited Partners of the Borrower will be wholly owned subsidiaries of Southwest Power L.L.C., a Delaware limited liability company in which Enron North America Corp. (“ENA”) and its affiliates hold a substantial interest.  Ownership is structured to maintain qualifying facility (“QF”) status</w:t>
            </w:r>
            <w:r>
              <w:rPr>
                <w:rFonts w:cs="Arial" w:ascii="Arial" w:hAnsi="Arial"/>
                <w:b/>
              </w:rPr>
              <w:t xml:space="preserve">.  </w:t>
            </w:r>
          </w:p>
        </w:tc>
      </w:tr>
      <w:tr>
        <w:trPr/>
        <w:tc>
          <w:tcPr>
            <w:tcW w:w="2178" w:type="dxa"/>
            <w:tcBorders/>
          </w:tcPr>
          <w:p>
            <w:pPr>
              <w:pStyle w:val="Normal"/>
              <w:spacing w:before="0" w:after="120"/>
              <w:jc w:val="start"/>
              <w:rPr>
                <w:rFonts w:ascii="Arial" w:hAnsi="Arial" w:cs="Arial"/>
                <w:b/>
              </w:rPr>
            </w:pPr>
            <w:r>
              <w:rPr>
                <w:rFonts w:cs="Arial" w:ascii="Arial" w:hAnsi="Arial"/>
                <w:b/>
              </w:rPr>
              <w:t>Underwriter:</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National Westminster Bank Plc (“NWB”), acting through Greenwich NatWest Structured Finance, Inc. (“GNW”) as Arranger.</w:t>
            </w:r>
          </w:p>
        </w:tc>
      </w:tr>
      <w:tr>
        <w:trPr/>
        <w:tc>
          <w:tcPr>
            <w:tcW w:w="2178" w:type="dxa"/>
            <w:tcBorders/>
          </w:tcPr>
          <w:p>
            <w:pPr>
              <w:pStyle w:val="Normal"/>
              <w:spacing w:before="0" w:after="120"/>
              <w:jc w:val="start"/>
              <w:rPr>
                <w:rFonts w:ascii="Arial" w:hAnsi="Arial" w:cs="Arial"/>
                <w:b/>
              </w:rPr>
            </w:pPr>
            <w:r>
              <w:rPr>
                <w:rFonts w:cs="Arial" w:ascii="Arial" w:hAnsi="Arial"/>
                <w:b/>
              </w:rPr>
              <w:t>Lenders:</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A group of banks to be identified in general syndication.</w:t>
            </w:r>
          </w:p>
        </w:tc>
      </w:tr>
      <w:tr>
        <w:trPr/>
        <w:tc>
          <w:tcPr>
            <w:tcW w:w="2178" w:type="dxa"/>
            <w:tcBorders/>
          </w:tcPr>
          <w:p>
            <w:pPr>
              <w:pStyle w:val="header4"/>
              <w:spacing w:before="0" w:after="240"/>
              <w:jc w:val="start"/>
              <w:rPr>
                <w:rFonts w:ascii="Arial" w:hAnsi="Arial" w:cs="Arial"/>
              </w:rPr>
            </w:pPr>
            <w:r>
              <w:rPr>
                <w:rFonts w:cs="Arial" w:ascii="Arial" w:hAnsi="Arial"/>
              </w:rPr>
              <w:t>Agent and LoC Issuing Bank:</w:t>
            </w:r>
          </w:p>
        </w:tc>
        <w:tc>
          <w:tcPr>
            <w:tcW w:w="450" w:type="dxa"/>
            <w:tcBorders/>
          </w:tcPr>
          <w:p>
            <w:pPr>
              <w:pStyle w:val="Normal"/>
              <w:snapToGrid w:val="false"/>
              <w:spacing w:before="0" w:after="120"/>
              <w:rPr>
                <w:rFonts w:ascii="Arial" w:hAnsi="Arial" w:cs="Arial"/>
              </w:rPr>
            </w:pPr>
            <w:r>
              <w:rPr>
                <w:rFonts w:cs="Arial" w:ascii="Arial" w:hAnsi="Arial"/>
              </w:rPr>
            </w:r>
          </w:p>
        </w:tc>
        <w:tc>
          <w:tcPr>
            <w:tcW w:w="6120" w:type="dxa"/>
            <w:tcBorders/>
          </w:tcPr>
          <w:p>
            <w:pPr>
              <w:pStyle w:val="heding4"/>
              <w:spacing w:before="0" w:after="240"/>
              <w:rPr>
                <w:rFonts w:ascii="Arial" w:hAnsi="Arial" w:cs="Arial"/>
              </w:rPr>
            </w:pPr>
            <w:r>
              <w:rPr>
                <w:rFonts w:cs="Arial" w:ascii="Arial" w:hAnsi="Arial"/>
              </w:rPr>
              <w:t>NWB.</w:t>
            </w:r>
          </w:p>
        </w:tc>
      </w:tr>
      <w:tr>
        <w:trPr/>
        <w:tc>
          <w:tcPr>
            <w:tcW w:w="2178" w:type="dxa"/>
            <w:tcBorders/>
          </w:tcPr>
          <w:p>
            <w:pPr>
              <w:pStyle w:val="Normal"/>
              <w:spacing w:before="0" w:after="120"/>
              <w:jc w:val="start"/>
              <w:rPr>
                <w:rFonts w:ascii="Arial" w:hAnsi="Arial" w:cs="Arial"/>
                <w:b/>
              </w:rPr>
            </w:pPr>
            <w:r>
              <w:rPr>
                <w:rFonts w:cs="Arial" w:ascii="Arial" w:hAnsi="Arial"/>
                <w:b/>
              </w:rPr>
              <w:t>Closing Date: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widowControl/>
              <w:bidi w:val="0"/>
              <w:spacing w:before="0" w:after="120"/>
              <w:jc w:val="both"/>
              <w:rPr>
                <w:rFonts w:ascii="Arial" w:hAnsi="Arial" w:cs="Arial"/>
              </w:rPr>
            </w:pPr>
            <w:r>
              <w:rPr>
                <w:rFonts w:cs="Arial" w:ascii="Arial" w:hAnsi="Arial"/>
              </w:rPr>
              <w:t>August 31, 1999</w:t>
            </w:r>
            <w:r>
              <w:rPr>
                <w:rFonts w:cs="Arial" w:ascii="Arial" w:hAnsi="Arial"/>
                <w:b/>
              </w:rPr>
              <w:t xml:space="preserve">.   </w:t>
            </w:r>
          </w:p>
        </w:tc>
      </w:tr>
    </w:tbl>
    <w:p>
      <w:pPr>
        <w:pStyle w:val="Normal"/>
        <w:rPr>
          <w:rFonts w:ascii="Arial" w:hAnsi="Arial" w:cs="Arial"/>
        </w:rPr>
      </w:pPr>
      <w:r>
        <w:rPr>
          <w:rFonts w:cs="Arial" w:ascii="Arial" w:hAnsi="Arial"/>
        </w:rPr>
      </w:r>
    </w:p>
    <w:p>
      <w:pPr>
        <w:pStyle w:val="Heading4"/>
        <w:spacing w:before="40" w:after="240"/>
        <w:ind w:hanging="0" w:start="0"/>
        <w:rPr/>
      </w:pPr>
      <w:bookmarkStart w:id="30" w:name="__RefHeading___Toc483025993"/>
      <w:bookmarkEnd w:id="30"/>
      <w:r>
        <w:rPr/>
        <w:t>Term Loan</w:t>
      </w:r>
    </w:p>
    <w:p>
      <w:pPr>
        <w:pStyle w:val="heding4"/>
        <w:rPr>
          <w:rFonts w:ascii="Arial" w:hAnsi="Arial" w:cs="Arial"/>
        </w:rPr>
      </w:pPr>
      <w:r>
        <w:rPr>
          <w:rFonts w:cs="Arial" w:ascii="Arial" w:hAnsi="Arial"/>
        </w:rPr>
      </w:r>
    </w:p>
    <w:tbl>
      <w:tblPr>
        <w:tblW w:w="8748" w:type="dxa"/>
        <w:jc w:val="start"/>
        <w:tblInd w:w="0" w:type="dxa"/>
        <w:tblLayout w:type="fixed"/>
        <w:tblCellMar>
          <w:top w:w="0" w:type="dxa"/>
          <w:start w:w="108" w:type="dxa"/>
          <w:bottom w:w="0" w:type="dxa"/>
          <w:end w:w="108" w:type="dxa"/>
        </w:tblCellMar>
      </w:tblPr>
      <w:tblGrid>
        <w:gridCol w:w="2178"/>
        <w:gridCol w:w="450"/>
        <w:gridCol w:w="3690"/>
        <w:gridCol w:w="2430"/>
      </w:tblGrid>
      <w:tr>
        <w:trPr/>
        <w:tc>
          <w:tcPr>
            <w:tcW w:w="2178" w:type="dxa"/>
            <w:tcBorders/>
          </w:tcPr>
          <w:p>
            <w:pPr>
              <w:pStyle w:val="Normal"/>
              <w:spacing w:before="0" w:after="120"/>
              <w:jc w:val="start"/>
              <w:rPr>
                <w:rFonts w:ascii="Arial" w:hAnsi="Arial" w:cs="Arial"/>
                <w:b/>
              </w:rPr>
            </w:pPr>
            <w:r>
              <w:rPr>
                <w:rFonts w:cs="Arial" w:ascii="Arial" w:hAnsi="Arial"/>
                <w:b/>
              </w:rPr>
              <w:t>Amount:</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$56,500,000</w:t>
            </w:r>
          </w:p>
        </w:tc>
      </w:tr>
      <w:tr>
        <w:trPr/>
        <w:tc>
          <w:tcPr>
            <w:tcW w:w="2178" w:type="dxa"/>
            <w:tcBorders/>
          </w:tcPr>
          <w:p>
            <w:pPr>
              <w:pStyle w:val="Normal"/>
              <w:spacing w:before="0" w:after="120"/>
              <w:jc w:val="start"/>
              <w:rPr>
                <w:rFonts w:ascii="Arial" w:hAnsi="Arial" w:cs="Arial"/>
                <w:b/>
              </w:rPr>
            </w:pPr>
            <w:r>
              <w:rPr>
                <w:rFonts w:cs="Arial" w:ascii="Arial" w:hAnsi="Arial"/>
                <w:b/>
              </w:rPr>
              <w:t>Use of Proceeds:</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Refinance existing indebtedness of the Borrower, finance certain capital improvements agreed prior to the Closing Date (including the purchase of a replacement GE LM 6000 PC gas turbine, as well as certain repairs and modifications to the HRSG), provide initial working capital, and pay transaction costs.</w:t>
            </w:r>
          </w:p>
        </w:tc>
      </w:tr>
      <w:tr>
        <w:trPr/>
        <w:tc>
          <w:tcPr>
            <w:tcW w:w="2178" w:type="dxa"/>
            <w:tcBorders/>
          </w:tcPr>
          <w:p>
            <w:pPr>
              <w:pStyle w:val="Normal"/>
              <w:spacing w:before="0" w:after="120"/>
              <w:jc w:val="start"/>
              <w:rPr>
                <w:rFonts w:ascii="Arial" w:hAnsi="Arial" w:cs="Arial"/>
                <w:b/>
              </w:rPr>
            </w:pPr>
            <w:r>
              <w:rPr>
                <w:rFonts w:cs="Arial" w:ascii="Arial" w:hAnsi="Arial"/>
                <w:b/>
              </w:rPr>
              <w:t>Final Maturity Date: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September 30, 2009 (10 years and 1 month).</w:t>
            </w:r>
          </w:p>
        </w:tc>
      </w:tr>
      <w:tr>
        <w:trPr/>
        <w:tc>
          <w:tcPr>
            <w:tcW w:w="2178" w:type="dxa"/>
            <w:tcBorders/>
          </w:tcPr>
          <w:p>
            <w:pPr>
              <w:pStyle w:val="Normal"/>
              <w:spacing w:before="0" w:after="120"/>
              <w:jc w:val="start"/>
              <w:rPr>
                <w:rFonts w:ascii="Arial" w:hAnsi="Arial" w:cs="Arial"/>
                <w:b/>
              </w:rPr>
            </w:pPr>
            <w:r>
              <w:rPr>
                <w:rFonts w:cs="Arial" w:ascii="Arial" w:hAnsi="Arial"/>
                <w:b/>
              </w:rPr>
              <w:t>Interest:</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(a)  LIBOR plus:</w:t>
            </w:r>
          </w:p>
        </w:tc>
      </w:tr>
      <w:tr>
        <w:trPr/>
        <w:tc>
          <w:tcPr>
            <w:tcW w:w="2178" w:type="dxa"/>
            <w:tcBorders/>
          </w:tcPr>
          <w:p>
            <w:pPr>
              <w:pStyle w:val="Normal"/>
              <w:snapToGrid w:val="false"/>
              <w:spacing w:before="0" w:after="120"/>
              <w:jc w:val="start"/>
              <w:rPr>
                <w:rFonts w:ascii="Arial" w:hAnsi="Arial" w:cs="Arial"/>
                <w:b/>
              </w:rPr>
            </w:pPr>
            <w:r>
              <w:rPr>
                <w:rFonts w:cs="Arial" w:ascii="Arial" w:hAnsi="Arial"/>
                <w:b/>
              </w:rPr>
            </w:r>
          </w:p>
        </w:tc>
        <w:tc>
          <w:tcPr>
            <w:tcW w:w="450" w:type="dxa"/>
            <w:tcBorders/>
          </w:tcPr>
          <w:p>
            <w:pPr>
              <w:pStyle w:val="Normal"/>
              <w:spacing w:before="0" w:after="120"/>
              <w:rPr>
                <w:rFonts w:ascii="Arial" w:hAnsi="Arial" w:eastAsia="Arial" w:cs="Arial"/>
              </w:rPr>
            </w:pPr>
            <w:r>
              <w:rPr>
                <w:rFonts w:eastAsia="Arial" w:cs="Arial" w:ascii="Arial" w:hAnsi="Arial"/>
              </w:rPr>
              <w:t xml:space="preserve"> </w:t>
            </w:r>
          </w:p>
        </w:tc>
        <w:tc>
          <w:tcPr>
            <w:tcW w:w="3690" w:type="dxa"/>
            <w:tcBorders/>
          </w:tcPr>
          <w:p>
            <w:pPr>
              <w:pStyle w:val="Normal"/>
              <w:rPr>
                <w:rFonts w:ascii="Arial" w:hAnsi="Arial" w:cs="Arial"/>
              </w:rPr>
            </w:pPr>
            <w:r>
              <w:rPr>
                <w:rFonts w:cs="Arial" w:ascii="Arial" w:hAnsi="Arial"/>
              </w:rPr>
              <w:t xml:space="preserve">From Closing Date to 30-Sep-02:   </w:t>
            </w:r>
          </w:p>
          <w:p>
            <w:pPr>
              <w:pStyle w:val="Normal"/>
              <w:rPr>
                <w:rFonts w:ascii="Arial" w:hAnsi="Arial" w:cs="Arial"/>
              </w:rPr>
            </w:pPr>
            <w:r>
              <w:rPr>
                <w:rFonts w:cs="Arial" w:ascii="Arial" w:hAnsi="Arial"/>
              </w:rPr>
              <w:t>From 01-Oct-02 to 30-Sep-05:</w:t>
            </w:r>
          </w:p>
          <w:p>
            <w:pPr>
              <w:pStyle w:val="Normal"/>
              <w:spacing w:before="0" w:after="120"/>
              <w:rPr>
                <w:rFonts w:ascii="Arial" w:hAnsi="Arial" w:cs="Arial"/>
              </w:rPr>
            </w:pPr>
            <w:r>
              <w:rPr>
                <w:rFonts w:cs="Arial" w:ascii="Arial" w:hAnsi="Arial"/>
              </w:rPr>
              <w:t xml:space="preserve">From 01-Oct-05 to 30-Sep-09:   </w:t>
            </w:r>
          </w:p>
        </w:tc>
        <w:tc>
          <w:tcPr>
            <w:tcW w:w="2430" w:type="dxa"/>
            <w:tcBorders/>
          </w:tcPr>
          <w:p>
            <w:pPr>
              <w:pStyle w:val="Normal"/>
              <w:rPr>
                <w:rFonts w:ascii="Arial" w:hAnsi="Arial" w:cs="Arial"/>
              </w:rPr>
            </w:pPr>
            <w:r>
              <w:rPr>
                <w:rFonts w:cs="Arial" w:ascii="Arial" w:hAnsi="Arial"/>
              </w:rPr>
              <w:t>1.125%</w:t>
            </w:r>
          </w:p>
          <w:p>
            <w:pPr>
              <w:pStyle w:val="Normal"/>
              <w:rPr>
                <w:rFonts w:ascii="Arial" w:hAnsi="Arial" w:cs="Arial"/>
              </w:rPr>
            </w:pPr>
            <w:r>
              <w:rPr>
                <w:rFonts w:cs="Arial" w:ascii="Arial" w:hAnsi="Arial"/>
              </w:rPr>
              <w:t>1.375%</w:t>
            </w:r>
          </w:p>
          <w:p>
            <w:pPr>
              <w:pStyle w:val="Normal"/>
              <w:spacing w:before="0" w:after="120"/>
              <w:rPr>
                <w:rFonts w:ascii="Arial" w:hAnsi="Arial" w:cs="Arial"/>
                <w:b/>
                <w:i/>
                <w:i/>
              </w:rPr>
            </w:pPr>
            <w:r>
              <w:rPr>
                <w:rFonts w:cs="Arial" w:ascii="Arial" w:hAnsi="Arial"/>
              </w:rPr>
              <w:t>1.625%</w:t>
            </w:r>
          </w:p>
        </w:tc>
      </w:tr>
      <w:tr>
        <w:trPr>
          <w:trHeight w:val="108" w:hRule="atLeast"/>
        </w:trPr>
        <w:tc>
          <w:tcPr>
            <w:tcW w:w="2178" w:type="dxa"/>
            <w:tcBorders/>
          </w:tcPr>
          <w:p>
            <w:pPr>
              <w:pStyle w:val="header4"/>
              <w:snapToGrid w:val="false"/>
              <w:spacing w:before="0" w:after="240"/>
              <w:jc w:val="start"/>
              <w:rPr>
                <w:rFonts w:ascii="Arial" w:hAnsi="Arial" w:cs="Arial"/>
                <w:b/>
                <w:i/>
                <w:i/>
              </w:rPr>
            </w:pPr>
            <w:r>
              <w:rPr>
                <w:rFonts w:cs="Arial" w:ascii="Arial" w:hAnsi="Arial"/>
                <w:b/>
                <w:i/>
              </w:rPr>
            </w:r>
          </w:p>
        </w:tc>
        <w:tc>
          <w:tcPr>
            <w:tcW w:w="450" w:type="dxa"/>
            <w:tcBorders/>
          </w:tcPr>
          <w:p>
            <w:pPr>
              <w:pStyle w:val="Normal"/>
              <w:snapToGrid w:val="false"/>
              <w:spacing w:before="0" w:after="120"/>
              <w:rPr>
                <w:rFonts w:ascii="Arial" w:hAnsi="Arial" w:cs="Arial"/>
              </w:rPr>
            </w:pPr>
            <w:r>
              <w:rPr>
                <w:rFonts w:cs="Arial" w:ascii="Arial" w:hAnsi="Arial"/>
              </w:rPr>
            </w:r>
          </w:p>
        </w:tc>
        <w:tc>
          <w:tcPr>
            <w:tcW w:w="6120" w:type="dxa"/>
            <w:gridSpan w:val="2"/>
            <w:tcBorders/>
          </w:tcPr>
          <w:p>
            <w:pPr>
              <w:pStyle w:val="Normal"/>
              <w:spacing w:before="0" w:after="120"/>
              <w:rPr>
                <w:rFonts w:ascii="Arial" w:hAnsi="Arial" w:cs="Arial"/>
              </w:rPr>
            </w:pPr>
            <w:r>
              <w:rPr>
                <w:rFonts w:cs="Arial" w:ascii="Arial" w:hAnsi="Arial"/>
              </w:rPr>
              <w:t>(b)  or Base Rate plus:</w:t>
            </w:r>
          </w:p>
        </w:tc>
      </w:tr>
      <w:tr>
        <w:trPr/>
        <w:tc>
          <w:tcPr>
            <w:tcW w:w="2178" w:type="dxa"/>
            <w:tcBorders/>
          </w:tcPr>
          <w:p>
            <w:pPr>
              <w:pStyle w:val="Normal"/>
              <w:snapToGrid w:val="false"/>
              <w:spacing w:before="0" w:after="120"/>
              <w:jc w:val="start"/>
              <w:rPr>
                <w:rFonts w:ascii="Arial" w:hAnsi="Arial" w:cs="Arial"/>
                <w:b/>
              </w:rPr>
            </w:pPr>
            <w:r>
              <w:rPr>
                <w:rFonts w:cs="Arial" w:ascii="Arial" w:hAnsi="Arial"/>
                <w:b/>
              </w:rPr>
            </w:r>
          </w:p>
        </w:tc>
        <w:tc>
          <w:tcPr>
            <w:tcW w:w="450" w:type="dxa"/>
            <w:tcBorders/>
          </w:tcPr>
          <w:p>
            <w:pPr>
              <w:pStyle w:val="Normal"/>
              <w:snapToGrid w:val="false"/>
              <w:spacing w:before="0" w:after="120"/>
              <w:rPr>
                <w:rFonts w:ascii="Arial" w:hAnsi="Arial" w:cs="Arial"/>
                <w:b/>
              </w:rPr>
            </w:pPr>
            <w:r>
              <w:rPr>
                <w:rFonts w:cs="Arial" w:ascii="Arial" w:hAnsi="Arial"/>
                <w:b/>
              </w:rPr>
            </w:r>
          </w:p>
        </w:tc>
        <w:tc>
          <w:tcPr>
            <w:tcW w:w="3690" w:type="dxa"/>
            <w:tcBorders/>
          </w:tcPr>
          <w:p>
            <w:pPr>
              <w:pStyle w:val="BodyText2"/>
              <w:rPr>
                <w:rFonts w:ascii="Arial" w:hAnsi="Arial" w:cs="Arial"/>
              </w:rPr>
            </w:pPr>
            <w:r>
              <w:rPr>
                <w:rFonts w:cs="Arial" w:ascii="Arial" w:hAnsi="Arial"/>
              </w:rPr>
              <w:t xml:space="preserve">From Closing Date to 30-Sep-02:   </w:t>
            </w:r>
          </w:p>
          <w:p>
            <w:pPr>
              <w:pStyle w:val="Normal"/>
              <w:rPr>
                <w:rFonts w:ascii="Arial" w:hAnsi="Arial" w:cs="Arial"/>
              </w:rPr>
            </w:pPr>
            <w:r>
              <w:rPr>
                <w:rFonts w:cs="Arial" w:ascii="Arial" w:hAnsi="Arial"/>
              </w:rPr>
              <w:t>From 01-Oct-02 to 30-Sep-05:</w:t>
            </w:r>
          </w:p>
          <w:p>
            <w:pPr>
              <w:pStyle w:val="Normal"/>
              <w:spacing w:before="0" w:after="120"/>
              <w:rPr>
                <w:rFonts w:ascii="Arial" w:hAnsi="Arial" w:cs="Arial"/>
              </w:rPr>
            </w:pPr>
            <w:r>
              <w:rPr>
                <w:rFonts w:cs="Arial" w:ascii="Arial" w:hAnsi="Arial"/>
              </w:rPr>
              <w:t xml:space="preserve">From 01-Oct-05 to 30-Sep-09:   </w:t>
            </w:r>
          </w:p>
        </w:tc>
        <w:tc>
          <w:tcPr>
            <w:tcW w:w="2430" w:type="dxa"/>
            <w:tcBorders/>
          </w:tcPr>
          <w:p>
            <w:pPr>
              <w:pStyle w:val="Normal"/>
              <w:rPr>
                <w:rFonts w:ascii="Arial" w:hAnsi="Arial" w:cs="Arial"/>
              </w:rPr>
            </w:pPr>
            <w:r>
              <w:rPr>
                <w:rFonts w:cs="Arial" w:ascii="Arial" w:hAnsi="Arial"/>
              </w:rPr>
              <w:t>0.375%</w:t>
            </w:r>
          </w:p>
          <w:p>
            <w:pPr>
              <w:pStyle w:val="Normal"/>
              <w:rPr>
                <w:rFonts w:ascii="Arial" w:hAnsi="Arial" w:cs="Arial"/>
              </w:rPr>
            </w:pPr>
            <w:r>
              <w:rPr>
                <w:rFonts w:cs="Arial" w:ascii="Arial" w:hAnsi="Arial"/>
              </w:rPr>
              <w:t>0.625%</w:t>
            </w:r>
          </w:p>
          <w:p>
            <w:pPr>
              <w:pStyle w:val="Normal"/>
              <w:spacing w:before="0" w:after="120"/>
              <w:rPr>
                <w:rFonts w:ascii="Arial" w:hAnsi="Arial" w:cs="Arial"/>
              </w:rPr>
            </w:pPr>
            <w:r>
              <w:rPr>
                <w:rFonts w:cs="Arial" w:ascii="Arial" w:hAnsi="Arial"/>
              </w:rPr>
              <w:t>0.875%</w:t>
            </w:r>
          </w:p>
        </w:tc>
      </w:tr>
      <w:tr>
        <w:trPr/>
        <w:tc>
          <w:tcPr>
            <w:tcW w:w="2178" w:type="dxa"/>
            <w:tcBorders/>
          </w:tcPr>
          <w:p>
            <w:pPr>
              <w:pStyle w:val="Normal"/>
              <w:snapToGrid w:val="false"/>
              <w:spacing w:before="0" w:after="120"/>
              <w:jc w:val="start"/>
              <w:rPr>
                <w:rFonts w:ascii="Arial" w:hAnsi="Arial" w:cs="Arial"/>
                <w:b/>
              </w:rPr>
            </w:pPr>
            <w:r>
              <w:rPr>
                <w:rFonts w:cs="Arial" w:ascii="Arial" w:hAnsi="Arial"/>
                <w:b/>
              </w:rPr>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 xml:space="preserve">The Borrower shall purchase interest rate protection in a manner mutually acceptable to Arranger, Agent and Borrower. </w:t>
            </w:r>
          </w:p>
        </w:tc>
      </w:tr>
      <w:tr>
        <w:trPr>
          <w:trHeight w:val="1256" w:hRule="atLeast"/>
        </w:trPr>
        <w:tc>
          <w:tcPr>
            <w:tcW w:w="2178" w:type="dxa"/>
            <w:tcBorders/>
          </w:tcPr>
          <w:p>
            <w:pPr>
              <w:pStyle w:val="Normal"/>
              <w:spacing w:before="0" w:after="120"/>
              <w:jc w:val="start"/>
              <w:rPr>
                <w:rFonts w:ascii="Arial" w:hAnsi="Arial" w:cs="Arial"/>
                <w:b/>
              </w:rPr>
            </w:pPr>
            <w:r>
              <w:rPr>
                <w:rFonts w:cs="Arial" w:ascii="Arial" w:hAnsi="Arial"/>
                <w:b/>
              </w:rPr>
              <w:t>Principal Amortization and Interest Payments:</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gridSpan w:val="2"/>
            <w:tcBorders/>
          </w:tcPr>
          <w:p>
            <w:pPr>
              <w:pStyle w:val="Normal"/>
              <w:spacing w:before="0" w:after="120"/>
              <w:rPr>
                <w:rFonts w:ascii="Arial" w:hAnsi="Arial" w:cs="Arial"/>
              </w:rPr>
            </w:pPr>
            <w:r>
              <w:rPr>
                <w:rFonts w:cs="Arial" w:ascii="Arial" w:hAnsi="Arial"/>
              </w:rPr>
              <w:t>Scheduled quarterly amortization of principal as per Exhibit A, with a bullet payment of remaining principal due and payable on the Final Maturity Date.  Interest payable at the end of each interest period, but in any case, no less frequently than quarterly.</w:t>
            </w:r>
          </w:p>
        </w:tc>
      </w:tr>
    </w:tbl>
    <w:p>
      <w:pPr>
        <w:pStyle w:val="Normal"/>
        <w:rPr>
          <w:rFonts w:ascii="Arial" w:hAnsi="Arial" w:cs="Arial"/>
        </w:rPr>
      </w:pPr>
      <w:r>
        <w:rPr>
          <w:rFonts w:cs="Arial" w:ascii="Arial" w:hAnsi="Arial"/>
        </w:rPr>
      </w:r>
    </w:p>
    <w:p>
      <w:pPr>
        <w:pStyle w:val="Heading4"/>
        <w:ind w:hanging="0" w:start="0"/>
        <w:rPr/>
      </w:pPr>
      <w:bookmarkStart w:id="31" w:name="__RefHeading___Toc483025994"/>
      <w:bookmarkEnd w:id="31"/>
      <w:r>
        <w:rPr/>
        <w:t>Standby Letter Of Credit – Southwest Gas</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spacing w:before="0" w:after="120"/>
              <w:jc w:val="start"/>
              <w:rPr>
                <w:rFonts w:ascii="Arial" w:hAnsi="Arial" w:cs="Arial"/>
                <w:b/>
              </w:rPr>
            </w:pPr>
            <w:r>
              <w:rPr>
                <w:rFonts w:cs="Arial" w:ascii="Arial" w:hAnsi="Arial"/>
                <w:b/>
              </w:rPr>
              <w:t>Beneficiary:</w:t>
            </w:r>
          </w:p>
        </w:tc>
        <w:tc>
          <w:tcPr>
            <w:tcW w:w="450" w:type="dxa"/>
            <w:tcBorders/>
          </w:tcPr>
          <w:p>
            <w:pPr>
              <w:pStyle w:val="Normal"/>
              <w:snapToGrid w:val="false"/>
              <w:spacing w:before="0" w:after="120"/>
              <w:rPr>
                <w:rFonts w:ascii="Arial" w:hAnsi="Arial" w:cs="Arial"/>
                <w:b/>
                <w:smallCaps/>
              </w:rPr>
            </w:pPr>
            <w:r>
              <w:rPr>
                <w:rFonts w:cs="Arial" w:ascii="Arial" w:hAnsi="Arial"/>
                <w:b/>
                <w:smallCaps/>
              </w:rPr>
            </w:r>
          </w:p>
        </w:tc>
        <w:tc>
          <w:tcPr>
            <w:tcW w:w="6120" w:type="dxa"/>
            <w:tcBorders/>
          </w:tcPr>
          <w:p>
            <w:pPr>
              <w:pStyle w:val="Normal"/>
              <w:spacing w:before="0" w:after="120"/>
              <w:rPr>
                <w:rFonts w:ascii="Arial" w:hAnsi="Arial" w:cs="Arial"/>
              </w:rPr>
            </w:pPr>
            <w:r>
              <w:rPr>
                <w:rFonts w:cs="Arial" w:ascii="Arial" w:hAnsi="Arial"/>
              </w:rPr>
              <w:t>Southwest Gas Corporation (“Southwest Gas”)</w:t>
            </w:r>
          </w:p>
        </w:tc>
      </w:tr>
      <w:tr>
        <w:trPr/>
        <w:tc>
          <w:tcPr>
            <w:tcW w:w="2178" w:type="dxa"/>
            <w:tcBorders/>
          </w:tcPr>
          <w:p>
            <w:pPr>
              <w:pStyle w:val="Normal"/>
              <w:spacing w:before="0" w:after="120"/>
              <w:jc w:val="start"/>
              <w:rPr>
                <w:rFonts w:ascii="Arial" w:hAnsi="Arial" w:cs="Arial"/>
                <w:b/>
              </w:rPr>
            </w:pPr>
            <w:r>
              <w:rPr>
                <w:rFonts w:cs="Arial" w:ascii="Arial" w:hAnsi="Arial"/>
                <w:b/>
              </w:rPr>
              <w:t>Initial Face Amount:</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$888,896</w:t>
            </w:r>
          </w:p>
        </w:tc>
      </w:tr>
      <w:tr>
        <w:trPr/>
        <w:tc>
          <w:tcPr>
            <w:tcW w:w="2178" w:type="dxa"/>
            <w:tcBorders/>
          </w:tcPr>
          <w:p>
            <w:pPr>
              <w:pStyle w:val="Normal"/>
              <w:spacing w:before="0" w:after="120"/>
              <w:jc w:val="start"/>
              <w:rPr>
                <w:rFonts w:ascii="Arial" w:hAnsi="Arial" w:cs="Arial"/>
                <w:b/>
              </w:rPr>
            </w:pPr>
            <w:r>
              <w:rPr>
                <w:rFonts w:cs="Arial" w:ascii="Arial" w:hAnsi="Arial"/>
                <w:b/>
              </w:rPr>
              <w:t>Purpose:</w:t>
            </w:r>
          </w:p>
        </w:tc>
        <w:tc>
          <w:tcPr>
            <w:tcW w:w="450" w:type="dxa"/>
            <w:tcBorders/>
          </w:tcPr>
          <w:p>
            <w:pPr>
              <w:pStyle w:val="BodyTextIndent"/>
              <w:snapToGrid w:val="false"/>
              <w:spacing w:before="0" w:after="120"/>
              <w:rPr>
                <w:rFonts w:ascii="Arial" w:hAnsi="Arial" w:cs="Arial"/>
                <w:b/>
              </w:rPr>
            </w:pPr>
            <w:r>
              <w:rPr>
                <w:rFonts w:cs="Arial" w:ascii="Arial" w:hAnsi="Arial"/>
                <w:b/>
              </w:rPr>
            </w:r>
          </w:p>
        </w:tc>
        <w:tc>
          <w:tcPr>
            <w:tcW w:w="6120" w:type="dxa"/>
            <w:tcBorders/>
          </w:tcPr>
          <w:p>
            <w:pPr>
              <w:pStyle w:val="BodyTextIndent"/>
              <w:spacing w:before="0" w:after="120"/>
              <w:ind w:start="0" w:end="0"/>
              <w:rPr>
                <w:rFonts w:ascii="Arial" w:hAnsi="Arial" w:cs="Arial"/>
              </w:rPr>
            </w:pPr>
            <w:r>
              <w:rPr>
                <w:rFonts w:cs="Arial" w:ascii="Arial" w:hAnsi="Arial"/>
              </w:rPr>
              <w:t>To assure Southwest Gas of the Borrower’s performance under the Southwest Gas Transportation Agreement, specifically the recovery by Southwest Gas of capital costs incurred by it in constructing a spur pipeline from the interconnection with the Kern River Gas Transmission system to the Project site.</w:t>
            </w:r>
          </w:p>
        </w:tc>
      </w:tr>
      <w:tr>
        <w:trPr/>
        <w:tc>
          <w:tcPr>
            <w:tcW w:w="2178" w:type="dxa"/>
            <w:tcBorders/>
          </w:tcPr>
          <w:p>
            <w:pPr>
              <w:pStyle w:val="Normal"/>
              <w:spacing w:before="0" w:after="120"/>
              <w:jc w:val="start"/>
              <w:rPr>
                <w:rFonts w:ascii="Arial" w:hAnsi="Arial" w:cs="Arial"/>
                <w:b/>
              </w:rPr>
            </w:pPr>
            <w:r>
              <w:rPr>
                <w:rFonts w:cs="Arial" w:ascii="Arial" w:hAnsi="Arial"/>
                <w:b/>
              </w:rPr>
              <w:t>Term:</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3 years.</w:t>
            </w:r>
          </w:p>
        </w:tc>
      </w:tr>
      <w:tr>
        <w:trPr/>
        <w:tc>
          <w:tcPr>
            <w:tcW w:w="2178" w:type="dxa"/>
            <w:tcBorders/>
          </w:tcPr>
          <w:p>
            <w:pPr>
              <w:pStyle w:val="Normal"/>
              <w:spacing w:before="0" w:after="120"/>
              <w:jc w:val="start"/>
              <w:rPr>
                <w:rFonts w:ascii="Arial" w:hAnsi="Arial" w:cs="Arial"/>
                <w:b/>
              </w:rPr>
            </w:pPr>
            <w:r>
              <w:rPr>
                <w:rFonts w:cs="Arial" w:ascii="Arial" w:hAnsi="Arial"/>
                <w:b/>
              </w:rPr>
              <w:t>Reduction Schedule: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See Exhibit B.</w:t>
            </w:r>
          </w:p>
        </w:tc>
      </w:tr>
      <w:tr>
        <w:trPr/>
        <w:tc>
          <w:tcPr>
            <w:tcW w:w="2178" w:type="dxa"/>
            <w:tcBorders/>
          </w:tcPr>
          <w:p>
            <w:pPr>
              <w:pStyle w:val="Normal"/>
              <w:spacing w:before="0" w:after="120"/>
              <w:jc w:val="start"/>
              <w:rPr>
                <w:rFonts w:ascii="Arial" w:hAnsi="Arial" w:cs="Arial"/>
                <w:b/>
              </w:rPr>
            </w:pPr>
            <w:r>
              <w:rPr>
                <w:rFonts w:cs="Arial" w:ascii="Arial" w:hAnsi="Arial"/>
                <w:b/>
              </w:rPr>
              <w:t>Letter of Credit Commission:</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Same as LIBOR margin on Term Loan.</w:t>
            </w:r>
          </w:p>
        </w:tc>
      </w:tr>
      <w:tr>
        <w:trPr/>
        <w:tc>
          <w:tcPr>
            <w:tcW w:w="2178" w:type="dxa"/>
            <w:tcBorders/>
          </w:tcPr>
          <w:p>
            <w:pPr>
              <w:pStyle w:val="Normal"/>
              <w:spacing w:before="0" w:after="120"/>
              <w:jc w:val="start"/>
              <w:rPr>
                <w:rFonts w:ascii="Arial" w:hAnsi="Arial" w:cs="Arial"/>
                <w:b/>
              </w:rPr>
            </w:pPr>
            <w:r>
              <w:rPr>
                <w:rFonts w:cs="Arial" w:ascii="Arial" w:hAnsi="Arial"/>
                <w:b/>
              </w:rPr>
              <w:t>Permitted Draws:</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numPr>
                <w:ilvl w:val="0"/>
                <w:numId w:val="13"/>
              </w:numPr>
              <w:rPr>
                <w:rFonts w:ascii="Arial" w:hAnsi="Arial" w:cs="Arial"/>
              </w:rPr>
            </w:pPr>
            <w:r>
              <w:rPr>
                <w:rFonts w:cs="Arial" w:ascii="Arial" w:hAnsi="Arial"/>
              </w:rPr>
              <w:t>Upon receipt by the Issuing Bank of a certificate from Southwest Gas stating that it is entitled to draw on the letter of credit because of non-performance by the Borrower under the Southwest Gas Transportation Agreement; or</w:t>
            </w:r>
          </w:p>
          <w:p>
            <w:pPr>
              <w:pStyle w:val="Normal"/>
              <w:rPr>
                <w:rFonts w:ascii="Arial" w:hAnsi="Arial" w:cs="Arial"/>
              </w:rPr>
            </w:pPr>
            <w:r>
              <w:rPr>
                <w:rFonts w:cs="Arial" w:ascii="Arial" w:hAnsi="Arial"/>
              </w:rPr>
            </w:r>
          </w:p>
          <w:p>
            <w:pPr>
              <w:pStyle w:val="Normal"/>
              <w:numPr>
                <w:ilvl w:val="0"/>
                <w:numId w:val="7"/>
              </w:numPr>
              <w:spacing w:before="0" w:after="120"/>
              <w:rPr>
                <w:rFonts w:ascii="Arial" w:hAnsi="Arial" w:cs="Arial"/>
              </w:rPr>
            </w:pPr>
            <w:r>
              <w:rPr>
                <w:rFonts w:cs="Arial" w:ascii="Arial" w:hAnsi="Arial"/>
              </w:rPr>
              <w:t>No more than 30 days prior to its expiry, upon the failure of the Issuing Bank to extend the letter of credit, or of the Borrower to procure a replacement the letter of credit.</w:t>
            </w:r>
          </w:p>
        </w:tc>
      </w:tr>
      <w:tr>
        <w:trPr/>
        <w:tc>
          <w:tcPr>
            <w:tcW w:w="2178" w:type="dxa"/>
            <w:tcBorders/>
          </w:tcPr>
          <w:p>
            <w:pPr>
              <w:pStyle w:val="Normal"/>
              <w:spacing w:before="0" w:after="120"/>
              <w:jc w:val="start"/>
              <w:rPr>
                <w:rFonts w:ascii="Arial" w:hAnsi="Arial" w:cs="Arial"/>
                <w:b/>
              </w:rPr>
            </w:pPr>
            <w:r>
              <w:rPr>
                <w:rFonts w:cs="Arial" w:ascii="Arial" w:hAnsi="Arial"/>
                <w:b/>
              </w:rPr>
              <w:t>Post-Draw Interest Rate: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Base Rate + 2.0%.</w:t>
            </w:r>
          </w:p>
        </w:tc>
      </w:tr>
      <w:tr>
        <w:trPr/>
        <w:tc>
          <w:tcPr>
            <w:tcW w:w="2178" w:type="dxa"/>
            <w:tcBorders/>
          </w:tcPr>
          <w:p>
            <w:pPr>
              <w:pStyle w:val="Normal"/>
              <w:spacing w:before="0" w:after="120"/>
              <w:jc w:val="start"/>
              <w:rPr>
                <w:rFonts w:ascii="Arial" w:hAnsi="Arial" w:cs="Arial"/>
                <w:b/>
              </w:rPr>
            </w:pPr>
            <w:r>
              <w:rPr>
                <w:rFonts w:cs="Arial" w:ascii="Arial" w:hAnsi="Arial"/>
                <w:b/>
              </w:rPr>
              <w:t>Reimbursement Obligation:</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Upon a draw on the letter of credit, the Borrower shall have the obligation to reimburse the Issuing Bank from 100% of cash flow available immediately prior to the payment of scheduled interest on the Term Loan in the Cash Flow Waterfall.</w:t>
            </w:r>
          </w:p>
        </w:tc>
      </w:tr>
    </w:tbl>
    <w:p>
      <w:pPr>
        <w:pStyle w:val="Normal"/>
        <w:rPr>
          <w:rFonts w:ascii="Arial" w:hAnsi="Arial" w:cs="Arial"/>
          <w:b/>
        </w:rPr>
      </w:pPr>
      <w:r>
        <w:rPr>
          <w:rFonts w:cs="Arial" w:ascii="Arial" w:hAnsi="Arial"/>
          <w:b/>
        </w:rPr>
      </w:r>
    </w:p>
    <w:p>
      <w:pPr>
        <w:pStyle w:val="Heading4"/>
        <w:ind w:hanging="0" w:start="0"/>
        <w:rPr/>
      </w:pPr>
      <w:bookmarkStart w:id="32" w:name="__RefHeading___Toc483025995"/>
      <w:bookmarkEnd w:id="32"/>
      <w:r>
        <w:rPr/>
        <w:t>Standby Letter Of Credit – Duke Fuels</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spacing w:before="0" w:after="120"/>
              <w:rPr>
                <w:rFonts w:ascii="Arial" w:hAnsi="Arial" w:cs="Arial"/>
                <w:b/>
              </w:rPr>
            </w:pPr>
            <w:r>
              <w:rPr>
                <w:rFonts w:cs="Arial" w:ascii="Arial" w:hAnsi="Arial"/>
                <w:b/>
              </w:rPr>
              <w:t>Beneficiary:</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Duke Energy Fuels, L.P. (“Duke Fuels”).</w:t>
            </w:r>
          </w:p>
        </w:tc>
      </w:tr>
      <w:tr>
        <w:trPr/>
        <w:tc>
          <w:tcPr>
            <w:tcW w:w="2178" w:type="dxa"/>
            <w:tcBorders/>
          </w:tcPr>
          <w:p>
            <w:pPr>
              <w:pStyle w:val="Normal"/>
              <w:spacing w:before="0" w:after="120"/>
              <w:rPr>
                <w:rFonts w:ascii="Arial" w:hAnsi="Arial" w:cs="Arial"/>
                <w:b/>
              </w:rPr>
            </w:pPr>
            <w:r>
              <w:rPr>
                <w:rFonts w:cs="Arial" w:ascii="Arial" w:hAnsi="Arial"/>
                <w:b/>
              </w:rPr>
              <w:t>Face Amount:</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$3,000,000</w:t>
            </w:r>
          </w:p>
        </w:tc>
      </w:tr>
      <w:tr>
        <w:trPr>
          <w:trHeight w:val="513" w:hRule="atLeast"/>
        </w:trPr>
        <w:tc>
          <w:tcPr>
            <w:tcW w:w="2178" w:type="dxa"/>
            <w:tcBorders/>
          </w:tcPr>
          <w:p>
            <w:pPr>
              <w:pStyle w:val="Normal"/>
              <w:spacing w:before="0" w:after="120"/>
              <w:rPr>
                <w:rFonts w:ascii="Arial" w:hAnsi="Arial" w:cs="Arial"/>
                <w:b/>
              </w:rPr>
            </w:pPr>
            <w:r>
              <w:rPr>
                <w:rFonts w:cs="Arial" w:ascii="Arial" w:hAnsi="Arial"/>
                <w:b/>
              </w:rPr>
              <w:t>Purpose: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To assure Duke Fuels of the Borrower’s performance under the Duke Fuels Gas Supply Agreement.</w:t>
            </w:r>
          </w:p>
        </w:tc>
      </w:tr>
      <w:tr>
        <w:trPr/>
        <w:tc>
          <w:tcPr>
            <w:tcW w:w="2178" w:type="dxa"/>
            <w:tcBorders/>
          </w:tcPr>
          <w:p>
            <w:pPr>
              <w:pStyle w:val="Normal"/>
              <w:spacing w:before="0" w:after="120"/>
              <w:rPr>
                <w:rFonts w:ascii="Arial" w:hAnsi="Arial" w:cs="Arial"/>
                <w:b/>
              </w:rPr>
            </w:pPr>
            <w:r>
              <w:rPr>
                <w:rFonts w:cs="Arial" w:ascii="Arial" w:hAnsi="Arial"/>
                <w:b/>
              </w:rPr>
              <w:t>Term:</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3 years, with no interim reductions.</w:t>
            </w:r>
          </w:p>
        </w:tc>
      </w:tr>
      <w:tr>
        <w:trPr/>
        <w:tc>
          <w:tcPr>
            <w:tcW w:w="2178" w:type="dxa"/>
            <w:tcBorders/>
          </w:tcPr>
          <w:p>
            <w:pPr>
              <w:pStyle w:val="Normal"/>
              <w:spacing w:before="0" w:after="120"/>
              <w:rPr>
                <w:rFonts w:ascii="Arial" w:hAnsi="Arial" w:cs="Arial"/>
                <w:b/>
              </w:rPr>
            </w:pPr>
            <w:r>
              <w:rPr>
                <w:rFonts w:cs="Arial" w:ascii="Arial" w:hAnsi="Arial"/>
                <w:b/>
              </w:rPr>
              <w:t>Letter of Credit Commission:</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Same as LIBOR margin on Term Loan.</w:t>
            </w:r>
          </w:p>
        </w:tc>
      </w:tr>
      <w:tr>
        <w:trPr/>
        <w:tc>
          <w:tcPr>
            <w:tcW w:w="2178" w:type="dxa"/>
            <w:tcBorders/>
          </w:tcPr>
          <w:p>
            <w:pPr>
              <w:pStyle w:val="Normal"/>
              <w:spacing w:before="0" w:after="120"/>
              <w:rPr>
                <w:rFonts w:ascii="Arial" w:hAnsi="Arial" w:cs="Arial"/>
                <w:b/>
              </w:rPr>
            </w:pPr>
            <w:r>
              <w:rPr>
                <w:rFonts w:cs="Arial" w:ascii="Arial" w:hAnsi="Arial"/>
                <w:b/>
              </w:rPr>
              <w:t>Permitted Draws:</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numPr>
                <w:ilvl w:val="0"/>
                <w:numId w:val="13"/>
              </w:numPr>
              <w:rPr>
                <w:rFonts w:ascii="Arial" w:hAnsi="Arial" w:cs="Arial"/>
              </w:rPr>
            </w:pPr>
            <w:r>
              <w:rPr>
                <w:rFonts w:cs="Arial" w:ascii="Arial" w:hAnsi="Arial"/>
              </w:rPr>
              <w:t>Upon receipt by the Issuing Bank of a certificate from Duke Fuels stating that it is entitled to draw on the letter of credit because of non-performance by the Borrower under the Duke Fuels Gas Supply Agreement; or</w:t>
            </w:r>
          </w:p>
          <w:p>
            <w:pPr>
              <w:pStyle w:val="Normal"/>
              <w:rPr>
                <w:rFonts w:ascii="Arial" w:hAnsi="Arial" w:cs="Arial"/>
              </w:rPr>
            </w:pPr>
            <w:r>
              <w:rPr>
                <w:rFonts w:cs="Arial" w:ascii="Arial" w:hAnsi="Arial"/>
              </w:rPr>
            </w:r>
          </w:p>
          <w:p>
            <w:pPr>
              <w:pStyle w:val="Normal"/>
              <w:numPr>
                <w:ilvl w:val="0"/>
                <w:numId w:val="12"/>
              </w:numPr>
              <w:spacing w:before="0" w:after="120"/>
              <w:rPr>
                <w:rFonts w:ascii="Arial" w:hAnsi="Arial" w:cs="Arial"/>
              </w:rPr>
            </w:pPr>
            <w:r>
              <w:rPr>
                <w:rFonts w:cs="Arial" w:ascii="Arial" w:hAnsi="Arial"/>
              </w:rPr>
              <w:t>No more than 30 days prior to its expiry, upon the failure of the Issuing Bank to extend the letter of credit, or of the Borrower to procure a replacement the letter of credit.</w:t>
            </w:r>
          </w:p>
        </w:tc>
      </w:tr>
      <w:tr>
        <w:trPr/>
        <w:tc>
          <w:tcPr>
            <w:tcW w:w="2178" w:type="dxa"/>
            <w:tcBorders/>
          </w:tcPr>
          <w:p>
            <w:pPr>
              <w:pStyle w:val="Normal"/>
              <w:spacing w:before="0" w:after="120"/>
              <w:rPr>
                <w:rFonts w:ascii="Arial" w:hAnsi="Arial" w:cs="Arial"/>
                <w:b/>
              </w:rPr>
            </w:pPr>
            <w:r>
              <w:rPr>
                <w:rFonts w:cs="Arial" w:ascii="Arial" w:hAnsi="Arial"/>
                <w:b/>
              </w:rPr>
              <w:t>Post-Draw Interest Rate:</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Base Rate + 2.0%.</w:t>
            </w:r>
          </w:p>
        </w:tc>
      </w:tr>
      <w:tr>
        <w:trPr/>
        <w:tc>
          <w:tcPr>
            <w:tcW w:w="2178" w:type="dxa"/>
            <w:tcBorders/>
          </w:tcPr>
          <w:p>
            <w:pPr>
              <w:pStyle w:val="Normal"/>
              <w:spacing w:before="0" w:after="120"/>
              <w:rPr>
                <w:rFonts w:ascii="Arial" w:hAnsi="Arial" w:cs="Arial"/>
                <w:b/>
              </w:rPr>
            </w:pPr>
            <w:r>
              <w:rPr>
                <w:rFonts w:cs="Arial" w:ascii="Arial" w:hAnsi="Arial"/>
                <w:b/>
              </w:rPr>
              <w:t>Reimbursement Obligation:</w:t>
            </w:r>
          </w:p>
        </w:tc>
        <w:tc>
          <w:tcPr>
            <w:tcW w:w="450" w:type="dxa"/>
            <w:tcBorders/>
          </w:tcPr>
          <w:p>
            <w:pPr>
              <w:pStyle w:val="Normal"/>
              <w:snapToGrid w:val="false"/>
              <w:spacing w:before="0" w:after="120"/>
              <w:rPr>
                <w:rFonts w:ascii="Arial" w:hAnsi="Arial" w:cs="Arial"/>
                <w:b/>
              </w:rPr>
            </w:pPr>
            <w:r>
              <w:rPr>
                <w:rFonts w:cs="Arial" w:ascii="Arial" w:hAnsi="Arial"/>
                <w:b/>
              </w:rPr>
            </w:r>
          </w:p>
        </w:tc>
        <w:tc>
          <w:tcPr>
            <w:tcW w:w="6120" w:type="dxa"/>
            <w:tcBorders/>
          </w:tcPr>
          <w:p>
            <w:pPr>
              <w:pStyle w:val="Normal"/>
              <w:spacing w:before="0" w:after="120"/>
              <w:rPr>
                <w:rFonts w:ascii="Arial" w:hAnsi="Arial" w:cs="Arial"/>
              </w:rPr>
            </w:pPr>
            <w:r>
              <w:rPr>
                <w:rFonts w:cs="Arial" w:ascii="Arial" w:hAnsi="Arial"/>
              </w:rPr>
              <w:t>Upon a draw on the letter of credit, the Borrower shall have the obligation to reimburse the Issuing Bank from 100% of cash flow available immediately prior to the payment of scheduled interest on the Term Loan in the Cash Flow Waterfall.</w:t>
            </w:r>
          </w:p>
        </w:tc>
      </w:tr>
    </w:tbl>
    <w:p>
      <w:pPr>
        <w:pStyle w:val="Heading3"/>
        <w:tabs>
          <w:tab w:val="left" w:pos="720" w:leader="none"/>
        </w:tabs>
        <w:ind w:hanging="0" w:start="0"/>
        <w:rPr/>
      </w:pPr>
      <w:bookmarkStart w:id="33" w:name="__RefHeading___Toc483025996"/>
      <w:bookmarkEnd w:id="33"/>
      <w:r>
        <w:rPr/>
        <w:t>Financial Hedging</w:t>
      </w:r>
    </w:p>
    <w:p>
      <w:pPr>
        <w:pStyle w:val="Normal"/>
        <w:rPr/>
      </w:pPr>
      <w:r>
        <w:rPr>
          <w:rFonts w:cs="Arial" w:ascii="Arial" w:hAnsi="Arial"/>
        </w:rPr>
        <w:t xml:space="preserve">ENA has entered into a 10-year interest rate swap (“IRS”) with LVCLP for 100% of the Senior Credit Facility with a strike price of 6.5%.  All swap obligations are secured </w:t>
      </w:r>
      <w:r>
        <w:rPr>
          <w:rFonts w:cs="Arial" w:ascii="Arial" w:hAnsi="Arial"/>
          <w:i/>
        </w:rPr>
        <w:t>pari passu</w:t>
      </w:r>
      <w:r>
        <w:rPr>
          <w:rFonts w:cs="Arial" w:ascii="Arial" w:hAnsi="Arial"/>
        </w:rPr>
        <w:t xml:space="preserve"> with the Senior Credit Facility.</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smallCaps/>
          <w:color w:val="800000"/>
          <w:spacing w:val="30"/>
          <w:sz w:val="28"/>
        </w:rPr>
        <w:t>Financial Results</w:t>
      </w:r>
    </w:p>
    <w:p>
      <w:pPr>
        <w:pStyle w:val="BodyText"/>
        <w:rPr>
          <w:rFonts w:ascii="Arial" w:hAnsi="Arial" w:cs="Arial"/>
          <w:b/>
        </w:rPr>
      </w:pPr>
      <w:r>
        <w:rPr>
          <w:rFonts w:cs="Arial" w:ascii="Arial" w:hAnsi="Arial"/>
          <w:b/>
        </w:rPr>
        <w:t>INSERT</w:t>
      </w:r>
      <w:r>
        <w:br w:type="page"/>
      </w:r>
    </w:p>
    <w:p>
      <w:pPr>
        <w:pStyle w:val="Normal"/>
        <w:jc w:val="center"/>
        <w:rPr>
          <w:rFonts w:ascii="Arial" w:hAnsi="Arial" w:cs="Arial"/>
          <w:b/>
        </w:rPr>
      </w:pPr>
      <w:r>
        <w:rPr>
          <w:rFonts w:cs="Arial" w:ascii="Arial" w:hAnsi="Arial"/>
          <w:b/>
        </w:rPr>
        <w:t>EXHIBIT A</w:t>
      </w:r>
    </w:p>
    <w:p>
      <w:pPr>
        <w:pStyle w:val="Normal"/>
        <w:spacing w:before="0" w:after="0"/>
        <w:jc w:val="center"/>
        <w:rPr>
          <w:rFonts w:ascii="Arial" w:hAnsi="Arial" w:cs="Arial"/>
          <w:b/>
        </w:rPr>
      </w:pPr>
      <w:r>
        <w:rPr>
          <w:rFonts w:cs="Arial" w:ascii="Arial" w:hAnsi="Arial"/>
          <w:b/>
        </w:rPr>
        <w:t>TERM LOAN</w:t>
      </w:r>
    </w:p>
    <w:p>
      <w:pPr>
        <w:pStyle w:val="Normal"/>
        <w:spacing w:before="0" w:after="0"/>
        <w:jc w:val="center"/>
        <w:rPr>
          <w:rFonts w:ascii="Arial" w:hAnsi="Arial" w:cs="Arial"/>
          <w:b/>
        </w:rPr>
      </w:pPr>
      <w:r>
        <w:rPr>
          <w:rFonts w:cs="Arial" w:ascii="Arial" w:hAnsi="Arial"/>
          <w:b/>
        </w:rPr>
        <w:t>AMORTIZATION SCHEDULE</w:t>
      </w:r>
    </w:p>
    <w:p>
      <w:pPr>
        <w:pStyle w:val="Normal"/>
        <w:jc w:val="center"/>
        <w:rPr/>
      </w:pPr>
      <w:r>
        <w:rPr/>
        <w:t>(Amounts in US$1000s)</w:t>
      </w:r>
    </w:p>
    <w:tbl>
      <w:tblPr>
        <w:tblW w:w="7380" w:type="dxa"/>
        <w:jc w:val="start"/>
        <w:tblInd w:w="1110" w:type="dxa"/>
        <w:tblLayout w:type="fixed"/>
        <w:tblCellMar>
          <w:top w:w="0" w:type="dxa"/>
          <w:start w:w="30" w:type="dxa"/>
          <w:bottom w:w="0" w:type="dxa"/>
          <w:end w:w="30" w:type="dxa"/>
        </w:tblCellMar>
      </w:tblPr>
      <w:tblGrid>
        <w:gridCol w:w="1530"/>
        <w:gridCol w:w="1350"/>
        <w:gridCol w:w="2250"/>
        <w:gridCol w:w="2250"/>
      </w:tblGrid>
      <w:tr>
        <w:trPr/>
        <w:tc>
          <w:tcPr>
            <w:tcW w:w="1530" w:type="dxa"/>
            <w:tcBorders>
              <w:top w:val="single" w:sz="6" w:space="0" w:color="000000"/>
              <w:start w:val="single" w:sz="6" w:space="0" w:color="000000"/>
              <w:end w:val="single" w:sz="6" w:space="0" w:color="000000"/>
            </w:tcBorders>
          </w:tcPr>
          <w:p>
            <w:pPr>
              <w:pStyle w:val="Normal"/>
              <w:spacing w:before="0" w:after="0"/>
              <w:jc w:val="center"/>
              <w:rPr>
                <w:rFonts w:ascii="Arial" w:hAnsi="Arial" w:cs="Arial"/>
                <w:b/>
                <w:color w:val="000000"/>
                <w:sz w:val="20"/>
              </w:rPr>
            </w:pPr>
            <w:r>
              <w:rPr>
                <w:rFonts w:cs="Arial" w:ascii="Arial" w:hAnsi="Arial"/>
                <w:b/>
                <w:color w:val="000000"/>
                <w:sz w:val="20"/>
              </w:rPr>
              <w:t>Date</w:t>
            </w:r>
          </w:p>
        </w:tc>
        <w:tc>
          <w:tcPr>
            <w:tcW w:w="1350" w:type="dxa"/>
            <w:tcBorders>
              <w:top w:val="single" w:sz="6" w:space="0" w:color="000000"/>
              <w:start w:val="single" w:sz="6" w:space="0" w:color="000000"/>
              <w:end w:val="single" w:sz="6" w:space="0" w:color="000000"/>
            </w:tcBorders>
          </w:tcPr>
          <w:p>
            <w:pPr>
              <w:pStyle w:val="Normal"/>
              <w:spacing w:before="0" w:after="0"/>
              <w:jc w:val="center"/>
              <w:rPr>
                <w:rFonts w:ascii="Arial" w:hAnsi="Arial" w:cs="Arial"/>
                <w:b/>
                <w:color w:val="000000"/>
                <w:sz w:val="20"/>
              </w:rPr>
            </w:pPr>
            <w:r>
              <w:rPr>
                <w:rFonts w:cs="Arial" w:ascii="Arial" w:hAnsi="Arial"/>
                <w:b/>
                <w:color w:val="000000"/>
                <w:sz w:val="20"/>
              </w:rPr>
              <w:t>Repayment</w:t>
            </w:r>
          </w:p>
        </w:tc>
        <w:tc>
          <w:tcPr>
            <w:tcW w:w="2250" w:type="dxa"/>
            <w:tcBorders>
              <w:top w:val="single" w:sz="6" w:space="0" w:color="000000"/>
              <w:end w:val="single" w:sz="6" w:space="0" w:color="000000"/>
            </w:tcBorders>
          </w:tcPr>
          <w:p>
            <w:pPr>
              <w:pStyle w:val="Normal"/>
              <w:spacing w:before="0" w:after="0"/>
              <w:jc w:val="center"/>
              <w:rPr>
                <w:rFonts w:ascii="Arial" w:hAnsi="Arial" w:cs="Arial"/>
                <w:b/>
                <w:color w:val="000000"/>
                <w:sz w:val="20"/>
              </w:rPr>
            </w:pPr>
            <w:r>
              <w:rPr>
                <w:rFonts w:cs="Arial" w:ascii="Arial" w:hAnsi="Arial"/>
                <w:b/>
                <w:color w:val="000000"/>
                <w:sz w:val="20"/>
              </w:rPr>
              <w:t>Balance Outstanding</w:t>
            </w:r>
          </w:p>
        </w:tc>
        <w:tc>
          <w:tcPr>
            <w:tcW w:w="2250" w:type="dxa"/>
            <w:tcBorders>
              <w:top w:val="single" w:sz="6" w:space="0" w:color="000000"/>
              <w:start w:val="single" w:sz="6" w:space="0" w:color="000000"/>
              <w:end w:val="single" w:sz="6" w:space="0" w:color="000000"/>
            </w:tcBorders>
          </w:tcPr>
          <w:p>
            <w:pPr>
              <w:pStyle w:val="Normal"/>
              <w:spacing w:before="0" w:after="0"/>
              <w:jc w:val="center"/>
              <w:rPr>
                <w:rFonts w:ascii="Arial" w:hAnsi="Arial" w:cs="Arial"/>
                <w:b/>
                <w:color w:val="000000"/>
                <w:sz w:val="20"/>
              </w:rPr>
            </w:pPr>
            <w:r>
              <w:rPr>
                <w:rFonts w:cs="Arial" w:ascii="Arial" w:hAnsi="Arial"/>
                <w:b/>
                <w:color w:val="000000"/>
                <w:sz w:val="20"/>
              </w:rPr>
              <w:t>Percentage Outstanding</w:t>
            </w:r>
          </w:p>
        </w:tc>
      </w:tr>
      <w:tr>
        <w:trPr/>
        <w:tc>
          <w:tcPr>
            <w:tcW w:w="1530" w:type="dxa"/>
            <w:tcBorders>
              <w:start w:val="single" w:sz="6" w:space="0" w:color="000000"/>
              <w:bottom w:val="single" w:sz="6" w:space="0" w:color="000000"/>
              <w:end w:val="single" w:sz="6" w:space="0" w:color="000000"/>
            </w:tcBorders>
          </w:tcPr>
          <w:p>
            <w:pPr>
              <w:pStyle w:val="Normal"/>
              <w:snapToGrid w:val="false"/>
              <w:spacing w:before="0" w:after="0"/>
              <w:jc w:val="center"/>
              <w:rPr>
                <w:rFonts w:ascii="Arial" w:hAnsi="Arial" w:cs="Arial"/>
                <w:b/>
                <w:color w:val="000000"/>
                <w:sz w:val="20"/>
              </w:rPr>
            </w:pPr>
            <w:r>
              <w:rPr>
                <w:rFonts w:cs="Arial" w:ascii="Arial" w:hAnsi="Arial"/>
                <w:b/>
                <w:color w:val="000000"/>
                <w:sz w:val="20"/>
              </w:rPr>
            </w:r>
          </w:p>
        </w:tc>
        <w:tc>
          <w:tcPr>
            <w:tcW w:w="1350" w:type="dxa"/>
            <w:tcBorders>
              <w:start w:val="single" w:sz="6" w:space="0" w:color="000000"/>
              <w:bottom w:val="single" w:sz="6" w:space="0" w:color="000000"/>
              <w:end w:val="single" w:sz="6" w:space="0" w:color="000000"/>
            </w:tcBorders>
          </w:tcPr>
          <w:p>
            <w:pPr>
              <w:pStyle w:val="Normal"/>
              <w:snapToGrid w:val="false"/>
              <w:spacing w:before="0" w:after="0"/>
              <w:rPr>
                <w:rFonts w:ascii="Arial" w:hAnsi="Arial" w:cs="Arial"/>
                <w:b/>
                <w:color w:val="000000"/>
                <w:sz w:val="20"/>
              </w:rPr>
            </w:pPr>
            <w:r>
              <w:rPr>
                <w:rFonts w:cs="Arial" w:ascii="Arial" w:hAnsi="Arial"/>
                <w:b/>
                <w:color w:val="000000"/>
                <w:sz w:val="20"/>
              </w:rPr>
            </w:r>
          </w:p>
        </w:tc>
        <w:tc>
          <w:tcPr>
            <w:tcW w:w="2250" w:type="dxa"/>
            <w:tcBorders>
              <w:start w:val="single" w:sz="6" w:space="0" w:color="000000"/>
              <w:bottom w:val="single" w:sz="6" w:space="0" w:color="000000"/>
              <w:end w:val="single" w:sz="6" w:space="0" w:color="000000"/>
            </w:tcBorders>
          </w:tcPr>
          <w:p>
            <w:pPr>
              <w:pStyle w:val="Normal"/>
              <w:snapToGrid w:val="false"/>
              <w:spacing w:before="0" w:after="0"/>
              <w:rPr>
                <w:rFonts w:ascii="Arial" w:hAnsi="Arial" w:cs="Arial"/>
                <w:b/>
                <w:color w:val="000000"/>
                <w:sz w:val="20"/>
              </w:rPr>
            </w:pPr>
            <w:r>
              <w:rPr>
                <w:rFonts w:cs="Arial" w:ascii="Arial" w:hAnsi="Arial"/>
                <w:b/>
                <w:color w:val="000000"/>
                <w:sz w:val="20"/>
              </w:rPr>
            </w:r>
          </w:p>
        </w:tc>
        <w:tc>
          <w:tcPr>
            <w:tcW w:w="2250" w:type="dxa"/>
            <w:tcBorders>
              <w:start w:val="single" w:sz="6" w:space="0" w:color="000000"/>
              <w:bottom w:val="single" w:sz="6" w:space="0" w:color="000000"/>
              <w:end w:val="single" w:sz="6" w:space="0" w:color="000000"/>
            </w:tcBorders>
          </w:tcPr>
          <w:p>
            <w:pPr>
              <w:pStyle w:val="Normal"/>
              <w:snapToGrid w:val="false"/>
              <w:spacing w:before="0" w:after="0"/>
              <w:jc w:val="center"/>
              <w:rPr>
                <w:rFonts w:ascii="Arial" w:hAnsi="Arial" w:cs="Arial"/>
                <w:b/>
                <w:color w:val="000000"/>
                <w:sz w:val="20"/>
              </w:rPr>
            </w:pPr>
            <w:r>
              <w:rPr>
                <w:rFonts w:cs="Arial" w:ascii="Arial" w:hAnsi="Arial"/>
                <w:b/>
                <w:color w:val="000000"/>
                <w:sz w:val="20"/>
              </w:rPr>
            </w:r>
          </w:p>
        </w:tc>
      </w:tr>
      <w:tr>
        <w:trPr>
          <w:trHeight w:val="318" w:hRule="atLeast"/>
        </w:trPr>
        <w:tc>
          <w:tcPr>
            <w:tcW w:w="1530" w:type="dxa"/>
            <w:tcBorders>
              <w:top w:val="single" w:sz="6" w:space="0" w:color="000000"/>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Opening</w:t>
            </w:r>
          </w:p>
        </w:tc>
        <w:tc>
          <w:tcPr>
            <w:tcW w:w="1350" w:type="dxa"/>
            <w:tcBorders>
              <w:top w:val="single" w:sz="6" w:space="0" w:color="000000"/>
              <w:start w:val="single" w:sz="6" w:space="0" w:color="000000"/>
              <w:end w:val="single" w:sz="6" w:space="0" w:color="000000"/>
            </w:tcBorders>
          </w:tcPr>
          <w:p>
            <w:pPr>
              <w:pStyle w:val="Normal"/>
              <w:snapToGrid w:val="false"/>
              <w:spacing w:before="0" w:after="0"/>
              <w:ind w:end="509"/>
              <w:jc w:val="center"/>
              <w:rPr>
                <w:rFonts w:ascii="Arial" w:hAnsi="Arial" w:cs="Arial"/>
                <w:b/>
                <w:color w:val="000000"/>
                <w:sz w:val="20"/>
              </w:rPr>
            </w:pPr>
            <w:r>
              <w:rPr>
                <w:rFonts w:cs="Arial" w:ascii="Arial" w:hAnsi="Arial"/>
                <w:b/>
                <w:color w:val="000000"/>
                <w:sz w:val="20"/>
              </w:rPr>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56,500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100.0%</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31-Dec-99</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(391)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56,109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99.3%</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31-Mar-00</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(106)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56,003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99.1%</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30-Jun-00</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(521)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55,482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98.2%</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30-Sep-00</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(602)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54,880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97.1%</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31-Dec-00</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(373)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54,507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96.5%</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31-Mar-01</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(361)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54,146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95.8%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30-Jun-01</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(603)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53,543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94.8%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30-Sep-01</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(666)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52,877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93.6%</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31-Dec-01</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(518)</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52,359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92.7%</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31-Mar-02</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(534)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51,825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91.7%</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30-Jun-02</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(760)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51,065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90.4%</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30-Sep-02</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(873)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50,192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88.8%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31-Dec-02</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(334)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49,858</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88.2%</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31-Mar-03</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(298)</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49,560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87.7%</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30-Jun-03</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(507)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49,053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86.8%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30-Sep-03</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(614)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48,439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85.7%</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31-Dec-03</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(683)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47,756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84.5%</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31-Mar-04</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(632)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47,124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83.4%</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30-Jun-04</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(809)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46,315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82.0%</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30-Sep-04</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(951)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45,364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80.3%</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31-Dec-04</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(781)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44,583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78.9%</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31-Mar-05</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(740)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43,843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77.6%</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30-Jun-05</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(966)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42,877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75.9%</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30-Sep-05</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(1,114)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41,763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73.9%</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31-Dec-05</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(439)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41,324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73.1%</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31-Mar-06</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(375)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40,949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72.5%</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30-Jun-06</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(572)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40,377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71.5%</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30-Sep-06</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(694)</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39,683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70.2%</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31-Dec-06</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(502)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39,181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69.3%</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31-Mar-07</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(455)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38,726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68.5%</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30-Jun-07</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(661)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38,065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67.4%</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30-Sep-07</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(783)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37,282</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66.0%</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31-Dec-07</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(936)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36,346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64.3%</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31-Mar-08</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(891)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35,455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62.8%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30-Jun-08</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(1,099)</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34,356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60.8%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30-Sep-08</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(1,216)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33,140</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58.7%</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31-Dec-08</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(1,037)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32,103</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56.8%</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31-Mar-09</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(977)</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31,126</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55.1%</w:t>
            </w:r>
          </w:p>
        </w:tc>
      </w:tr>
      <w:tr>
        <w:trPr/>
        <w:tc>
          <w:tcPr>
            <w:tcW w:w="153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30-Jun-09</w:t>
            </w:r>
          </w:p>
        </w:tc>
        <w:tc>
          <w:tcPr>
            <w:tcW w:w="1350" w:type="dxa"/>
            <w:tcBorders>
              <w:start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(1,205)</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29,921</w:t>
            </w:r>
          </w:p>
        </w:tc>
        <w:tc>
          <w:tcPr>
            <w:tcW w:w="2250" w:type="dxa"/>
            <w:tcBorders>
              <w:start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53.0%</w:t>
            </w:r>
          </w:p>
        </w:tc>
      </w:tr>
      <w:tr>
        <w:trPr/>
        <w:tc>
          <w:tcPr>
            <w:tcW w:w="1530" w:type="dxa"/>
            <w:tcBorders>
              <w:start w:val="single" w:sz="6" w:space="0" w:color="000000"/>
              <w:bottom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30-Sep-09</w:t>
            </w:r>
          </w:p>
        </w:tc>
        <w:tc>
          <w:tcPr>
            <w:tcW w:w="1350" w:type="dxa"/>
            <w:tcBorders>
              <w:start w:val="single" w:sz="6" w:space="0" w:color="000000"/>
              <w:bottom w:val="single" w:sz="6" w:space="0" w:color="000000"/>
              <w:end w:val="single" w:sz="6" w:space="0" w:color="000000"/>
            </w:tcBorders>
          </w:tcPr>
          <w:p>
            <w:pPr>
              <w:pStyle w:val="Normal"/>
              <w:spacing w:before="0" w:after="0"/>
              <w:ind w:end="330"/>
              <w:jc w:val="center"/>
              <w:rPr>
                <w:rFonts w:ascii="Arial" w:hAnsi="Arial" w:cs="Arial"/>
                <w:color w:val="000000"/>
                <w:sz w:val="20"/>
              </w:rPr>
            </w:pPr>
            <w:r>
              <w:rPr>
                <w:rFonts w:cs="Arial" w:ascii="Arial" w:hAnsi="Arial"/>
                <w:color w:val="000000"/>
                <w:sz w:val="20"/>
              </w:rPr>
              <w:t>(29,921)</w:t>
            </w:r>
          </w:p>
        </w:tc>
        <w:tc>
          <w:tcPr>
            <w:tcW w:w="2250" w:type="dxa"/>
            <w:tcBorders>
              <w:start w:val="single" w:sz="6" w:space="0" w:color="000000"/>
              <w:bottom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0</w:t>
            </w:r>
          </w:p>
        </w:tc>
        <w:tc>
          <w:tcPr>
            <w:tcW w:w="2250" w:type="dxa"/>
            <w:tcBorders>
              <w:start w:val="single" w:sz="6" w:space="0" w:color="000000"/>
              <w:bottom w:val="single" w:sz="6" w:space="0" w:color="000000"/>
              <w:end w:val="single" w:sz="6" w:space="0" w:color="000000"/>
            </w:tcBorders>
          </w:tcPr>
          <w:p>
            <w:pPr>
              <w:pStyle w:val="Normal"/>
              <w:spacing w:before="0" w:after="0"/>
              <w:jc w:val="center"/>
              <w:rPr>
                <w:rFonts w:ascii="Arial" w:hAnsi="Arial" w:cs="Arial"/>
                <w:color w:val="000000"/>
                <w:sz w:val="20"/>
              </w:rPr>
            </w:pPr>
            <w:r>
              <w:rPr>
                <w:rFonts w:cs="Arial" w:ascii="Arial" w:hAnsi="Arial"/>
                <w:color w:val="000000"/>
                <w:sz w:val="20"/>
              </w:rPr>
              <w:t>0.0%</w:t>
            </w:r>
          </w:p>
        </w:tc>
      </w:tr>
    </w:tbl>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r>
        <w:br w:type="page"/>
      </w:r>
    </w:p>
    <w:p>
      <w:pPr>
        <w:pStyle w:val="Normal"/>
        <w:jc w:val="center"/>
        <w:rPr/>
      </w:pPr>
      <w:r>
        <w:rPr/>
        <w:t>EXHIBIT B</w:t>
      </w:r>
    </w:p>
    <w:tbl>
      <w:tblPr>
        <w:tblW w:w="8640" w:type="dxa"/>
        <w:jc w:val="center"/>
        <w:tblInd w:w="0" w:type="dxa"/>
        <w:tblLayout w:type="fixed"/>
        <w:tblCellMar>
          <w:top w:w="0" w:type="dxa"/>
          <w:start w:w="108" w:type="dxa"/>
          <w:bottom w:w="0" w:type="dxa"/>
          <w:end w:w="108" w:type="dxa"/>
        </w:tblCellMar>
      </w:tblPr>
      <w:tblGrid>
        <w:gridCol w:w="2880"/>
        <w:gridCol w:w="2070"/>
        <w:gridCol w:w="1890"/>
        <w:gridCol w:w="1800"/>
      </w:tblGrid>
      <w:tr>
        <w:trPr>
          <w:trHeight w:val="448" w:hRule="atLeast"/>
        </w:trPr>
        <w:tc>
          <w:tcPr>
            <w:tcW w:w="2880" w:type="dxa"/>
            <w:vMerge w:val="restart"/>
            <w:tcBorders>
              <w:top w:val="single" w:sz="4" w:space="0" w:color="000000"/>
              <w:start w:val="double" w:sz="4" w:space="0" w:color="000000"/>
              <w:end w:val="single" w:sz="4" w:space="0" w:color="000000"/>
            </w:tcBorders>
          </w:tcPr>
          <w:p>
            <w:pPr>
              <w:pStyle w:val="Header"/>
              <w:spacing w:before="0" w:after="240"/>
              <w:jc w:val="start"/>
              <w:rPr>
                <w:rFonts w:ascii="Arial" w:hAnsi="Arial" w:cs="Arial"/>
              </w:rPr>
            </w:pPr>
            <w:r>
              <w:rPr>
                <w:rFonts w:cs="Arial" w:ascii="Arial" w:hAnsi="Arial"/>
              </w:rPr>
              <w:t>Reduction Schedule Southwest Gas Letter of Credit:</w:t>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464" w:leader="none"/>
                <w:tab w:val="left" w:pos="4463" w:leader="none"/>
                <w:tab w:val="left" w:pos="5531" w:leader="none"/>
              </w:tabs>
              <w:spacing w:before="60" w:after="60"/>
              <w:ind w:hanging="360" w:start="432" w:end="252"/>
              <w:jc w:val="center"/>
              <w:rPr>
                <w:rFonts w:ascii="Arial" w:hAnsi="Arial" w:cs="Arial"/>
                <w:b/>
              </w:rPr>
            </w:pPr>
            <w:r>
              <w:rPr>
                <w:rFonts w:cs="Arial" w:ascii="Arial" w:hAnsi="Arial"/>
                <w:b/>
              </w:rPr>
              <w:t>Date</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22"/>
              <w:jc w:val="center"/>
              <w:rPr>
                <w:rFonts w:ascii="Arial" w:hAnsi="Arial" w:cs="Arial"/>
                <w:b/>
              </w:rPr>
            </w:pPr>
            <w:r>
              <w:rPr>
                <w:rFonts w:cs="Arial" w:ascii="Arial" w:hAnsi="Arial"/>
                <w:b/>
              </w:rPr>
              <w:t>Reduction</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22"/>
              <w:jc w:val="center"/>
              <w:rPr>
                <w:rFonts w:ascii="Arial" w:hAnsi="Arial" w:cs="Arial"/>
                <w:b/>
              </w:rPr>
            </w:pPr>
            <w:r>
              <w:rPr>
                <w:rFonts w:cs="Arial" w:ascii="Arial" w:hAnsi="Arial"/>
                <w:b/>
              </w:rPr>
              <w:t>Balance</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b/>
              </w:rPr>
            </w:pPr>
            <w:r>
              <w:rPr>
                <w:rFonts w:cs="Arial" w:ascii="Arial" w:hAnsi="Arial"/>
                <w:b/>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464" w:leader="none"/>
                <w:tab w:val="left" w:pos="4463" w:leader="none"/>
                <w:tab w:val="left" w:pos="5531" w:leader="none"/>
              </w:tabs>
              <w:spacing w:before="60" w:after="60"/>
              <w:ind w:hanging="360" w:start="432" w:end="252"/>
              <w:jc w:val="center"/>
              <w:rPr>
                <w:rFonts w:ascii="Arial" w:hAnsi="Arial" w:cs="Arial"/>
              </w:rPr>
            </w:pPr>
            <w:r>
              <w:rPr>
                <w:rFonts w:cs="Arial" w:ascii="Arial" w:hAnsi="Arial"/>
              </w:rPr>
              <w:t>Initial</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napToGrid w:val="false"/>
              <w:spacing w:before="60" w:after="60"/>
              <w:ind w:start="488" w:end="481"/>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888,896</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 w:leader="none"/>
                <w:tab w:val="left" w:pos="3464" w:leader="none"/>
                <w:tab w:val="left" w:pos="4463" w:leader="none"/>
                <w:tab w:val="left" w:pos="5531" w:leader="none"/>
              </w:tabs>
              <w:spacing w:before="60" w:after="60"/>
              <w:ind w:firstLine="18" w:start="-18" w:end="286"/>
              <w:jc w:val="center"/>
              <w:rPr>
                <w:rFonts w:ascii="Arial" w:hAnsi="Arial" w:cs="Arial"/>
              </w:rPr>
            </w:pPr>
            <w:r>
              <w:rPr>
                <w:rFonts w:cs="Arial" w:ascii="Arial" w:hAnsi="Arial"/>
              </w:rPr>
              <w:t>10-May-00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855,712</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822,528</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789,344</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10-May-03</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756,160</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722,976</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689,792</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10-May-06</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656,608</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10-May-07</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623,424</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590,240</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snapToGrid w:val="false"/>
              <w:spacing w:before="0" w:after="240"/>
              <w:jc w:val="start"/>
              <w:rPr>
                <w:rFonts w:ascii="Arial" w:hAnsi="Arial" w:cs="Arial"/>
              </w:rPr>
            </w:pPr>
            <w:r>
              <w:rPr>
                <w:rFonts w:cs="Arial" w:ascii="Arial" w:hAnsi="Arial"/>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3464" w:leader="none"/>
                <w:tab w:val="left" w:pos="4463" w:leader="none"/>
                <w:tab w:val="left" w:pos="5531" w:leader="none"/>
              </w:tabs>
              <w:spacing w:before="60" w:after="60"/>
              <w:ind w:end="286"/>
              <w:jc w:val="center"/>
              <w:rPr>
                <w:rFonts w:ascii="Arial" w:hAnsi="Arial" w:cs="Arial"/>
              </w:rPr>
            </w:pPr>
            <w:r>
              <w:rPr>
                <w:rFonts w:cs="Arial" w:ascii="Arial" w:hAnsi="Arial"/>
              </w:rPr>
              <w:t>10-May-09</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8" w:leader="none"/>
                <w:tab w:val="left" w:pos="3464" w:leader="none"/>
                <w:tab w:val="left" w:pos="4463" w:leader="none"/>
                <w:tab w:val="left" w:pos="5531" w:leader="none"/>
              </w:tabs>
              <w:spacing w:before="60" w:after="60"/>
              <w:ind w:start="488" w:end="481"/>
              <w:jc w:val="center"/>
              <w:rPr>
                <w:rFonts w:ascii="Arial" w:hAnsi="Arial" w:cs="Arial"/>
              </w:rPr>
            </w:pPr>
            <w:r>
              <w:rPr>
                <w:rFonts w:cs="Arial" w:ascii="Arial" w:hAnsi="Arial"/>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3464" w:leader="none"/>
                <w:tab w:val="left" w:pos="4463" w:leader="none"/>
                <w:tab w:val="left" w:pos="5531" w:leader="none"/>
              </w:tabs>
              <w:spacing w:before="60" w:after="60"/>
              <w:ind w:end="481"/>
              <w:jc w:val="center"/>
              <w:rPr>
                <w:rFonts w:ascii="Arial" w:hAnsi="Arial" w:cs="Arial"/>
              </w:rPr>
            </w:pPr>
            <w:r>
              <w:rPr>
                <w:rFonts w:cs="Arial" w:ascii="Arial" w:hAnsi="Arial"/>
              </w:rPr>
              <w:t>557,056</w:t>
            </w:r>
          </w:p>
        </w:tc>
      </w:tr>
    </w:tbl>
    <w:p>
      <w:pPr>
        <w:pStyle w:val="Heading1"/>
        <w:ind w:hanging="0" w:start="-720"/>
        <w:rPr>
          <w:rFonts w:ascii="Arial" w:hAnsi="Arial" w:cs="Arial"/>
        </w:rPr>
      </w:pPr>
      <w:bookmarkStart w:id="34" w:name="__RefHeading___Toc483025997"/>
      <w:r>
        <w:rPr>
          <w:rFonts w:cs="Arial" w:ascii="Arial" w:hAnsi="Arial"/>
        </w:rPr>
        <w:t xml:space="preserve">Las Vegas Cogeneration II, </w:t>
      </w:r>
      <w:bookmarkEnd w:id="34"/>
      <w:r>
        <w:rPr>
          <w:rFonts w:cs="Arial" w:ascii="Arial" w:hAnsi="Arial"/>
        </w:rPr>
        <w:t>L.L.C.</w:t>
      </w:r>
    </w:p>
    <w:p>
      <w:pPr>
        <w:pStyle w:val="Heading2"/>
        <w:ind w:hanging="0" w:start="0" w:end="0"/>
        <w:rPr>
          <w:rFonts w:ascii="Arial" w:hAnsi="Arial" w:cs="Arial"/>
        </w:rPr>
      </w:pPr>
      <w:bookmarkStart w:id="35" w:name="__RefHeading___Toc483025998"/>
      <w:bookmarkEnd w:id="35"/>
      <w:r>
        <w:rPr>
          <w:rFonts w:cs="Arial" w:ascii="Arial" w:hAnsi="Arial"/>
        </w:rPr>
        <w:t>Las Vegas Cogeneration II, L.L.C.</w:t>
      </w:r>
    </w:p>
    <w:p>
      <w:pPr>
        <w:pStyle w:val="Heading2"/>
        <w:ind w:hanging="0" w:start="0" w:end="0"/>
        <w:rPr>
          <w:rFonts w:ascii="Arial" w:hAnsi="Arial" w:cs="Arial"/>
          <w:b w:val="false"/>
          <w:caps w:val="false"/>
          <w:smallCaps w:val="false"/>
          <w:color w:val="auto"/>
          <w:spacing w:val="0"/>
          <w:sz w:val="21"/>
        </w:rPr>
      </w:pPr>
      <w:r>
        <w:rPr>
          <w:rFonts w:cs="Arial" w:ascii="Arial" w:hAnsi="Arial"/>
          <w:b w:val="false"/>
          <w:caps w:val="false"/>
          <w:smallCaps w:val="false"/>
          <w:color w:val="auto"/>
          <w:spacing w:val="0"/>
          <w:sz w:val="21"/>
        </w:rPr>
        <w:t>LVCII is an expansion of the existing 54 MW Las Vegas Cogeneration Project acquired in August 1999.  The Project is owned by Southwest Power LLC, which was formed on April 29, 1999.  SWP is a wholly-owned subsidiary of ENA which, in turn, is a wholly-owed subsidiary of Enron.  ENA is currently the sole and managing member of LVCII.</w:t>
      </w:r>
    </w:p>
    <w:p>
      <w:pPr>
        <w:pStyle w:val="Heading2"/>
        <w:ind w:hanging="0" w:start="0" w:end="0"/>
        <w:rPr>
          <w:rFonts w:ascii="Arial" w:hAnsi="Arial" w:cs="Arial"/>
        </w:rPr>
      </w:pPr>
      <w:r>
        <w:rPr>
          <w:rFonts w:cs="Arial" w:ascii="Arial" w:hAnsi="Arial"/>
        </w:rPr>
        <w:t>Project Description</w:t>
      </w:r>
    </w:p>
    <w:p>
      <w:pPr>
        <w:pStyle w:val="Heading2"/>
        <w:ind w:hanging="0" w:start="0" w:end="0"/>
        <w:rPr>
          <w:rFonts w:ascii="Arial" w:hAnsi="Arial" w:cs="Arial"/>
          <w:caps w:val="false"/>
          <w:smallCaps w:val="false"/>
          <w:color w:val="auto"/>
          <w:spacing w:val="0"/>
          <w:sz w:val="21"/>
        </w:rPr>
      </w:pPr>
      <w:r>
        <w:rPr>
          <w:rFonts w:cs="Arial" w:ascii="Arial" w:hAnsi="Arial"/>
          <w:caps w:val="false"/>
          <w:smallCaps w:val="false"/>
          <w:color w:val="auto"/>
          <w:spacing w:val="0"/>
          <w:sz w:val="21"/>
        </w:rPr>
        <w:t xml:space="preserve">General. </w:t>
      </w:r>
      <w:r>
        <w:rPr>
          <w:rFonts w:cs="Arial" w:ascii="Arial" w:hAnsi="Arial"/>
          <w:b w:val="false"/>
          <w:caps w:val="false"/>
          <w:smallCaps w:val="false"/>
          <w:color w:val="auto"/>
          <w:spacing w:val="0"/>
          <w:sz w:val="21"/>
        </w:rPr>
        <w:t xml:space="preserve"> LVCII will be a nominal 230 MW natural gas fired power plant consisting of two, two-on-one combined cycle units.  LVCII will use four GE LM 6000 PC turbines to produce merchant electrical power.  Output can be sold into deregulated electricity markets through contractual arrangements,  the California PX, Meade or the local Nevada grid, upon the deregulation of its power markets and will be delivered to the existing electrical grid into the Nevada Power transmission system at 138kv.  </w:t>
      </w:r>
    </w:p>
    <w:p>
      <w:pPr>
        <w:pStyle w:val="Heading3"/>
        <w:ind w:hanging="0" w:start="0"/>
        <w:rPr/>
      </w:pPr>
      <w:bookmarkStart w:id="36" w:name="__RefHeading___Toc483025998"/>
      <w:bookmarkStart w:id="37" w:name="__RefHeading___Toc483025999"/>
      <w:bookmarkEnd w:id="36"/>
      <w:r>
        <w:rPr/>
        <w:t>Location and Project Site</w:t>
      </w:r>
      <w:bookmarkEnd w:id="37"/>
      <w:r>
        <w:rPr/>
        <w:t xml:space="preserve">.  </w:t>
      </w:r>
      <w:r>
        <w:rPr>
          <w:b w:val="false"/>
          <w:sz w:val="22"/>
        </w:rPr>
        <w:t>A 230 MW natural gas fired plant consisting of two, two-on-one combined cycle units.  The Las Vegas Cogeneration II Project (LVC II) will use four GE LM6000 PC gas turbines with Enhanced Sprint (spray cooling), each rated at approximately 43 MW, four HRSG’s and two steam turbines in a site-optimized configuration. LVC II is an expansion of the existing 54 MW Las Vegas Cogeneration Project acquired in August 1999. LVC II will be located adjacent to the Las Vegas Cogeneration Project on an approximate four-acre tract of land located at 1701 East Alexander Road, North Las Vegas, NV, in Clark County.  The Southwest Gas Corporation pipeline, the Nevada Power electric transmission and the City of North Las Vegas water supply are all located at the boundaries of the Project site.</w:t>
      </w:r>
    </w:p>
    <w:p>
      <w:pPr>
        <w:pStyle w:val="Heading2"/>
        <w:ind w:hanging="0" w:start="0" w:end="0"/>
        <w:rPr>
          <w:rFonts w:ascii="Arial" w:hAnsi="Arial" w:cs="Arial"/>
        </w:rPr>
      </w:pPr>
      <w:bookmarkStart w:id="38" w:name="__RefHeading___Toc483026000"/>
      <w:bookmarkEnd w:id="38"/>
      <w:r>
        <w:rPr>
          <w:rFonts w:cs="Arial" w:ascii="Arial" w:hAnsi="Arial"/>
        </w:rPr>
        <w:t>Technical Description</w:t>
      </w:r>
    </w:p>
    <w:p>
      <w:pPr>
        <w:pStyle w:val="Heading4"/>
        <w:spacing w:before="40" w:after="240"/>
        <w:ind w:hanging="0" w:start="0"/>
        <w:rPr/>
      </w:pPr>
      <w:bookmarkStart w:id="39" w:name="__RefHeading___Toc483026001"/>
      <w:r>
        <w:rPr>
          <w:i w:val="false"/>
          <w:sz w:val="21"/>
        </w:rPr>
        <w:t>Equipment</w:t>
      </w:r>
      <w:bookmarkEnd w:id="39"/>
      <w:r>
        <w:rPr>
          <w:i w:val="false"/>
          <w:sz w:val="21"/>
        </w:rPr>
        <w:t xml:space="preserve">. </w:t>
      </w:r>
      <w:r>
        <w:rPr>
          <w:b w:val="false"/>
          <w:i w:val="false"/>
          <w:sz w:val="22"/>
        </w:rPr>
        <w:t>The plant will be outfitted with four GE LM 6000 PC gas turbines.  Inlet cooling will be used on the gas turbines to maximize plant output during warm ambient conditions. The gas turbines and transformers for the project are owned by a special purpose entity. Transfer of the equipment to the Project will occur during plant construction.</w:t>
      </w:r>
    </w:p>
    <w:p>
      <w:pPr>
        <w:pStyle w:val="Heading4"/>
        <w:spacing w:before="40" w:after="240"/>
        <w:ind w:hanging="0" w:start="0"/>
        <w:rPr/>
      </w:pPr>
      <w:bookmarkStart w:id="40" w:name="__RefHeading___Toc483026002"/>
      <w:r>
        <w:rPr>
          <w:i w:val="false"/>
          <w:sz w:val="21"/>
        </w:rPr>
        <w:t>Capacity</w:t>
      </w:r>
      <w:bookmarkEnd w:id="40"/>
      <w:r>
        <w:rPr>
          <w:i w:val="false"/>
          <w:sz w:val="21"/>
        </w:rPr>
        <w:t xml:space="preserve">.  </w:t>
      </w:r>
      <w:r>
        <w:rPr>
          <w:b w:val="false"/>
          <w:i w:val="false"/>
          <w:sz w:val="22"/>
        </w:rPr>
        <w:t>Given the varying ambient temperature in the Las Vegas area, the net output is expected to vary from 225-235 MW, for a yearly average output of 230 MW.  With the use of inlet cooling on the gas turbines, the average net output can be improved by 20 MW. The heat rate can also vary from 7,400-7,600 Btu/kWh throughout the year and will average 7,500 on a yearly basis. The use of inlet cooling on the gas turbines will increase the heat rate approximately 40 Btu/kWh.</w:t>
      </w:r>
    </w:p>
    <w:p>
      <w:pPr>
        <w:pStyle w:val="Heading2"/>
        <w:ind w:hanging="0" w:start="-360"/>
        <w:rPr>
          <w:rFonts w:ascii="Arial" w:hAnsi="Arial" w:cs="Arial"/>
        </w:rPr>
      </w:pPr>
      <w:bookmarkStart w:id="41" w:name="__RefHeading___Toc483026003"/>
      <w:bookmarkEnd w:id="41"/>
      <w:r>
        <w:rPr>
          <w:rFonts w:cs="Arial" w:ascii="Arial" w:hAnsi="Arial"/>
        </w:rPr>
        <w:t>Permits and Environmental</w:t>
      </w:r>
    </w:p>
    <w:p>
      <w:pPr>
        <w:pStyle w:val="CIMBodyText"/>
        <w:rPr>
          <w:rFonts w:ascii="Arial" w:hAnsi="Arial" w:cs="Arial"/>
          <w:b/>
        </w:rPr>
      </w:pPr>
      <w:r>
        <w:rPr>
          <w:rFonts w:cs="Arial" w:ascii="Arial" w:hAnsi="Arial"/>
          <w:b/>
        </w:rPr>
        <w:t>Waste Water</w:t>
      </w:r>
    </w:p>
    <w:p>
      <w:pPr>
        <w:pStyle w:val="Normal"/>
        <w:rPr>
          <w:rFonts w:ascii="Arial" w:hAnsi="Arial" w:cs="Arial"/>
        </w:rPr>
      </w:pPr>
      <w:r>
        <w:rPr>
          <w:rFonts w:cs="Arial" w:ascii="Arial" w:hAnsi="Arial"/>
        </w:rPr>
        <w:t>Wastewater will be discharged into the city of North Las Vegas’ system.  The city has committed to take the plant’s effluent.  The limit on the total dissolved solids of the wastewater is 3000 ppm.</w:t>
      </w:r>
    </w:p>
    <w:p>
      <w:pPr>
        <w:pStyle w:val="CIMBodyText"/>
        <w:rPr>
          <w:rFonts w:ascii="Arial" w:hAnsi="Arial" w:cs="Arial"/>
          <w:b/>
        </w:rPr>
      </w:pPr>
      <w:r>
        <w:rPr>
          <w:rFonts w:cs="Arial" w:ascii="Arial" w:hAnsi="Arial"/>
          <w:b/>
        </w:rPr>
        <w:t>Air Permit</w:t>
      </w:r>
    </w:p>
    <w:p>
      <w:pPr>
        <w:pStyle w:val="Normal"/>
        <w:rPr>
          <w:rFonts w:ascii="Arial" w:hAnsi="Arial" w:cs="Arial"/>
        </w:rPr>
      </w:pPr>
      <w:r>
        <w:rPr>
          <w:rFonts w:cs="Arial" w:ascii="Arial" w:hAnsi="Arial"/>
        </w:rPr>
        <w:t>LVC II’s Air Permit application was submitted on March 27, 2000. On June 9, Clark County APCD deemed the application to construct LVC II complete.  Clark County expects to release the permit for public comment in September 2000, which will allow finalization of the air permit in October 2000.  LVCII will utilize advanced SCR technology to reduce NOx emissions to a level of 2 ppm.  A carbon monoxide catalyst will be used to lower CO emissions to 2 ppm.</w:t>
      </w:r>
    </w:p>
    <w:p>
      <w:pPr>
        <w:pStyle w:val="Normal"/>
        <w:rPr>
          <w:rFonts w:ascii="Arial" w:hAnsi="Arial" w:cs="Arial"/>
          <w:b/>
        </w:rPr>
      </w:pPr>
      <w:r>
        <w:rPr>
          <w:rFonts w:cs="Arial" w:ascii="Arial" w:hAnsi="Arial"/>
          <w:b/>
        </w:rPr>
        <w:t>Noise Permit</w:t>
      </w:r>
    </w:p>
    <w:p>
      <w:pPr>
        <w:pStyle w:val="Normal"/>
        <w:rPr>
          <w:rFonts w:ascii="Arial" w:hAnsi="Arial" w:cs="Arial"/>
        </w:rPr>
      </w:pPr>
      <w:r>
        <w:rPr>
          <w:rFonts w:cs="Arial" w:ascii="Arial" w:hAnsi="Arial"/>
        </w:rPr>
        <w:t>The site is zoned industrial, which allows for the construction of the new power generating facility.  The project design is currently being evaluated to assure compliance with the city’s noise standard. A noise study was completed to verify the project’s ability to meet the City’s 65 dba requirement.  The primary area of concern was the auxiliary fans on the gas turbine enclosures.  GE is looking at additional shrouding to reduce the sound level.</w:t>
      </w:r>
    </w:p>
    <w:p>
      <w:pPr>
        <w:pStyle w:val="Heading2"/>
        <w:ind w:hanging="0" w:start="-360"/>
        <w:rPr>
          <w:rFonts w:ascii="Arial" w:hAnsi="Arial" w:cs="Arial"/>
        </w:rPr>
      </w:pPr>
      <w:bookmarkStart w:id="42" w:name="__RefHeading___Toc483026004"/>
      <w:r>
        <w:rPr>
          <w:rFonts w:cs="Arial" w:ascii="Arial" w:hAnsi="Arial"/>
        </w:rPr>
        <w:t>Project Laterals</w:t>
      </w:r>
    </w:p>
    <w:p>
      <w:pPr>
        <w:pStyle w:val="Heading3"/>
        <w:ind w:hanging="0" w:start="0"/>
        <w:rPr/>
      </w:pPr>
      <w:bookmarkStart w:id="43" w:name="__RefHeading___Toc483026004"/>
      <w:r>
        <w:rPr/>
        <w:t xml:space="preserve">Interconnection </w:t>
      </w:r>
      <w:bookmarkEnd w:id="43"/>
    </w:p>
    <w:p>
      <w:pPr>
        <w:pStyle w:val="Normal"/>
        <w:rPr>
          <w:rFonts w:ascii="Arial" w:hAnsi="Arial" w:cs="Arial"/>
        </w:rPr>
      </w:pPr>
      <w:r>
        <w:rPr>
          <w:rFonts w:cs="Arial" w:ascii="Arial" w:hAnsi="Arial"/>
        </w:rPr>
        <w:t xml:space="preserve">LVC II will interconnect with the Nevada Power Company’s system at the existing 138 kv substation on site.   An agreement has been signed with Nevada Power Company to design and estimate the costs associated with interconnecting LVC II.  </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Gas and Gas Transportation</w:t>
      </w:r>
    </w:p>
    <w:p>
      <w:pPr>
        <w:pStyle w:val="BodyText"/>
        <w:rPr>
          <w:rFonts w:ascii="Arial" w:hAnsi="Arial" w:cs="Arial"/>
        </w:rPr>
      </w:pPr>
      <w:r>
        <w:rPr>
          <w:rFonts w:cs="Arial" w:ascii="Arial" w:hAnsi="Arial"/>
        </w:rPr>
        <w:t xml:space="preserve">Southwest Gas has provided a proposed rate structure for construction and operation of the gas lateral from the Kern River pipeline to LVCII.  The proposal calls for an annual demand charge of $1,020,000/yr, with $0.015/dth for any volumes exceeding the take or pay usage.  The take or pay usage was set at 40,000dth/day for a term of 20 years. </w:t>
      </w:r>
    </w:p>
    <w:p>
      <w:pPr>
        <w:pStyle w:val="BodyText"/>
        <w:rPr>
          <w:rFonts w:ascii="Arial" w:hAnsi="Arial" w:cs="Arial"/>
        </w:rPr>
      </w:pPr>
      <w:r>
        <w:rPr>
          <w:rFonts w:cs="Arial" w:ascii="Arial" w:hAnsi="Arial"/>
        </w:rPr>
        <w:t xml:space="preserve">Easements are being pursued for a direct connect with Kern River Pipeline.  </w:t>
      </w:r>
    </w:p>
    <w:p>
      <w:pPr>
        <w:pStyle w:val="BodyText"/>
        <w:rPr>
          <w:rFonts w:ascii="Arial" w:hAnsi="Arial" w:cs="Arial"/>
        </w:rPr>
      </w:pPr>
      <w:r>
        <w:rPr>
          <w:rFonts w:cs="Arial" w:ascii="Arial" w:hAnsi="Arial"/>
        </w:rPr>
        <w:t xml:space="preserve">Interstate transport will likely be provided off Kern Pipeline.  ENA has been in ongoing discussions with Kern River Pipeline concerning the possibility of an expansion of Kern Pipeline in conjunction with this facility.  Kern River has indicated the adequate facilities are in place to provide for at least 350,000MMBtu/d of additional capacity above the current capacity of 720,000 MMBtu/d at tariff rates.  </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Water Supply</w:t>
      </w:r>
    </w:p>
    <w:p>
      <w:pPr>
        <w:pStyle w:val="BodyText"/>
        <w:rPr>
          <w:rFonts w:ascii="Arial" w:hAnsi="Arial" w:cs="Arial"/>
        </w:rPr>
      </w:pPr>
      <w:r>
        <w:rPr>
          <w:rFonts w:cs="Arial" w:ascii="Arial" w:hAnsi="Arial"/>
        </w:rPr>
        <w:t>The City of North Las Vegas has communicated in writing their intention to issue a “will serve” letter once all fees have been paid and both hydraulic analysis and final drawings have been approved.</w:t>
      </w:r>
    </w:p>
    <w:p>
      <w:pPr>
        <w:pStyle w:val="BodyText"/>
        <w:rPr>
          <w:rFonts w:ascii="Arial" w:hAnsi="Arial" w:cs="Arial"/>
          <w:b/>
        </w:rPr>
      </w:pPr>
      <w:r>
        <w:rPr>
          <w:rFonts w:cs="Arial" w:ascii="Arial" w:hAnsi="Arial"/>
          <w:b/>
        </w:rPr>
        <w:t>Wastewater</w:t>
      </w:r>
    </w:p>
    <w:p>
      <w:pPr>
        <w:pStyle w:val="BodyText"/>
        <w:rPr>
          <w:rFonts w:ascii="Arial" w:hAnsi="Arial" w:cs="Arial"/>
        </w:rPr>
      </w:pPr>
      <w:r>
        <w:rPr>
          <w:rFonts w:cs="Arial" w:ascii="Arial" w:hAnsi="Arial"/>
        </w:rPr>
        <w:t xml:space="preserve">The city of North Las Vegas will discharge the wastewater.   In addition, North Las Vegas has approved a variance that allows LVC, LVC II, and Sunco to discharge a combined wastewater stream with a total dissolved solids level as high as 3000 ppm into its sewer system.  This variance will augment plant economics, since it will allow the plant to increase the cycles of concentration in the cooling tower, reducing overall water usage.  </w:t>
      </w:r>
    </w:p>
    <w:p>
      <w:pPr>
        <w:pStyle w:val="Heading2"/>
        <w:ind w:hanging="0" w:start="-360"/>
        <w:rPr>
          <w:rFonts w:ascii="Arial" w:hAnsi="Arial" w:cs="Arial"/>
        </w:rPr>
      </w:pPr>
      <w:bookmarkStart w:id="44" w:name="__RefHeading___Toc483026005"/>
      <w:bookmarkEnd w:id="44"/>
      <w:r>
        <w:rPr>
          <w:rFonts w:cs="Arial" w:ascii="Arial" w:hAnsi="Arial"/>
        </w:rPr>
        <w:t>Ownership Structure</w:t>
      </w:r>
    </w:p>
    <w:p>
      <w:pPr>
        <w:pStyle w:val="BodyText"/>
        <w:rPr>
          <w:rFonts w:ascii="Arial" w:hAnsi="Arial" w:cs="Arial"/>
        </w:rPr>
      </w:pPr>
      <w:r>
        <w:rPr>
          <w:rFonts w:cs="Arial" w:ascii="Arial" w:hAnsi="Arial"/>
        </w:rPr>
        <w:object w:dxaOrig="14387" w:dyaOrig="10786">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453.15pt;height:191.45pt" filled="f" o:ole="">
            <v:imagedata r:id="rId16" o:title=""/>
          </v:shape>
          <o:OLEObject Type="Embed" ProgID="" ShapeID="ole_rId15" DrawAspect="Content" ObjectID="_421380789" r:id="rId15"/>
        </w:object>
      </w:r>
    </w:p>
    <w:p>
      <w:pPr>
        <w:pStyle w:val="Normal"/>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Project Agreements</w:t>
      </w:r>
    </w:p>
    <w:p>
      <w:pPr>
        <w:pStyle w:val="Heading3"/>
        <w:ind w:hanging="0" w:start="0"/>
        <w:rPr/>
      </w:pPr>
      <w:bookmarkStart w:id="45" w:name="__RefHeading___Toc483026008"/>
      <w:bookmarkEnd w:id="45"/>
      <w:r>
        <w:rPr/>
        <w:t>Operations &amp; Maintenance Agreement</w:t>
      </w:r>
    </w:p>
    <w:p>
      <w:pPr>
        <w:pStyle w:val="Normal"/>
        <w:rPr>
          <w:rFonts w:ascii="Arial" w:hAnsi="Arial" w:cs="Arial"/>
        </w:rPr>
      </w:pPr>
      <w:r>
        <w:rPr>
          <w:rFonts w:cs="Arial" w:ascii="Arial" w:hAnsi="Arial"/>
        </w:rPr>
        <w:t>LVCII will contract for O&amp;M services from LVCLP under a separate O&amp;M agreement.  The O&amp;M services will include all normal operation, repair and maintenance activities required to operate the facility in a safe and reliable manner.  LVCII will pay LVCLP a market base O&amp;M fee of $150,000 per year which escalates at CPI.</w:t>
      </w:r>
    </w:p>
    <w:p>
      <w:pPr>
        <w:pStyle w:val="Heading3"/>
        <w:ind w:hanging="0" w:start="0"/>
        <w:rPr/>
      </w:pPr>
      <w:bookmarkStart w:id="46" w:name="__RefHeading___Toc483026009"/>
      <w:bookmarkEnd w:id="46"/>
      <w:r>
        <w:rPr/>
        <w:t>Site Option Agreement</w:t>
      </w:r>
    </w:p>
    <w:p>
      <w:pPr>
        <w:pStyle w:val="Normal"/>
        <w:rPr>
          <w:rFonts w:ascii="Arial" w:hAnsi="Arial" w:cs="Arial"/>
        </w:rPr>
      </w:pPr>
      <w:r>
        <w:rPr>
          <w:rFonts w:cs="Arial" w:ascii="Arial" w:hAnsi="Arial"/>
        </w:rPr>
        <w:t>LVC II and LVCLP will enter into a 30-year site option agreement for a 5-acre parcel of land required for building the expansion. The cost for LVC II to exercise its option is $50,000. Under the agreement, LVC II will make lease payments to LVCLP of $150,000 escalating at CPI.</w:t>
      </w:r>
    </w:p>
    <w:p>
      <w:pPr>
        <w:pStyle w:val="BodyText"/>
        <w:rPr>
          <w:rFonts w:ascii="Arial" w:hAnsi="Arial" w:cs="Arial"/>
          <w:b/>
        </w:rPr>
      </w:pPr>
      <w:r>
        <w:rPr>
          <w:rFonts w:cs="Arial" w:ascii="Arial" w:hAnsi="Arial"/>
          <w:b/>
        </w:rPr>
        <w:t>Engineering, Procurement, and Construction Turnkey Contract</w:t>
      </w:r>
    </w:p>
    <w:p>
      <w:pPr>
        <w:pStyle w:val="BodyText"/>
        <w:rPr>
          <w:rFonts w:ascii="Arial" w:hAnsi="Arial" w:cs="Arial"/>
        </w:rPr>
      </w:pPr>
      <w:r>
        <w:rPr>
          <w:rFonts w:cs="Arial" w:ascii="Arial" w:hAnsi="Arial"/>
        </w:rPr>
        <w:t>The Project will be built pursuant to an Engineering, Procurement, and Construction turnkey contract (“EPC Agreement”) with a contractor to be identified.  ENA will identify contractors, but anticipates that an EPC Agreement will not be executed until after financial close.</w:t>
      </w:r>
    </w:p>
    <w:p>
      <w:pPr>
        <w:pStyle w:val="BodyText"/>
        <w:rPr>
          <w:rFonts w:ascii="Arial" w:hAnsi="Arial" w:cs="Arial"/>
          <w:b/>
        </w:rPr>
      </w:pPr>
      <w:r>
        <w:rPr>
          <w:rFonts w:cs="Arial" w:ascii="Arial" w:hAnsi="Arial"/>
          <w:b/>
        </w:rPr>
        <w:t>Turbine Purchase Agreement</w:t>
      </w:r>
    </w:p>
    <w:p>
      <w:pPr>
        <w:pStyle w:val="Heading4"/>
        <w:spacing w:before="40" w:after="240"/>
        <w:ind w:hanging="0" w:start="0"/>
        <w:rPr>
          <w:b w:val="false"/>
          <w:i w:val="false"/>
          <w:i w:val="false"/>
          <w:sz w:val="22"/>
        </w:rPr>
      </w:pPr>
      <w:r>
        <w:rPr>
          <w:b w:val="false"/>
          <w:i w:val="false"/>
          <w:sz w:val="22"/>
        </w:rPr>
        <w:t>The gas turbines and transformers for the project are owned by a special purpose entity. Transfer of the equipment to the Project will occur during plant construction.</w:t>
      </w:r>
    </w:p>
    <w:p>
      <w:pPr>
        <w:pStyle w:val="BodyText"/>
        <w:rPr>
          <w:rFonts w:ascii="Arial" w:hAnsi="Arial" w:cs="Arial"/>
          <w:b/>
          <w:i/>
          <w:i/>
          <w:sz w:val="22"/>
        </w:rPr>
      </w:pPr>
      <w:r>
        <w:rPr>
          <w:rFonts w:cs="Arial" w:ascii="Arial" w:hAnsi="Arial"/>
          <w:b/>
          <w:i/>
          <w:sz w:val="22"/>
        </w:rPr>
      </w:r>
    </w:p>
    <w:p>
      <w:pPr>
        <w:pStyle w:val="Heading2"/>
        <w:ind w:hanging="0" w:start="-360"/>
        <w:rPr/>
      </w:pPr>
      <w:bookmarkStart w:id="47" w:name="__RefHeading___Toc483026010"/>
      <w:bookmarkEnd w:id="47"/>
      <w:r>
        <w:rPr/>
        <w:t>Estimated Timetable</w:t>
      </w:r>
    </w:p>
    <w:tbl>
      <w:tblPr>
        <w:tblW w:w="7110" w:type="dxa"/>
        <w:jc w:val="center"/>
        <w:tblInd w:w="0" w:type="dxa"/>
        <w:tblLayout w:type="fixed"/>
        <w:tblCellMar>
          <w:top w:w="0" w:type="dxa"/>
          <w:start w:w="0" w:type="dxa"/>
          <w:bottom w:w="0" w:type="dxa"/>
          <w:end w:w="0" w:type="dxa"/>
        </w:tblCellMar>
      </w:tblPr>
      <w:tblGrid>
        <w:gridCol w:w="630"/>
        <w:gridCol w:w="2925"/>
        <w:gridCol w:w="585"/>
        <w:gridCol w:w="2970"/>
      </w:tblGrid>
      <w:tr>
        <w:trPr/>
        <w:tc>
          <w:tcPr>
            <w:tcW w:w="3555" w:type="dxa"/>
            <w:gridSpan w:val="2"/>
            <w:tcBorders>
              <w:bottom w:val="single" w:sz="6" w:space="0" w:color="000000"/>
            </w:tcBorders>
            <w:vAlign w:val="bottom"/>
          </w:tcPr>
          <w:p>
            <w:pPr>
              <w:pStyle w:val="Normal"/>
              <w:spacing w:before="0" w:after="0"/>
              <w:rPr>
                <w:rFonts w:ascii="Arial" w:hAnsi="Arial" w:cs="Arial"/>
                <w:caps/>
              </w:rPr>
            </w:pPr>
            <w:r>
              <w:rPr>
                <w:rFonts w:cs="Arial" w:ascii="Arial" w:hAnsi="Arial"/>
                <w:caps/>
              </w:rPr>
              <w:tab/>
              <w:tab/>
              <w:tab/>
              <w:t>Activity</w:t>
            </w:r>
          </w:p>
        </w:tc>
        <w:tc>
          <w:tcPr>
            <w:tcW w:w="3555" w:type="dxa"/>
            <w:gridSpan w:val="2"/>
            <w:tcBorders>
              <w:bottom w:val="single" w:sz="6" w:space="0" w:color="000000"/>
            </w:tcBorders>
            <w:vAlign w:val="bottom"/>
          </w:tcPr>
          <w:p>
            <w:pPr>
              <w:pStyle w:val="Normal"/>
              <w:spacing w:before="0" w:after="0"/>
              <w:rPr>
                <w:rFonts w:ascii="Arial" w:hAnsi="Arial" w:cs="Arial"/>
                <w:caps/>
              </w:rPr>
            </w:pPr>
            <w:r>
              <w:rPr>
                <w:rFonts w:cs="Arial" w:ascii="Arial" w:hAnsi="Arial"/>
                <w:caps/>
              </w:rPr>
              <w:tab/>
              <w:tab/>
              <w:t>Timetable</w:t>
            </w:r>
          </w:p>
        </w:tc>
      </w:tr>
      <w:tr>
        <w:trPr/>
        <w:tc>
          <w:tcPr>
            <w:tcW w:w="630" w:type="dxa"/>
            <w:tcBorders/>
          </w:tcPr>
          <w:p>
            <w:pPr>
              <w:pStyle w:val="Normal"/>
              <w:snapToGrid w:val="false"/>
              <w:spacing w:before="0" w:after="0"/>
              <w:rPr>
                <w:rFonts w:ascii="Arial" w:hAnsi="Arial" w:cs="Arial"/>
                <w:caps/>
              </w:rPr>
            </w:pPr>
            <w:r>
              <w:rPr>
                <w:rFonts w:cs="Arial" w:ascii="Arial" w:hAnsi="Arial"/>
                <w:caps/>
              </w:rPr>
            </w:r>
          </w:p>
        </w:tc>
        <w:tc>
          <w:tcPr>
            <w:tcW w:w="3510" w:type="dxa"/>
            <w:gridSpan w:val="2"/>
            <w:tcBorders/>
          </w:tcPr>
          <w:p>
            <w:pPr>
              <w:pStyle w:val="Normal"/>
              <w:spacing w:before="0" w:after="0"/>
              <w:rPr>
                <w:rFonts w:ascii="Arial" w:hAnsi="Arial" w:cs="Arial"/>
                <w:b/>
              </w:rPr>
            </w:pPr>
            <w:r>
              <w:rPr>
                <w:rFonts w:cs="Arial" w:ascii="Arial" w:hAnsi="Arial"/>
              </w:rPr>
              <w:t>Receipt of Permits</w:t>
            </w:r>
          </w:p>
        </w:tc>
        <w:tc>
          <w:tcPr>
            <w:tcW w:w="2970" w:type="dxa"/>
            <w:tcBorders/>
          </w:tcPr>
          <w:p>
            <w:pPr>
              <w:pStyle w:val="Normal"/>
              <w:spacing w:before="0" w:after="0"/>
              <w:rPr>
                <w:rFonts w:ascii="Arial" w:hAnsi="Arial" w:cs="Arial"/>
              </w:rPr>
            </w:pPr>
            <w:r>
              <w:rPr>
                <w:rFonts w:cs="Arial" w:ascii="Arial" w:hAnsi="Arial"/>
              </w:rPr>
              <w:t>November 2000</w:t>
            </w:r>
          </w:p>
        </w:tc>
      </w:tr>
      <w:tr>
        <w:trPr/>
        <w:tc>
          <w:tcPr>
            <w:tcW w:w="630" w:type="dxa"/>
            <w:tcBorders/>
          </w:tcPr>
          <w:p>
            <w:pPr>
              <w:pStyle w:val="Normal"/>
              <w:snapToGrid w:val="false"/>
              <w:spacing w:before="0" w:after="0"/>
              <w:rPr>
                <w:rFonts w:ascii="Arial" w:hAnsi="Arial" w:cs="Arial"/>
              </w:rPr>
            </w:pPr>
            <w:r>
              <w:rPr>
                <w:rFonts w:cs="Arial" w:ascii="Arial" w:hAnsi="Arial"/>
              </w:rPr>
            </w:r>
          </w:p>
        </w:tc>
        <w:tc>
          <w:tcPr>
            <w:tcW w:w="3510" w:type="dxa"/>
            <w:gridSpan w:val="2"/>
            <w:tcBorders/>
          </w:tcPr>
          <w:p>
            <w:pPr>
              <w:pStyle w:val="Normal"/>
              <w:spacing w:before="0" w:after="0"/>
              <w:rPr>
                <w:rFonts w:ascii="Arial" w:hAnsi="Arial" w:cs="Arial"/>
              </w:rPr>
            </w:pPr>
            <w:r>
              <w:rPr>
                <w:rFonts w:cs="Arial" w:ascii="Arial" w:hAnsi="Arial"/>
              </w:rPr>
              <w:t>Construction Financing</w:t>
            </w:r>
          </w:p>
        </w:tc>
        <w:tc>
          <w:tcPr>
            <w:tcW w:w="2970" w:type="dxa"/>
            <w:tcBorders/>
          </w:tcPr>
          <w:p>
            <w:pPr>
              <w:pStyle w:val="Normal"/>
              <w:spacing w:before="0" w:after="0"/>
              <w:rPr>
                <w:rFonts w:ascii="Arial" w:hAnsi="Arial" w:cs="Arial"/>
              </w:rPr>
            </w:pPr>
            <w:r>
              <w:rPr>
                <w:rFonts w:cs="Arial" w:ascii="Arial" w:hAnsi="Arial"/>
              </w:rPr>
              <w:t>December 2000</w:t>
            </w:r>
          </w:p>
        </w:tc>
      </w:tr>
      <w:tr>
        <w:trPr/>
        <w:tc>
          <w:tcPr>
            <w:tcW w:w="630" w:type="dxa"/>
            <w:tcBorders/>
          </w:tcPr>
          <w:p>
            <w:pPr>
              <w:pStyle w:val="Normal"/>
              <w:snapToGrid w:val="false"/>
              <w:spacing w:before="0" w:after="0"/>
              <w:rPr>
                <w:rFonts w:ascii="Arial" w:hAnsi="Arial" w:cs="Arial"/>
              </w:rPr>
            </w:pPr>
            <w:r>
              <w:rPr>
                <w:rFonts w:cs="Arial" w:ascii="Arial" w:hAnsi="Arial"/>
              </w:rPr>
            </w:r>
          </w:p>
        </w:tc>
        <w:tc>
          <w:tcPr>
            <w:tcW w:w="3510" w:type="dxa"/>
            <w:gridSpan w:val="2"/>
            <w:tcBorders/>
          </w:tcPr>
          <w:p>
            <w:pPr>
              <w:pStyle w:val="Normal"/>
              <w:spacing w:before="0" w:after="0"/>
              <w:rPr>
                <w:rFonts w:ascii="Arial" w:hAnsi="Arial" w:cs="Arial"/>
              </w:rPr>
            </w:pPr>
            <w:r>
              <w:rPr>
                <w:rFonts w:cs="Arial" w:ascii="Arial" w:hAnsi="Arial"/>
              </w:rPr>
              <w:t>Start of Construction</w:t>
            </w:r>
          </w:p>
        </w:tc>
        <w:tc>
          <w:tcPr>
            <w:tcW w:w="2970" w:type="dxa"/>
            <w:tcBorders/>
          </w:tcPr>
          <w:p>
            <w:pPr>
              <w:pStyle w:val="Normal"/>
              <w:spacing w:before="0" w:after="0"/>
              <w:rPr>
                <w:rFonts w:ascii="Arial" w:hAnsi="Arial" w:cs="Arial"/>
                <w:b/>
              </w:rPr>
            </w:pPr>
            <w:r>
              <w:rPr>
                <w:rFonts w:cs="Arial" w:ascii="Arial" w:hAnsi="Arial"/>
              </w:rPr>
              <w:t>December 2000</w:t>
            </w:r>
          </w:p>
        </w:tc>
      </w:tr>
      <w:tr>
        <w:trPr/>
        <w:tc>
          <w:tcPr>
            <w:tcW w:w="630" w:type="dxa"/>
            <w:tcBorders/>
          </w:tcPr>
          <w:p>
            <w:pPr>
              <w:pStyle w:val="Normal"/>
              <w:snapToGrid w:val="false"/>
              <w:spacing w:before="0" w:after="0"/>
              <w:rPr>
                <w:rFonts w:ascii="Arial" w:hAnsi="Arial" w:cs="Arial"/>
                <w:b/>
              </w:rPr>
            </w:pPr>
            <w:r>
              <w:rPr>
                <w:rFonts w:cs="Arial" w:ascii="Arial" w:hAnsi="Arial"/>
                <w:b/>
              </w:rPr>
            </w:r>
          </w:p>
        </w:tc>
        <w:tc>
          <w:tcPr>
            <w:tcW w:w="3510" w:type="dxa"/>
            <w:gridSpan w:val="2"/>
            <w:tcBorders/>
          </w:tcPr>
          <w:p>
            <w:pPr>
              <w:pStyle w:val="Normal"/>
              <w:spacing w:before="0" w:after="0"/>
              <w:rPr>
                <w:rFonts w:ascii="Arial" w:hAnsi="Arial" w:cs="Arial"/>
                <w:b/>
              </w:rPr>
            </w:pPr>
            <w:r>
              <w:rPr>
                <w:rFonts w:cs="Arial" w:ascii="Arial" w:hAnsi="Arial"/>
              </w:rPr>
              <w:t>Testing</w:t>
            </w:r>
          </w:p>
        </w:tc>
        <w:tc>
          <w:tcPr>
            <w:tcW w:w="2970" w:type="dxa"/>
            <w:tcBorders/>
          </w:tcPr>
          <w:p>
            <w:pPr>
              <w:pStyle w:val="Normal"/>
              <w:spacing w:before="0" w:after="0"/>
              <w:rPr>
                <w:rFonts w:ascii="Arial" w:hAnsi="Arial" w:cs="Arial"/>
              </w:rPr>
            </w:pPr>
            <w:r>
              <w:rPr>
                <w:rFonts w:cs="Arial" w:ascii="Arial" w:hAnsi="Arial"/>
              </w:rPr>
              <w:t>November 2001</w:t>
            </w:r>
          </w:p>
        </w:tc>
      </w:tr>
      <w:tr>
        <w:trPr/>
        <w:tc>
          <w:tcPr>
            <w:tcW w:w="630" w:type="dxa"/>
            <w:tcBorders>
              <w:bottom w:val="single" w:sz="6" w:space="0" w:color="000000"/>
            </w:tcBorders>
          </w:tcPr>
          <w:p>
            <w:pPr>
              <w:pStyle w:val="Normal"/>
              <w:snapToGrid w:val="false"/>
              <w:spacing w:before="0" w:after="0"/>
              <w:rPr>
                <w:rFonts w:ascii="Arial" w:hAnsi="Arial" w:cs="Arial"/>
              </w:rPr>
            </w:pPr>
            <w:r>
              <w:rPr>
                <w:rFonts w:cs="Arial" w:ascii="Arial" w:hAnsi="Arial"/>
              </w:rPr>
            </w:r>
          </w:p>
        </w:tc>
        <w:tc>
          <w:tcPr>
            <w:tcW w:w="3510" w:type="dxa"/>
            <w:gridSpan w:val="2"/>
            <w:tcBorders>
              <w:bottom w:val="single" w:sz="6" w:space="0" w:color="000000"/>
            </w:tcBorders>
          </w:tcPr>
          <w:p>
            <w:pPr>
              <w:pStyle w:val="Normal"/>
              <w:spacing w:before="0" w:after="0"/>
              <w:rPr>
                <w:rFonts w:ascii="Arial" w:hAnsi="Arial" w:cs="Arial"/>
              </w:rPr>
            </w:pPr>
            <w:r>
              <w:rPr>
                <w:rFonts w:cs="Arial" w:ascii="Arial" w:hAnsi="Arial"/>
              </w:rPr>
              <w:t>Commercial Operation</w:t>
            </w:r>
          </w:p>
        </w:tc>
        <w:tc>
          <w:tcPr>
            <w:tcW w:w="2970" w:type="dxa"/>
            <w:tcBorders>
              <w:bottom w:val="single" w:sz="6" w:space="0" w:color="000000"/>
            </w:tcBorders>
          </w:tcPr>
          <w:p>
            <w:pPr>
              <w:pStyle w:val="Normal"/>
              <w:spacing w:before="0" w:after="0"/>
              <w:rPr>
                <w:rFonts w:ascii="Arial" w:hAnsi="Arial" w:cs="Arial"/>
                <w:b/>
              </w:rPr>
            </w:pPr>
            <w:r>
              <w:rPr>
                <w:rFonts w:cs="Arial" w:ascii="Arial" w:hAnsi="Arial"/>
              </w:rPr>
              <w:t>March 2002</w:t>
            </w:r>
          </w:p>
        </w:tc>
      </w:tr>
    </w:tbl>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Expected Development Activities Prior to Financial Close</w:t>
      </w:r>
    </w:p>
    <w:p>
      <w:pPr>
        <w:pStyle w:val="BodyText"/>
        <w:rPr>
          <w:rFonts w:ascii="Arial" w:hAnsi="Arial" w:cs="Arial"/>
        </w:rPr>
      </w:pPr>
      <w:r>
        <w:rPr>
          <w:rFonts w:cs="Arial" w:ascii="Arial" w:hAnsi="Arial"/>
        </w:rPr>
        <w:t>ED Clark input</w:t>
      </w:r>
    </w:p>
    <w:p>
      <w:pPr>
        <w:pStyle w:val="BodyText"/>
        <w:rPr>
          <w:rFonts w:ascii="Arial" w:hAnsi="Arial" w:cs="Arial"/>
          <w:b/>
        </w:rPr>
      </w:pPr>
      <w:r>
        <w:rPr>
          <w:rFonts w:cs="Arial" w:ascii="Arial" w:hAnsi="Arial"/>
          <w:b/>
        </w:rPr>
        <w:t>Expected Costs Incurred prior to Financial Close</w:t>
      </w:r>
    </w:p>
    <w:p>
      <w:pPr>
        <w:pStyle w:val="BodyText"/>
        <w:rPr>
          <w:rFonts w:ascii="Arial" w:hAnsi="Arial" w:cs="Arial"/>
        </w:rPr>
      </w:pPr>
      <w:r>
        <w:rPr>
          <w:rFonts w:cs="Arial" w:ascii="Arial" w:hAnsi="Arial"/>
        </w:rPr>
        <w:t>ED Clark input</w:t>
      </w:r>
    </w:p>
    <w:p>
      <w:pPr>
        <w:pStyle w:val="BodyText"/>
        <w:rPr>
          <w:rFonts w:ascii="Arial" w:hAnsi="Arial" w:cs="Arial"/>
          <w:b/>
        </w:rPr>
      </w:pPr>
      <w:r>
        <w:rPr>
          <w:rFonts w:cs="Arial" w:ascii="Arial" w:hAnsi="Arial"/>
          <w:b/>
        </w:rPr>
      </w:r>
    </w:p>
    <w:p>
      <w:pPr>
        <w:pStyle w:val="Heading-Level1"/>
        <w:rPr>
          <w:rFonts w:ascii="Arial" w:hAnsi="Arial" w:cs="Arial"/>
        </w:rPr>
      </w:pPr>
      <w:bookmarkStart w:id="48" w:name="__RefHeading___Toc483026011"/>
      <w:bookmarkEnd w:id="48"/>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BodyText"/>
        <w:rPr/>
      </w:pPr>
      <w:r>
        <w:rPr/>
        <w:t xml:space="preserve">Estimated performance assumptions for the LVCII are provided in the table below.  Assumptions are subject to change. </w:t>
      </w:r>
    </w:p>
    <w:tbl>
      <w:tblPr>
        <w:tblW w:w="8122" w:type="dxa"/>
        <w:jc w:val="start"/>
        <w:tblInd w:w="0" w:type="dxa"/>
        <w:tblLayout w:type="fixed"/>
        <w:tblCellMar>
          <w:top w:w="0" w:type="dxa"/>
          <w:start w:w="30" w:type="dxa"/>
          <w:bottom w:w="0" w:type="dxa"/>
          <w:end w:w="30" w:type="dxa"/>
        </w:tblCellMar>
      </w:tblPr>
      <w:tblGrid>
        <w:gridCol w:w="5803"/>
        <w:gridCol w:w="2319"/>
      </w:tblGrid>
      <w:tr>
        <w:trPr>
          <w:trHeight w:val="1003" w:hRule="atLeast"/>
        </w:trPr>
        <w:tc>
          <w:tcPr>
            <w:tcW w:w="5803" w:type="dxa"/>
            <w:tcBorders>
              <w:top w:val="single" w:sz="12" w:space="0" w:color="000000"/>
              <w:start w:val="single" w:sz="12" w:space="0" w:color="000000"/>
              <w:bottom w:val="single" w:sz="12"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Category</w:t>
            </w:r>
          </w:p>
        </w:tc>
        <w:tc>
          <w:tcPr>
            <w:tcW w:w="2319" w:type="dxa"/>
            <w:tcBorders>
              <w:top w:val="single" w:sz="12" w:space="0" w:color="000000"/>
              <w:start w:val="single" w:sz="12" w:space="0" w:color="000000"/>
              <w:bottom w:val="single" w:sz="12"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Amount</w:t>
            </w:r>
          </w:p>
        </w:tc>
      </w:tr>
      <w:tr>
        <w:trPr>
          <w:trHeight w:val="276" w:hRule="atLeast"/>
        </w:trPr>
        <w:tc>
          <w:tcPr>
            <w:tcW w:w="5803" w:type="dxa"/>
            <w:tcBorders>
              <w:top w:val="single" w:sz="12" w:space="0" w:color="000000"/>
              <w:start w:val="single" w:sz="12" w:space="0" w:color="000000"/>
              <w:bottom w:val="single" w:sz="6" w:space="0" w:color="000000"/>
              <w:end w:val="single" w:sz="12" w:space="0" w:color="000000"/>
            </w:tcBorders>
          </w:tcPr>
          <w:p>
            <w:pPr>
              <w:pStyle w:val="Normal"/>
              <w:spacing w:before="0" w:after="0"/>
              <w:rPr/>
            </w:pPr>
            <w:r>
              <w:rPr>
                <w:rFonts w:cs="Arial" w:ascii="Arial" w:hAnsi="Arial"/>
                <w:b/>
                <w:color w:val="000000"/>
              </w:rPr>
              <w:t>Net Power Out (kW) @ 70</w:t>
            </w:r>
            <w:r>
              <w:rPr>
                <w:rFonts w:cs="Arial" w:ascii="Arial" w:hAnsi="Arial"/>
                <w:b/>
                <w:color w:val="000000"/>
                <w:vertAlign w:val="superscript"/>
              </w:rPr>
              <w:t>o</w:t>
            </w:r>
            <w:r>
              <w:rPr>
                <w:rFonts w:cs="Arial" w:ascii="Arial" w:hAnsi="Arial"/>
                <w:b/>
                <w:color w:val="000000"/>
              </w:rPr>
              <w:t xml:space="preserve"> F</w:t>
            </w:r>
          </w:p>
        </w:tc>
        <w:tc>
          <w:tcPr>
            <w:tcW w:w="2319" w:type="dxa"/>
            <w:tcBorders>
              <w:top w:val="single" w:sz="12"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230,000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Annual Avg. Net Station Heat Rate (Btu/kWH), HHV</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7,548</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Fuel Supply Pressure Required at CT Skid (psig)</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630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Water Supply</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eastAsia="Arial" w:cs="Arial" w:ascii="Arial" w:hAnsi="Arial"/>
                <w:color w:val="000000"/>
              </w:rPr>
              <w:t xml:space="preserve">   </w:t>
            </w:r>
            <w:r>
              <w:rPr>
                <w:rFonts w:cs="Arial" w:ascii="Arial" w:hAnsi="Arial"/>
                <w:color w:val="000000"/>
              </w:rPr>
              <w:t>City of Las Vegas</w:t>
            </w:r>
          </w:p>
        </w:tc>
      </w:tr>
      <w:tr>
        <w:trPr>
          <w:trHeight w:val="276"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pPr>
            <w:r>
              <w:rPr>
                <w:rFonts w:cs="Arial" w:ascii="Arial" w:hAnsi="Arial"/>
                <w:b/>
                <w:color w:val="000000"/>
              </w:rPr>
              <w:t>Power Plant Peak Water Consumption (GPM) @ 115</w:t>
            </w:r>
            <w:r>
              <w:rPr>
                <w:rFonts w:cs="Arial" w:ascii="Arial" w:hAnsi="Arial"/>
                <w:b/>
                <w:color w:val="000000"/>
                <w:vertAlign w:val="superscript"/>
              </w:rPr>
              <w:t>o</w:t>
            </w:r>
            <w:r>
              <w:rPr>
                <w:rFonts w:cs="Arial" w:ascii="Arial" w:hAnsi="Arial"/>
                <w:b/>
                <w:color w:val="000000"/>
              </w:rPr>
              <w:t xml:space="preserve"> F</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 xml:space="preserve">1,812 </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Air Emissions:  NOx (ppm)</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2</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Air Emissions:  CO (ppm)</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2</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Air Emissions:  Ammonia Slip (ppm)</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10.00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Waste Water Disposal</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eastAsia="Arial" w:cs="Arial" w:ascii="Arial" w:hAnsi="Arial"/>
                <w:color w:val="000000"/>
              </w:rPr>
              <w:t xml:space="preserve">     </w:t>
            </w:r>
            <w:r>
              <w:rPr>
                <w:rFonts w:cs="Arial" w:ascii="Arial" w:hAnsi="Arial"/>
                <w:color w:val="000000"/>
              </w:rPr>
              <w:t>City of Las Vegas</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Waste Water Flow (GPD)</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474,121</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spacing w:before="0" w:after="0"/>
              <w:rPr>
                <w:rFonts w:ascii="Arial" w:hAnsi="Arial" w:cs="Arial"/>
                <w:b/>
                <w:color w:val="000000"/>
              </w:rPr>
            </w:pPr>
            <w:r>
              <w:rPr>
                <w:rFonts w:cs="Arial" w:ascii="Arial" w:hAnsi="Arial"/>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Interconnection</w:t>
            </w:r>
          </w:p>
        </w:tc>
        <w:tc>
          <w:tcPr>
            <w:tcW w:w="2319" w:type="dxa"/>
            <w:tcBorders>
              <w:top w:val="single" w:sz="6" w:space="0" w:color="000000"/>
              <w:start w:val="single" w:sz="12" w:space="0" w:color="000000"/>
              <w:bottom w:val="single" w:sz="6"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Nevada Power</w:t>
            </w:r>
          </w:p>
        </w:tc>
      </w:tr>
      <w:tr>
        <w:trPr>
          <w:trHeight w:val="262" w:hRule="atLeast"/>
        </w:trPr>
        <w:tc>
          <w:tcPr>
            <w:tcW w:w="5803" w:type="dxa"/>
            <w:tcBorders>
              <w:top w:val="single" w:sz="6" w:space="0" w:color="000000"/>
              <w:start w:val="single" w:sz="12" w:space="0" w:color="000000"/>
              <w:bottom w:val="single" w:sz="12" w:space="0" w:color="000000"/>
              <w:end w:val="single" w:sz="12" w:space="0" w:color="000000"/>
            </w:tcBorders>
          </w:tcPr>
          <w:p>
            <w:pPr>
              <w:pStyle w:val="Normal"/>
              <w:spacing w:before="0" w:after="0"/>
              <w:rPr>
                <w:rFonts w:ascii="Arial" w:hAnsi="Arial" w:cs="Arial"/>
                <w:b/>
                <w:color w:val="000000"/>
              </w:rPr>
            </w:pPr>
            <w:r>
              <w:rPr>
                <w:rFonts w:cs="Arial" w:ascii="Arial" w:hAnsi="Arial"/>
                <w:b/>
                <w:color w:val="000000"/>
              </w:rPr>
              <w:t>Interconnection voltage (kV)</w:t>
            </w:r>
          </w:p>
        </w:tc>
        <w:tc>
          <w:tcPr>
            <w:tcW w:w="2319" w:type="dxa"/>
            <w:tcBorders>
              <w:top w:val="single" w:sz="6" w:space="0" w:color="000000"/>
              <w:start w:val="single" w:sz="12" w:space="0" w:color="000000"/>
              <w:bottom w:val="single" w:sz="12" w:space="0" w:color="000000"/>
              <w:end w:val="single" w:sz="12" w:space="0" w:color="000000"/>
            </w:tcBorders>
          </w:tcPr>
          <w:p>
            <w:pPr>
              <w:pStyle w:val="Normal"/>
              <w:spacing w:before="0" w:after="0"/>
              <w:rPr>
                <w:rFonts w:ascii="Arial" w:hAnsi="Arial" w:cs="Arial"/>
                <w:color w:val="000000"/>
              </w:rPr>
            </w:pPr>
            <w:r>
              <w:rPr>
                <w:rFonts w:cs="Arial" w:ascii="Arial" w:hAnsi="Arial"/>
                <w:color w:val="000000"/>
              </w:rPr>
              <w:t>138</w:t>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Capital Cost Assumptions</w:t>
      </w:r>
    </w:p>
    <w:p>
      <w:pPr>
        <w:pStyle w:val="BodyText"/>
        <w:rPr/>
      </w:pPr>
      <w:r>
        <w:rPr/>
        <w:t xml:space="preserve">Estimated capital costs for the Project are provided in the table below.  The amounts listed are subject to change prior to finalization of design, EPC agreement, interconnect agreements, etc.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ind w:start="0" w:end="144"/>
              <w:rPr>
                <w:rFonts w:ascii="Arial" w:hAnsi="Arial" w:cs="Arial"/>
              </w:rPr>
            </w:pPr>
            <w:r>
              <w:rPr>
                <w:rFonts w:cs="Arial" w:ascii="Arial" w:hAnsi="Arial"/>
              </w:rPr>
              <w:t>EPC Cost</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pacing w:before="100" w:after="100"/>
              <w:jc w:val="end"/>
              <w:rPr>
                <w:rFonts w:ascii="Arial" w:hAnsi="Arial" w:cs="Arial"/>
              </w:rPr>
            </w:pPr>
            <w:r>
              <w:rPr>
                <w:rFonts w:cs="Arial" w:ascii="Arial" w:hAnsi="Arial"/>
              </w:rPr>
              <w:t>$140,600,000</w:t>
            </w:r>
          </w:p>
        </w:tc>
      </w:tr>
      <w:tr>
        <w:trPr/>
        <w:tc>
          <w:tcPr>
            <w:tcW w:w="2178" w:type="dxa"/>
            <w:tcBorders/>
          </w:tcPr>
          <w:p>
            <w:pPr>
              <w:pStyle w:val="TableMatrixText"/>
              <w:spacing w:before="100" w:after="100"/>
              <w:ind w:start="0" w:end="144"/>
              <w:rPr>
                <w:rFonts w:ascii="Arial" w:hAnsi="Arial" w:cs="Arial"/>
              </w:rPr>
            </w:pPr>
            <w:r>
              <w:rPr>
                <w:rFonts w:cs="Arial" w:ascii="Arial" w:hAnsi="Arial"/>
              </w:rPr>
              <w:t>IDC</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pacing w:before="100" w:after="100"/>
              <w:jc w:val="end"/>
              <w:rPr>
                <w:rFonts w:ascii="Arial" w:hAnsi="Arial" w:cs="Arial"/>
              </w:rPr>
            </w:pPr>
            <w:r>
              <w:rPr>
                <w:rFonts w:cs="Arial" w:ascii="Arial" w:hAnsi="Arial"/>
              </w:rPr>
              <w:t>$13,000,000</w:t>
            </w:r>
          </w:p>
        </w:tc>
      </w:tr>
      <w:tr>
        <w:trPr/>
        <w:tc>
          <w:tcPr>
            <w:tcW w:w="2178" w:type="dxa"/>
            <w:tcBorders/>
          </w:tcPr>
          <w:p>
            <w:pPr>
              <w:pStyle w:val="TableMatrixText"/>
              <w:spacing w:before="100" w:after="100"/>
              <w:ind w:start="0" w:end="144"/>
              <w:rPr>
                <w:rFonts w:ascii="Arial" w:hAnsi="Arial" w:cs="Arial"/>
              </w:rPr>
            </w:pPr>
            <w:r>
              <w:rPr>
                <w:rFonts w:cs="Arial" w:ascii="Arial" w:hAnsi="Arial"/>
              </w:rPr>
              <w:t>Interconnect</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pacing w:before="100" w:after="100"/>
              <w:jc w:val="end"/>
              <w:rPr>
                <w:rFonts w:ascii="Arial" w:hAnsi="Arial" w:cs="Arial"/>
              </w:rPr>
            </w:pPr>
            <w:r>
              <w:rPr>
                <w:rFonts w:cs="Arial" w:ascii="Arial" w:hAnsi="Arial"/>
              </w:rPr>
              <w:t>$1,200,000</w:t>
            </w:r>
          </w:p>
        </w:tc>
      </w:tr>
      <w:tr>
        <w:trPr/>
        <w:tc>
          <w:tcPr>
            <w:tcW w:w="2178" w:type="dxa"/>
            <w:tcBorders>
              <w:bottom w:val="single" w:sz="12" w:space="0" w:color="000000"/>
            </w:tcBorders>
          </w:tcPr>
          <w:p>
            <w:pPr>
              <w:pStyle w:val="TableMatrixText"/>
              <w:spacing w:before="100" w:after="100"/>
              <w:ind w:start="0" w:end="144"/>
              <w:rPr>
                <w:rFonts w:ascii="Arial" w:hAnsi="Arial" w:cs="Arial"/>
              </w:rPr>
            </w:pPr>
            <w:r>
              <w:rPr>
                <w:rFonts w:cs="Arial" w:ascii="Arial" w:hAnsi="Arial"/>
              </w:rPr>
              <w:t>Spare Parts</w:t>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pacing w:before="100" w:after="100"/>
              <w:jc w:val="end"/>
              <w:rPr>
                <w:rFonts w:ascii="Arial" w:hAnsi="Arial" w:cs="Arial"/>
              </w:rPr>
            </w:pPr>
            <w:r>
              <w:rPr>
                <w:rFonts w:cs="Arial" w:ascii="Arial" w:hAnsi="Arial"/>
              </w:rPr>
              <w:t>$2,000,000</w:t>
            </w:r>
          </w:p>
        </w:tc>
      </w:tr>
      <w:tr>
        <w:trPr/>
        <w:tc>
          <w:tcPr>
            <w:tcW w:w="2178" w:type="dxa"/>
            <w:tcBorders>
              <w:bottom w:val="single" w:sz="12" w:space="0" w:color="000000"/>
            </w:tcBorders>
          </w:tcPr>
          <w:p>
            <w:pPr>
              <w:pStyle w:val="TableMatrixText"/>
              <w:spacing w:before="100" w:after="100"/>
              <w:ind w:start="0" w:end="144"/>
              <w:rPr>
                <w:rFonts w:ascii="Arial" w:hAnsi="Arial" w:cs="Arial"/>
              </w:rPr>
            </w:pPr>
            <w:r>
              <w:rPr>
                <w:rFonts w:cs="Arial" w:ascii="Arial" w:hAnsi="Arial"/>
              </w:rPr>
              <w:t>Total</w:t>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pacing w:before="100" w:after="100"/>
              <w:jc w:val="end"/>
              <w:rPr>
                <w:rFonts w:ascii="Arial" w:hAnsi="Arial" w:cs="Arial"/>
              </w:rPr>
            </w:pPr>
            <w:r>
              <w:rPr>
                <w:rFonts w:cs="Arial" w:ascii="Arial" w:hAnsi="Arial"/>
              </w:rPr>
              <w:t>$156,800,000</w:t>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Operating Cost Assumptions</w:t>
      </w:r>
    </w:p>
    <w:p>
      <w:pPr>
        <w:pStyle w:val="BodyText"/>
        <w:rPr/>
      </w:pPr>
      <w:r>
        <w:rPr/>
        <w:t xml:space="preserve">Estimated annual operating costs for the Project are provided in the table below.  Estimates are subject to change.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 (Base Year of 2002)</w:t>
            </w:r>
          </w:p>
        </w:tc>
      </w:tr>
      <w:tr>
        <w:trPr/>
        <w:tc>
          <w:tcPr>
            <w:tcW w:w="2178" w:type="dxa"/>
            <w:tcBorders/>
          </w:tcPr>
          <w:p>
            <w:pPr>
              <w:pStyle w:val="TableMatrixText"/>
              <w:spacing w:before="100" w:after="100"/>
              <w:rPr>
                <w:rFonts w:ascii="Arial" w:hAnsi="Arial" w:cs="Arial"/>
              </w:rPr>
            </w:pPr>
            <w:r>
              <w:rPr>
                <w:rFonts w:cs="Arial" w:ascii="Arial" w:hAnsi="Arial"/>
              </w:rPr>
              <w:t>Variable O&amp;M</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pacing w:before="100" w:after="100"/>
              <w:rPr>
                <w:rFonts w:ascii="Arial" w:hAnsi="Arial" w:cs="Arial"/>
              </w:rPr>
            </w:pPr>
            <w:r>
              <w:rPr>
                <w:rFonts w:cs="Arial" w:ascii="Arial" w:hAnsi="Arial"/>
              </w:rPr>
              <w:t>$1.21/MW</w:t>
            </w:r>
          </w:p>
        </w:tc>
      </w:tr>
      <w:tr>
        <w:trPr/>
        <w:tc>
          <w:tcPr>
            <w:tcW w:w="2178" w:type="dxa"/>
            <w:tcBorders/>
          </w:tcPr>
          <w:p>
            <w:pPr>
              <w:pStyle w:val="TableMatrixText"/>
              <w:spacing w:before="100" w:after="100"/>
              <w:rPr>
                <w:rFonts w:ascii="Arial" w:hAnsi="Arial" w:cs="Arial"/>
              </w:rPr>
            </w:pPr>
            <w:r>
              <w:rPr>
                <w:rFonts w:cs="Arial" w:ascii="Arial" w:hAnsi="Arial"/>
              </w:rPr>
              <w:t>Fixed O&amp;M</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pacing w:before="100" w:after="100"/>
              <w:rPr>
                <w:rFonts w:ascii="Arial" w:hAnsi="Arial" w:cs="Arial"/>
              </w:rPr>
            </w:pPr>
            <w:r>
              <w:rPr>
                <w:rFonts w:cs="Arial" w:ascii="Arial" w:hAnsi="Arial"/>
              </w:rPr>
              <w:t>$3,800,000</w:t>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Heading3"/>
        <w:ind w:hanging="0" w:start="0"/>
        <w:rPr/>
      </w:pPr>
      <w:r>
        <w:rPr/>
      </w:r>
    </w:p>
    <w:p>
      <w:pPr>
        <w:pStyle w:val="Heading-Level1"/>
        <w:rPr>
          <w:rFonts w:ascii="Arial" w:hAnsi="Arial" w:cs="Arial"/>
        </w:rPr>
      </w:pPr>
      <w:bookmarkStart w:id="49" w:name="__RefHeading___Toc483026011"/>
      <w:bookmarkEnd w:id="49"/>
      <w:r>
        <w:rPr>
          <w:rFonts w:cs="Arial" w:ascii="Arial" w:hAnsi="Arial"/>
        </w:rPr>
        <w:t>Project Sponsor</w:t>
      </w:r>
    </w:p>
    <w:p>
      <w:pPr>
        <w:pStyle w:val="Heading2"/>
        <w:ind w:hanging="0" w:start="-360"/>
        <w:rPr>
          <w:rFonts w:ascii="Arial" w:hAnsi="Arial" w:cs="Arial"/>
        </w:rPr>
      </w:pPr>
      <w:r>
        <w:rPr>
          <w:rFonts w:eastAsia="Arial" w:cs="Arial" w:ascii="Arial" w:hAnsi="Arial"/>
        </w:rPr>
        <w:t xml:space="preserve"> </w:t>
      </w:r>
      <w:r>
        <w:rPr>
          <w:rFonts w:cs="Arial" w:ascii="Arial" w:hAnsi="Arial"/>
        </w:rPr>
        <w:t>Enron Corp.</w:t>
      </w:r>
    </w:p>
    <w:p>
      <w:pPr>
        <w:pStyle w:val="BodyText"/>
        <w:rPr>
          <w:rFonts w:ascii="Arial" w:hAnsi="Arial" w:cs="Arial"/>
        </w:rPr>
      </w:pPr>
      <w:r>
        <w:rPr>
          <w:rFonts w:cs="Arial" w:ascii="Arial" w:hAnsi="Arial"/>
        </w:rPr>
      </w:r>
    </w:p>
    <w:p>
      <w:pPr>
        <w:pStyle w:val="BodyText2"/>
        <w:rPr>
          <w:rFonts w:ascii="Arial" w:hAnsi="Arial" w:cs="Arial"/>
          <w:sz w:val="22"/>
        </w:rPr>
      </w:pPr>
      <w:r>
        <w:rPr>
          <w:rFonts w:cs="Arial" w:ascii="Arial" w:hAnsi="Arial"/>
          <w:sz w:val="22"/>
        </w:rPr>
        <w:t>Enron Corp. is an integrated natural gas, electricity and communications company with headquarters in Houston, Texas.  Enron Corp.’s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Corp. has added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t>
      </w:r>
    </w:p>
    <w:p>
      <w:pPr>
        <w:pStyle w:val="Heading2"/>
        <w:ind w:hanging="0" w:start="-360"/>
        <w:rPr>
          <w:rFonts w:ascii="Arial" w:hAnsi="Arial" w:cs="Arial"/>
        </w:rPr>
      </w:pPr>
      <w:r>
        <w:rPr>
          <w:rFonts w:cs="Arial" w:ascii="Arial" w:hAnsi="Arial"/>
        </w:rPr>
        <w:t xml:space="preserve">Enron North America Corp. </w:t>
      </w:r>
    </w:p>
    <w:p>
      <w:pPr>
        <w:pStyle w:val="Normal"/>
        <w:rPr>
          <w:rFonts w:ascii="Arial" w:hAnsi="Arial" w:cs="Arial"/>
        </w:rPr>
      </w:pPr>
      <w:r>
        <w:rPr>
          <w:rFonts w:cs="Arial" w:ascii="Arial" w:hAnsi="Arial"/>
        </w:rPr>
        <w:t>ENA’s activities are segmented into two categories:  (i) Commodity Sales and Services and (ii) Energy Assets and Investments.</w:t>
      </w:r>
    </w:p>
    <w:p>
      <w:pPr>
        <w:pStyle w:val="Normal"/>
        <w:rPr>
          <w:rFonts w:ascii="Arial" w:hAnsi="Arial" w:cs="Arial"/>
        </w:rPr>
      </w:pPr>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Corp. umbrella to leverage industry expertise to provide comprehensive engineering and construction solutions for power and pipeline facilities, often serving as turnkey contractor or Project manager for such facilities.  </w:t>
      </w:r>
    </w:p>
    <w:p>
      <w:pPr>
        <w:pStyle w:val="Normal"/>
        <w:rPr>
          <w:rFonts w:ascii="Arial" w:hAnsi="Arial" w:cs="Arial"/>
        </w:rPr>
      </w:pPr>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p>
    <w:p>
      <w:pPr>
        <w:pStyle w:val="Normal"/>
        <w:rPr/>
      </w:pPr>
      <w:r>
        <w:rPr>
          <w:rFonts w:cs="Arial" w:ascii="Arial" w:hAnsi="Arial"/>
          <w:b/>
          <w:sz w:val="21"/>
        </w:rPr>
        <w:t>Commodity Sales and Services.</w:t>
      </w:r>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three years with volumes shown below.</w:t>
      </w:r>
    </w:p>
    <w:p>
      <w:pPr>
        <w:pStyle w:val="Caption"/>
        <w:keepNext w:val="true"/>
        <w:keepLines/>
        <w:rPr>
          <w:rFonts w:ascii="Arial" w:hAnsi="Arial" w:cs="Arial"/>
        </w:rPr>
      </w:pPr>
      <w:r>
        <w:rPr>
          <w:rFonts w:cs="Arial" w:ascii="Arial" w:hAnsi="Arial"/>
        </w:rPr>
        <w:t>MARKETED VOLUMES BY COMMODITY</w:t>
      </w:r>
    </w:p>
    <w:tbl>
      <w:tblPr>
        <w:tblW w:w="7200" w:type="dxa"/>
        <w:jc w:val="start"/>
        <w:tblInd w:w="0" w:type="dxa"/>
        <w:tblLayout w:type="fixed"/>
        <w:tblCellMar>
          <w:top w:w="0" w:type="dxa"/>
          <w:start w:w="0" w:type="dxa"/>
          <w:bottom w:w="0" w:type="dxa"/>
          <w:end w:w="0" w:type="dxa"/>
        </w:tblCellMar>
      </w:tblPr>
      <w:tblGrid>
        <w:gridCol w:w="2880"/>
        <w:gridCol w:w="1440"/>
        <w:gridCol w:w="1440"/>
        <w:gridCol w:w="1440"/>
      </w:tblGrid>
      <w:tr>
        <w:trPr/>
        <w:tc>
          <w:tcPr>
            <w:tcW w:w="2880" w:type="dxa"/>
            <w:tcBorders>
              <w:top w:val="single" w:sz="18" w:space="0" w:color="000000"/>
              <w:bottom w:val="single" w:sz="6" w:space="0" w:color="000000"/>
            </w:tcBorders>
          </w:tcPr>
          <w:p>
            <w:pPr>
              <w:pStyle w:val="Normal"/>
              <w:snapToGrid w:val="false"/>
              <w:spacing w:before="0" w:after="120"/>
              <w:rPr>
                <w:rFonts w:ascii="Arial" w:hAnsi="Arial" w:cs="Arial"/>
              </w:rPr>
            </w:pPr>
            <w:r>
              <w:rPr>
                <w:rFonts w:cs="Arial" w:ascii="Arial" w:hAnsi="Arial"/>
              </w:rPr>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1998</w:t>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1997</w:t>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1996</w:t>
            </w:r>
          </w:p>
        </w:tc>
      </w:tr>
      <w:tr>
        <w:trPr/>
        <w:tc>
          <w:tcPr>
            <w:tcW w:w="2880" w:type="dxa"/>
            <w:tcBorders/>
          </w:tcPr>
          <w:p>
            <w:pPr>
              <w:pStyle w:val="Normal"/>
              <w:spacing w:before="0" w:after="120"/>
              <w:rPr>
                <w:rFonts w:ascii="Arial" w:hAnsi="Arial" w:cs="Arial"/>
              </w:rPr>
            </w:pPr>
            <w:r>
              <w:rPr>
                <w:rFonts w:cs="Arial" w:ascii="Arial" w:hAnsi="Arial"/>
              </w:rPr>
              <w:t>Natural Gas (Bbtue/d)</w:t>
            </w:r>
          </w:p>
        </w:tc>
        <w:tc>
          <w:tcPr>
            <w:tcW w:w="1440" w:type="dxa"/>
            <w:tcBorders/>
          </w:tcPr>
          <w:p>
            <w:pPr>
              <w:pStyle w:val="Normal"/>
              <w:spacing w:before="0" w:after="120"/>
              <w:rPr>
                <w:rFonts w:ascii="Arial" w:hAnsi="Arial" w:cs="Arial"/>
              </w:rPr>
            </w:pPr>
            <w:r>
              <w:rPr>
                <w:rFonts w:cs="Arial" w:ascii="Arial" w:hAnsi="Arial"/>
              </w:rPr>
              <w:t>12,714</w:t>
            </w:r>
          </w:p>
        </w:tc>
        <w:tc>
          <w:tcPr>
            <w:tcW w:w="1440" w:type="dxa"/>
            <w:tcBorders/>
          </w:tcPr>
          <w:p>
            <w:pPr>
              <w:pStyle w:val="Normal"/>
              <w:spacing w:before="0" w:after="120"/>
              <w:rPr>
                <w:rFonts w:ascii="Arial" w:hAnsi="Arial" w:cs="Arial"/>
              </w:rPr>
            </w:pPr>
            <w:r>
              <w:rPr>
                <w:rFonts w:cs="Arial" w:ascii="Arial" w:hAnsi="Arial"/>
              </w:rPr>
              <w:t>11,037</w:t>
            </w:r>
          </w:p>
        </w:tc>
        <w:tc>
          <w:tcPr>
            <w:tcW w:w="1440" w:type="dxa"/>
            <w:tcBorders/>
          </w:tcPr>
          <w:p>
            <w:pPr>
              <w:pStyle w:val="Normal"/>
              <w:spacing w:before="0" w:after="120"/>
              <w:rPr>
                <w:rFonts w:ascii="Arial" w:hAnsi="Arial" w:cs="Arial"/>
              </w:rPr>
            </w:pPr>
            <w:r>
              <w:rPr>
                <w:rFonts w:cs="Arial" w:ascii="Arial" w:hAnsi="Arial"/>
              </w:rPr>
              <w:t>9,237</w:t>
            </w:r>
          </w:p>
        </w:tc>
      </w:tr>
      <w:tr>
        <w:trPr/>
        <w:tc>
          <w:tcPr>
            <w:tcW w:w="2880" w:type="dxa"/>
            <w:tcBorders>
              <w:bottom w:val="single" w:sz="6" w:space="0" w:color="000000"/>
            </w:tcBorders>
          </w:tcPr>
          <w:p>
            <w:pPr>
              <w:pStyle w:val="Normal"/>
              <w:spacing w:before="0" w:after="120"/>
              <w:rPr>
                <w:rFonts w:ascii="Arial" w:hAnsi="Arial" w:cs="Arial"/>
              </w:rPr>
            </w:pPr>
            <w:r>
              <w:rPr>
                <w:rFonts w:cs="Arial" w:ascii="Arial" w:hAnsi="Arial"/>
              </w:rPr>
              <w:t>Electricity (Thousand MWh)</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401,843</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191,746</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60,150</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ENA was the largest coal marketer with deliveries of 100 MM tons in 1998, the largest SO2  credits marketer with 4.14 million tons traded in 1998, and had a strong presence in the crude, liquids, and NO2 markets as well.</w:t>
      </w:r>
    </w:p>
    <w:p>
      <w:pPr>
        <w:pStyle w:val="BodyText2"/>
        <w:rPr>
          <w:rFonts w:ascii="Arial" w:hAnsi="Arial" w:cs="Arial"/>
          <w:sz w:val="22"/>
        </w:rPr>
      </w:pPr>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p>
    <w:p>
      <w:pPr>
        <w:pStyle w:val="Normal"/>
        <w:rPr/>
      </w:pPr>
      <w:r>
        <w:rPr>
          <w:rFonts w:cs="Arial" w:ascii="Arial" w:hAnsi="Arial"/>
          <w:b/>
          <w:sz w:val="21"/>
        </w:rPr>
        <w:t xml:space="preserve">Energy Assets and Investments. </w:t>
      </w:r>
      <w:r>
        <w:rPr>
          <w:rFonts w:cs="Arial" w:ascii="Arial" w:hAnsi="Arial"/>
          <w:b/>
        </w:rPr>
        <w:t xml:space="preserve"> </w:t>
      </w:r>
      <w:r>
        <w:rPr>
          <w:rFonts w:cs="Arial" w:ascii="Arial" w:hAnsi="Arial"/>
        </w:rPr>
        <w:t>This business includes the development and construction of power plants, pipelines and other energy infrastructure.</w:t>
      </w:r>
    </w:p>
    <w:p>
      <w:pPr>
        <w:pStyle w:val="Normal"/>
        <w:rPr>
          <w:rFonts w:ascii="Arial" w:hAnsi="Arial" w:cs="Arial"/>
        </w:rPr>
      </w:pPr>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p>
    <w:p>
      <w:pPr>
        <w:pStyle w:val="Heading1"/>
        <w:ind w:hanging="0" w:start="-720"/>
        <w:rPr>
          <w:rFonts w:ascii="Arial" w:hAnsi="Arial" w:cs="Arial"/>
        </w:rPr>
      </w:pPr>
      <w:bookmarkStart w:id="50" w:name="__RefHeading___Toc483025963"/>
      <w:r>
        <w:rPr>
          <w:rFonts w:cs="Arial" w:ascii="Arial" w:hAnsi="Arial"/>
        </w:rPr>
        <w:t>Market Analysis</w:t>
      </w:r>
      <w:bookmarkEnd w:id="50"/>
      <w:r>
        <w:rPr>
          <w:rFonts w:cs="Arial" w:ascii="Arial" w:hAnsi="Arial"/>
        </w:rPr>
        <w:t xml:space="preserve"> </w:t>
      </w:r>
    </w:p>
    <w:p>
      <w:pPr>
        <w:pStyle w:val="Heading2"/>
        <w:spacing w:before="0" w:after="120"/>
        <w:ind w:hanging="0" w:start="-360"/>
        <w:rPr>
          <w:rFonts w:ascii="Arial" w:hAnsi="Arial" w:cs="Arial"/>
        </w:rPr>
      </w:pPr>
      <w:bookmarkStart w:id="51" w:name="__RefHeading___Toc483025964"/>
      <w:bookmarkEnd w:id="51"/>
      <w:r>
        <w:rPr>
          <w:rFonts w:cs="Arial" w:ascii="Arial" w:hAnsi="Arial"/>
        </w:rPr>
        <w:t>Industry Overview</w:t>
      </w:r>
    </w:p>
    <w:p>
      <w:pPr>
        <w:pStyle w:val="Normal"/>
        <w:rPr>
          <w:rFonts w:ascii="Arial" w:hAnsi="Arial" w:cs="Arial"/>
        </w:rPr>
      </w:pPr>
      <w:r>
        <w:rPr>
          <w:rFonts w:cs="Arial" w:ascii="Arial" w:hAnsi="Arial"/>
        </w:rPr>
        <w:t>Since the passage of federal legislation in 1992, the Federal Energy Regulatory Commission (“FERC”) has implemented measures to facilitate competition in the wholesale power marketing arena.  Deregulation of the power markets in Nevada and California, and the shift from regulated pricing toward pricing based on market principles, has fundamentally changed the structure of the energy industry in these states.  New gas-fired resources will be well placed to benefit from their lower cost and increased operations flexibility over older, less efficient power plants.  The continued load growth projected to occur in the western U.S. willcreate robust demand for electricity and provide enormous opportunities for cost-efficient, flexible, gas-fired generators.</w:t>
      </w:r>
    </w:p>
    <w:p>
      <w:pPr>
        <w:pStyle w:val="Heading2"/>
        <w:ind w:hanging="0" w:start="-360"/>
        <w:rPr>
          <w:rFonts w:ascii="Arial" w:hAnsi="Arial" w:cs="Arial"/>
        </w:rPr>
      </w:pPr>
      <w:bookmarkStart w:id="52" w:name="__RefHeading___Toc483025965"/>
      <w:bookmarkEnd w:id="52"/>
      <w:r>
        <w:rPr>
          <w:rFonts w:cs="Arial" w:ascii="Arial" w:hAnsi="Arial"/>
        </w:rPr>
        <w:t>Western Systems Coordination Council</w:t>
      </w:r>
    </w:p>
    <w:p>
      <w:pPr>
        <w:pStyle w:val="Normal"/>
        <w:rPr>
          <w:rFonts w:ascii="Arial" w:hAnsi="Arial" w:cs="Arial"/>
        </w:rPr>
      </w:pPr>
      <w:r>
        <w:rPr>
          <w:rFonts w:cs="Arial" w:ascii="Arial" w:hAnsi="Arial"/>
        </w:rPr>
        <w:t>The WSCC region covers an area of nearly 1.8 million square miles.  It represents the electric power systems serving all or part of the 14 western U.S. states, as well as the provinces of Alberta and British Colombia in Canada and the northern portion of Baja California in Mexico.  The WSCC’s 86 members and 22 affiliate members provide electric service to approximately 65 million people throughout the region.</w:t>
      </w:r>
    </w:p>
    <w:p>
      <w:pPr>
        <w:pStyle w:val="Normal"/>
        <w:rPr>
          <w:rFonts w:ascii="Arial" w:hAnsi="Arial" w:cs="Arial"/>
        </w:rPr>
      </w:pPr>
      <w:r>
        <w:rPr>
          <w:rFonts w:cs="Arial" w:ascii="Arial" w:hAnsi="Arial"/>
        </w:rPr>
        <w:t xml:space="preserve">Nevada and California are located in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Normal"/>
        <w:rPr>
          <w:rFonts w:ascii="Arial" w:hAnsi="Arial" w:cs="Arial"/>
        </w:rPr>
      </w:pPr>
      <w:r>
        <w:rPr>
          <w:rFonts w:cs="Arial" w:ascii="Arial" w:hAnsi="Arial"/>
        </w:rPr>
        <w:t>The plant will be an interconnected facility within the WSCC enabling wholesale power sales to other parts of the region, particularly southern California.  Because of the WSCC’s size and geographical diversity, the region is divided into four reporting areas.</w:t>
      </w:r>
    </w:p>
    <w:p>
      <w:pPr>
        <w:pStyle w:val="Normal"/>
        <w:rPr/>
      </w:pPr>
      <w:r>
        <w:rPr>
          <w:rFonts w:cs="Arial" w:ascii="Arial" w:hAnsi="Arial"/>
        </w:rPr>
        <w:t>The</w:t>
      </w:r>
      <w:r>
        <w:rPr>
          <w:rFonts w:cs="Arial" w:ascii="Arial" w:hAnsi="Arial"/>
          <w:i/>
        </w:rPr>
        <w:t xml:space="preserve"> Northwest Power Pool (“NWPP”)</w:t>
      </w:r>
      <w:r>
        <w:rPr>
          <w:rFonts w:cs="Arial" w:ascii="Arial" w:hAnsi="Arial"/>
        </w:rPr>
        <w:t xml:space="preserve"> Area is comprised of the states of Washington, Oregon, Idaho, and Utah; the Canadian provinces of British Columbia and Alberta; and portions of Montana, Wyoming, Nevada, and California.  Over the period from 1998 through 2008, peak demand and annual energy requirements are projected to grow at respective annual compound rates of 1.1% and 1.6%.  Resource capacity margins for this winter peaking area range between 11.3% and 15.7% of firm peak demand for the next ten years. </w:t>
      </w:r>
    </w:p>
    <w:p>
      <w:pPr>
        <w:pStyle w:val="Normal"/>
        <w:rPr/>
      </w:pPr>
      <w:r>
        <w:rPr>
          <w:rFonts w:cs="Arial" w:ascii="Arial" w:hAnsi="Arial"/>
        </w:rPr>
        <w:t xml:space="preserve">The </w:t>
      </w:r>
      <w:r>
        <w:rPr>
          <w:rFonts w:cs="Arial" w:ascii="Arial" w:hAnsi="Arial"/>
          <w:i/>
        </w:rPr>
        <w:t>Rocky Mountain Power Area (“RMPA”)</w:t>
      </w:r>
      <w:r>
        <w:rPr>
          <w:rFonts w:cs="Arial" w:ascii="Arial" w:hAnsi="Arial"/>
        </w:rPr>
        <w:t xml:space="preserve"> consists of Colorado, eastern Wyoming, and portions of western Nebraska and South Dakota. The RMPA may experience its annual peak demand in either the summer or winter season due to variations in weather. Over the period from 1998 through 2008, peak demand and annual energy requirements are projected to grow at respective annual compound rates of 2.2% and 2.4%. Summer resource capacity margins range between 17.1% and 22.5% of firm peak demand for the next ten years.</w:t>
      </w:r>
    </w:p>
    <w:p>
      <w:pPr>
        <w:pStyle w:val="Normal"/>
        <w:rPr/>
      </w:pPr>
      <w:r>
        <w:rPr>
          <w:rFonts w:cs="Arial" w:ascii="Arial" w:hAnsi="Arial"/>
        </w:rPr>
        <w:t xml:space="preserve">The </w:t>
      </w:r>
      <w:r>
        <w:rPr>
          <w:rFonts w:cs="Arial" w:ascii="Arial" w:hAnsi="Arial"/>
          <w:i/>
        </w:rPr>
        <w:t xml:space="preserve">Arizona-New Mexico-Southern Nevada Power Area </w:t>
      </w:r>
      <w:r>
        <w:rPr>
          <w:rFonts w:cs="Arial" w:ascii="Arial" w:hAnsi="Arial"/>
        </w:rPr>
        <w:t>consists of Arizona, most of New Mexico, the westernmost part of Texas, southern Nevada, and a portion of southeastern California. Over the period from 1998 through 2008, peak demand and annual energy requirements are projected to grow at a 2.5% annual compound rate. Resource capacity margins for this summer peaking area range between 9.4% and 10.6% of firm peak demand for the next ten years.</w:t>
      </w:r>
    </w:p>
    <w:p>
      <w:pPr>
        <w:pStyle w:val="Normal"/>
        <w:rPr/>
      </w:pPr>
      <w:r>
        <w:rPr>
          <w:rFonts w:cs="Arial" w:ascii="Arial" w:hAnsi="Arial"/>
        </w:rPr>
        <w:t xml:space="preserve">The </w:t>
      </w:r>
      <w:r>
        <w:rPr>
          <w:rFonts w:cs="Arial" w:ascii="Arial" w:hAnsi="Arial"/>
          <w:i/>
        </w:rPr>
        <w:t>California-Mexico Power Area</w:t>
      </w:r>
      <w:r>
        <w:rPr>
          <w:rFonts w:cs="Arial" w:ascii="Arial" w:hAnsi="Arial"/>
        </w:rPr>
        <w:t xml:space="preserve"> encompasses most of California and the northern portion of Baja California, Mexico. Restructuring of the electric industry in California in 1998 and beyond adds much uncertainty to future adequacy projections of generating capacity, energy production by independent power producers, and effects of customer energy efficiency/demand-side management programs. Recognizing that future forecast uncertainty exists, peak demands and annual energy requirements are currently projected to grow at respective annual compound rates of 1.3% and 1.8% from 1998 through 2008. Projected resource capacity margins range between 10.7% and 12.1% of firm peak demand for the next ten years.</w:t>
      </w:r>
    </w:p>
    <w:p>
      <w:pPr>
        <w:pStyle w:val="Normal"/>
        <w:rPr>
          <w:rFonts w:ascii="Arial" w:hAnsi="Arial" w:cs="Arial"/>
        </w:rPr>
      </w:pPr>
      <w:r>
        <w:rPr>
          <w:rFonts w:cs="Arial" w:ascii="Arial" w:hAnsi="Arial"/>
        </w:rPr>
        <w:t>The aggregate load supply and demand and reserve margin situation within the WSCC is described in the graph below.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ding4"/>
        <w:jc w:val="center"/>
        <w:rPr>
          <w:rFonts w:ascii="Arial" w:hAnsi="Arial" w:cs="Arial"/>
        </w:rPr>
      </w:pPr>
      <w:r>
        <w:rPr>
          <w:rFonts w:cs="Arial" w:ascii="Arial" w:hAnsi="Arial"/>
          <w:lang w:val="en-CA" w:eastAsia="en-CA"/>
        </w:rPr>
        <w:object w:dxaOrig="8960" w:dyaOrig="4352">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22.25pt;height:220.4pt" filled="f" o:ole="">
            <v:imagedata r:id="rId18" o:title=""/>
          </v:shape>
          <o:OLEObject Type="Embed" ProgID="Excel.Sheet.12" ShapeID="ole_rId17" DrawAspect="Content" ObjectID="_382962802" r:id="rId17"/>
        </w:object>
      </w:r>
    </w:p>
    <w:p>
      <w:pPr>
        <w:pStyle w:val="Normal"/>
        <w:jc w:val="start"/>
        <w:rPr>
          <w:rFonts w:ascii="Arial" w:hAnsi="Arial" w:cs="Arial"/>
          <w:b/>
          <w:sz w:val="16"/>
        </w:rPr>
      </w:pPr>
      <w:r>
        <w:rPr>
          <w:rFonts w:cs="Arial" w:ascii="Arial" w:hAnsi="Arial"/>
          <w:b/>
          <w:sz w:val="16"/>
        </w:rPr>
        <w:t>Source: WSCC?</w:t>
      </w:r>
    </w:p>
    <w:p>
      <w:pPr>
        <w:pStyle w:val="Normal"/>
        <w:rPr>
          <w:rFonts w:ascii="Arial" w:hAnsi="Arial" w:cs="Arial"/>
        </w:rPr>
      </w:pPr>
      <w:r>
        <w:rPr>
          <w:rFonts w:cs="Arial" w:ascii="Arial" w:hAnsi="Arial"/>
        </w:rPr>
        <w:t>The region as a whole has experienced a tighter electricity market during the past several years. Given this supply and demand dynamic, most industry participants have concluded that the WSCC is facing a fundamental shortage of generation. Moreover, first-mover advantages and early on-line dates create exponential opportunities to capture margin and market share during this time of capacity shortage. The table below contains a list of the projects currently underway that are most likely to be completed.</w:t>
      </w:r>
    </w:p>
    <w:p>
      <w:pPr>
        <w:pStyle w:val="Normal"/>
        <w:rPr>
          <w:rFonts w:ascii="Arial" w:hAnsi="Arial" w:cs="Arial"/>
        </w:rPr>
      </w:pPr>
      <w:r>
        <w:rPr>
          <w:rFonts w:cs="Arial" w:ascii="Arial" w:hAnsi="Arial"/>
        </w:rPr>
      </w:r>
    </w:p>
    <w:tbl>
      <w:tblPr>
        <w:tblW w:w="9526" w:type="dxa"/>
        <w:jc w:val="start"/>
        <w:tblInd w:w="0" w:type="dxa"/>
        <w:tblLayout w:type="fixed"/>
        <w:tblCellMar>
          <w:top w:w="0" w:type="dxa"/>
          <w:start w:w="30" w:type="dxa"/>
          <w:bottom w:w="0" w:type="dxa"/>
          <w:end w:w="30" w:type="dxa"/>
        </w:tblCellMar>
      </w:tblPr>
      <w:tblGrid>
        <w:gridCol w:w="3170"/>
        <w:gridCol w:w="1467"/>
        <w:gridCol w:w="1418"/>
        <w:gridCol w:w="1735"/>
        <w:gridCol w:w="1736"/>
      </w:tblGrid>
      <w:tr>
        <w:trPr/>
        <w:tc>
          <w:tcPr>
            <w:tcW w:w="9526" w:type="dxa"/>
            <w:gridSpan w:val="5"/>
            <w:tcBorders/>
          </w:tcPr>
          <w:p>
            <w:pPr>
              <w:pStyle w:val="Normal"/>
              <w:spacing w:before="0" w:after="120"/>
              <w:rPr>
                <w:rFonts w:ascii="Arial" w:hAnsi="Arial" w:cs="Arial"/>
                <w:color w:val="000000"/>
              </w:rPr>
            </w:pPr>
            <w:r>
              <w:rPr>
                <w:rFonts w:cs="Arial" w:ascii="Arial" w:hAnsi="Arial"/>
                <w:b/>
                <w:color w:val="000000"/>
              </w:rPr>
              <w:t>High Probability WSCC Projects</w:t>
            </w:r>
          </w:p>
        </w:tc>
      </w:tr>
      <w:tr>
        <w:trPr/>
        <w:tc>
          <w:tcPr>
            <w:tcW w:w="3170" w:type="dxa"/>
            <w:tcBorders>
              <w:bottom w:val="single" w:sz="12" w:space="0" w:color="000000"/>
            </w:tcBorders>
          </w:tcPr>
          <w:p>
            <w:pPr>
              <w:pStyle w:val="Normal"/>
              <w:spacing w:before="20" w:after="20"/>
              <w:jc w:val="start"/>
              <w:rPr>
                <w:rFonts w:ascii="Arial" w:hAnsi="Arial" w:cs="Arial"/>
                <w:b/>
                <w:color w:val="000000"/>
                <w:sz w:val="20"/>
              </w:rPr>
            </w:pPr>
            <w:r>
              <w:rPr>
                <w:rFonts w:cs="Arial" w:ascii="Arial" w:hAnsi="Arial"/>
                <w:b/>
                <w:color w:val="000000"/>
                <w:sz w:val="20"/>
              </w:rPr>
              <w:t>Project</w:t>
            </w:r>
          </w:p>
        </w:tc>
        <w:tc>
          <w:tcPr>
            <w:tcW w:w="1467" w:type="dxa"/>
            <w:tcBorders>
              <w:bottom w:val="single" w:sz="12" w:space="0" w:color="000000"/>
            </w:tcBorders>
          </w:tcPr>
          <w:p>
            <w:pPr>
              <w:pStyle w:val="Normal"/>
              <w:spacing w:before="20" w:after="20"/>
              <w:jc w:val="start"/>
              <w:rPr>
                <w:rFonts w:ascii="Arial" w:hAnsi="Arial" w:cs="Arial"/>
                <w:b/>
                <w:color w:val="000000"/>
                <w:sz w:val="20"/>
              </w:rPr>
            </w:pPr>
            <w:r>
              <w:rPr>
                <w:rFonts w:cs="Arial" w:ascii="Arial" w:hAnsi="Arial"/>
                <w:b/>
                <w:color w:val="000000"/>
                <w:sz w:val="20"/>
              </w:rPr>
              <w:t>State</w:t>
            </w:r>
          </w:p>
        </w:tc>
        <w:tc>
          <w:tcPr>
            <w:tcW w:w="1418" w:type="dxa"/>
            <w:tcBorders>
              <w:bottom w:val="single" w:sz="12" w:space="0" w:color="000000"/>
            </w:tcBorders>
          </w:tcPr>
          <w:p>
            <w:pPr>
              <w:pStyle w:val="Normal"/>
              <w:spacing w:before="20" w:after="20"/>
              <w:jc w:val="start"/>
              <w:rPr>
                <w:rFonts w:ascii="Arial" w:hAnsi="Arial" w:cs="Arial"/>
                <w:b/>
                <w:color w:val="000000"/>
                <w:sz w:val="20"/>
              </w:rPr>
            </w:pPr>
            <w:r>
              <w:rPr>
                <w:rFonts w:cs="Arial" w:ascii="Arial" w:hAnsi="Arial"/>
                <w:b/>
                <w:color w:val="000000"/>
                <w:sz w:val="20"/>
              </w:rPr>
              <w:t>On-Line Date</w:t>
            </w:r>
          </w:p>
        </w:tc>
        <w:tc>
          <w:tcPr>
            <w:tcW w:w="1735" w:type="dxa"/>
            <w:tcBorders>
              <w:bottom w:val="single" w:sz="12" w:space="0" w:color="000000"/>
            </w:tcBorders>
          </w:tcPr>
          <w:p>
            <w:pPr>
              <w:pStyle w:val="Normal"/>
              <w:spacing w:before="20" w:after="20"/>
              <w:jc w:val="start"/>
              <w:rPr>
                <w:rFonts w:ascii="Arial" w:hAnsi="Arial" w:cs="Arial"/>
                <w:b/>
                <w:color w:val="000000"/>
                <w:sz w:val="20"/>
              </w:rPr>
            </w:pPr>
            <w:r>
              <w:rPr>
                <w:rFonts w:cs="Arial" w:ascii="Arial" w:hAnsi="Arial"/>
                <w:b/>
                <w:color w:val="000000"/>
                <w:sz w:val="20"/>
              </w:rPr>
              <w:t>Capacity</w:t>
            </w:r>
          </w:p>
        </w:tc>
        <w:tc>
          <w:tcPr>
            <w:tcW w:w="1736" w:type="dxa"/>
            <w:tcBorders>
              <w:bottom w:val="single" w:sz="12" w:space="0" w:color="000000"/>
            </w:tcBorders>
          </w:tcPr>
          <w:p>
            <w:pPr>
              <w:pStyle w:val="Normal"/>
              <w:spacing w:before="20" w:after="20"/>
              <w:jc w:val="start"/>
              <w:rPr>
                <w:rFonts w:ascii="Arial" w:hAnsi="Arial" w:cs="Arial"/>
                <w:b/>
                <w:color w:val="000000"/>
                <w:sz w:val="20"/>
              </w:rPr>
            </w:pPr>
            <w:r>
              <w:rPr>
                <w:rFonts w:cs="Arial" w:ascii="Arial" w:hAnsi="Arial"/>
                <w:b/>
                <w:color w:val="000000"/>
                <w:sz w:val="20"/>
              </w:rPr>
              <w:t>Cumulative Capacity</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Colorado Springs Nixon</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CO</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10/1/1999</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70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70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Deming</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NM</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11/1/1999</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250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320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Priscilla</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NV</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3/1/2000</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216</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536</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El Dorado</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NV</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5/1/2000</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492</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1,028</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Person</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NM</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5/1/2000</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140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1,168</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Manchief (Brush)</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CO</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6/1/2000</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265</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1,433</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Valmont Repowering</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CO</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12/1/2000</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11</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1,444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Vestas (100MW Wind)</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OR</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25</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1,469</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South Point Power Plant [Mojave]</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AZ</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545</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2,014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Griffith Energy Project</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AZ</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520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2,534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Desert Basin Gnrtng</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AZ</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6/1/2001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600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3,134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Sutter</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CA</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7/1/2001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500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3,634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Klamath Cogen</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OR</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7/1/2001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500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4,134</w:t>
            </w:r>
          </w:p>
        </w:tc>
      </w:tr>
      <w:tr>
        <w:trPr/>
        <w:tc>
          <w:tcPr>
            <w:tcW w:w="3170" w:type="dxa"/>
            <w:tcBorders/>
          </w:tcPr>
          <w:p>
            <w:pPr>
              <w:pStyle w:val="Normal"/>
              <w:spacing w:before="20" w:after="20"/>
              <w:rPr/>
            </w:pPr>
            <w:r>
              <w:rPr>
                <w:rFonts w:cs="Arial" w:ascii="Arial" w:hAnsi="Arial"/>
                <w:color w:val="000000"/>
                <w:sz w:val="20"/>
              </w:rPr>
              <w:t>43</w:t>
            </w:r>
            <w:r>
              <w:rPr>
                <w:rFonts w:cs="Arial" w:ascii="Arial" w:hAnsi="Arial"/>
                <w:color w:val="000000"/>
                <w:sz w:val="20"/>
                <w:vertAlign w:val="superscript"/>
              </w:rPr>
              <w:t>rd</w:t>
            </w:r>
            <w:r>
              <w:rPr>
                <w:rFonts w:cs="Arial" w:ascii="Arial" w:hAnsi="Arial"/>
                <w:color w:val="000000"/>
                <w:sz w:val="20"/>
              </w:rPr>
              <w:t xml:space="preserve"> Avenue Plant Repower</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AZ</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8/1/2001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70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4,204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Los Medanos (Pittsburg)</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CA</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8/1/2001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500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4,704</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La Paloma</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CA</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9/1/2001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1,048</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5,752</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Rathdrum</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ID</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9/1/2001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270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6,022</w:t>
            </w:r>
          </w:p>
        </w:tc>
      </w:tr>
      <w:tr>
        <w:trPr/>
        <w:tc>
          <w:tcPr>
            <w:tcW w:w="3170" w:type="dxa"/>
            <w:tcBorders/>
          </w:tcPr>
          <w:p>
            <w:pPr>
              <w:pStyle w:val="Normal"/>
              <w:spacing w:before="20" w:after="20"/>
              <w:rPr/>
            </w:pPr>
            <w:r>
              <w:rPr>
                <w:rFonts w:cs="Arial" w:ascii="Arial" w:hAnsi="Arial"/>
                <w:color w:val="000000"/>
                <w:sz w:val="20"/>
              </w:rPr>
              <w:t>43</w:t>
            </w:r>
            <w:r>
              <w:rPr>
                <w:rFonts w:cs="Arial" w:ascii="Arial" w:hAnsi="Arial"/>
                <w:color w:val="000000"/>
                <w:sz w:val="20"/>
                <w:vertAlign w:val="superscript"/>
              </w:rPr>
              <w:t>rd</w:t>
            </w:r>
            <w:r>
              <w:rPr>
                <w:rFonts w:cs="Arial" w:ascii="Arial" w:hAnsi="Arial"/>
                <w:color w:val="000000"/>
                <w:sz w:val="20"/>
              </w:rPr>
              <w:t xml:space="preserve"> Avenue Phase 2 Repower</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AZ</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12/1/2001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70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6,092</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Everett Delta</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WA</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12/1/2001</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248</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6,340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Coyote Springs Phase 2</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OR</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3/1/2002</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280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6,620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Delta Energy</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CA</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4/1/2002</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880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7,500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Powhatan 48</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CO</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5/1/2002</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150</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7,650</w:t>
            </w:r>
          </w:p>
        </w:tc>
      </w:tr>
      <w:tr>
        <w:trPr/>
        <w:tc>
          <w:tcPr>
            <w:tcW w:w="3170" w:type="dxa"/>
            <w:tcBorders/>
          </w:tcPr>
          <w:p>
            <w:pPr>
              <w:pStyle w:val="Normal"/>
              <w:spacing w:before="20" w:after="20"/>
              <w:rPr>
                <w:rFonts w:ascii="Arial" w:hAnsi="Arial" w:cs="Arial"/>
                <w:color w:val="000000"/>
                <w:sz w:val="20"/>
              </w:rPr>
            </w:pPr>
            <w:r>
              <w:rPr>
                <w:rFonts w:cs="Arial" w:ascii="Arial" w:hAnsi="Arial"/>
                <w:color w:val="000000"/>
                <w:sz w:val="20"/>
              </w:rPr>
              <w:t>Hermiston</w:t>
            </w:r>
          </w:p>
        </w:tc>
        <w:tc>
          <w:tcPr>
            <w:tcW w:w="1467" w:type="dxa"/>
            <w:tcBorders/>
          </w:tcPr>
          <w:p>
            <w:pPr>
              <w:pStyle w:val="Normal"/>
              <w:spacing w:before="20" w:after="20"/>
              <w:rPr>
                <w:rFonts w:ascii="Arial" w:hAnsi="Arial" w:cs="Arial"/>
                <w:color w:val="000000"/>
                <w:sz w:val="20"/>
              </w:rPr>
            </w:pPr>
            <w:r>
              <w:rPr>
                <w:rFonts w:cs="Arial" w:ascii="Arial" w:hAnsi="Arial"/>
                <w:color w:val="000000"/>
                <w:sz w:val="20"/>
              </w:rPr>
              <w:t>OR</w:t>
            </w:r>
          </w:p>
        </w:tc>
        <w:tc>
          <w:tcPr>
            <w:tcW w:w="1418" w:type="dxa"/>
            <w:tcBorders/>
          </w:tcPr>
          <w:p>
            <w:pPr>
              <w:pStyle w:val="Normal"/>
              <w:spacing w:before="20" w:after="20"/>
              <w:rPr>
                <w:rFonts w:ascii="Arial" w:hAnsi="Arial" w:cs="Arial"/>
                <w:color w:val="000000"/>
                <w:sz w:val="20"/>
              </w:rPr>
            </w:pPr>
            <w:r>
              <w:rPr>
                <w:rFonts w:cs="Arial" w:ascii="Arial" w:hAnsi="Arial"/>
                <w:color w:val="000000"/>
                <w:sz w:val="20"/>
              </w:rPr>
              <w:t>5/1/2002</w:t>
            </w:r>
          </w:p>
        </w:tc>
        <w:tc>
          <w:tcPr>
            <w:tcW w:w="1735" w:type="dxa"/>
            <w:tcBorders/>
          </w:tcPr>
          <w:p>
            <w:pPr>
              <w:pStyle w:val="Normal"/>
              <w:spacing w:before="20" w:after="20"/>
              <w:rPr>
                <w:rFonts w:ascii="Arial" w:hAnsi="Arial" w:cs="Arial"/>
                <w:color w:val="000000"/>
                <w:sz w:val="20"/>
              </w:rPr>
            </w:pPr>
            <w:r>
              <w:rPr>
                <w:rFonts w:cs="Arial" w:ascii="Arial" w:hAnsi="Arial"/>
                <w:color w:val="000000"/>
                <w:sz w:val="20"/>
              </w:rPr>
              <w:t>536</w:t>
            </w:r>
          </w:p>
        </w:tc>
        <w:tc>
          <w:tcPr>
            <w:tcW w:w="1736" w:type="dxa"/>
            <w:tcBorders/>
          </w:tcPr>
          <w:p>
            <w:pPr>
              <w:pStyle w:val="Normal"/>
              <w:spacing w:before="20" w:after="20"/>
              <w:rPr>
                <w:rFonts w:ascii="Arial" w:hAnsi="Arial" w:cs="Arial"/>
                <w:color w:val="000000"/>
                <w:sz w:val="20"/>
              </w:rPr>
            </w:pPr>
            <w:r>
              <w:rPr>
                <w:rFonts w:cs="Arial" w:ascii="Arial" w:hAnsi="Arial"/>
                <w:color w:val="000000"/>
                <w:sz w:val="20"/>
              </w:rPr>
              <w:t>8,186</w:t>
            </w:r>
          </w:p>
        </w:tc>
      </w:tr>
    </w:tbl>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t>The current generation stack for the WSCC is depicted in the graph below. Given LV Cogen’s 7,760 heat rate, it will be highly competitive relative to existing generation.</w:t>
      </w:r>
    </w:p>
    <w:p>
      <w:pPr>
        <w:pStyle w:val="BodyText"/>
        <w:jc w:val="start"/>
        <w:rPr>
          <w:rFonts w:ascii="Arial" w:hAnsi="Arial" w:cs="Arial"/>
        </w:rPr>
      </w:pPr>
      <w:bookmarkStart w:id="53" w:name="_1019890395"/>
      <w:bookmarkStart w:id="54" w:name="_1019890356"/>
      <w:bookmarkStart w:id="55" w:name="_1019719580"/>
      <w:bookmarkStart w:id="56" w:name="_1019719533"/>
      <w:bookmarkStart w:id="57" w:name="_1019719521"/>
      <w:bookmarkEnd w:id="53"/>
      <w:bookmarkEnd w:id="54"/>
      <w:bookmarkEnd w:id="55"/>
      <w:bookmarkEnd w:id="56"/>
      <w:bookmarkEnd w:id="57"/>
      <w:r>
        <w:rPr>
          <w:rFonts w:cs="Arial" w:ascii="Arial" w:hAnsi="Arial"/>
        </w:rPr>
        <w:object w:dxaOrig="12801" w:dyaOrig="6144">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475.8pt;height:216.9pt" filled="f" o:ole="">
            <v:imagedata r:id="rId20" o:title=""/>
          </v:shape>
          <o:OLEObject Type="Embed" ProgID="Excel.Sheet.12" ShapeID="ole_rId19" DrawAspect="Content" ObjectID="_1970381325" r:id="rId19"/>
        </w:object>
      </w:r>
      <w:r>
        <w:rPr>
          <w:rFonts w:cs="Arial" w:ascii="Arial" w:hAnsi="Arial"/>
          <w:b/>
          <w:sz w:val="16"/>
        </w:rPr>
        <w:t>Source: WSCC?</w:t>
      </w:r>
    </w:p>
    <w:p>
      <w:pPr>
        <w:pStyle w:val="Heading2"/>
        <w:ind w:hanging="0" w:start="-360"/>
        <w:rPr>
          <w:rFonts w:ascii="Arial" w:hAnsi="Arial" w:cs="Arial"/>
        </w:rPr>
      </w:pPr>
      <w:r>
        <w:rPr>
          <w:rFonts w:cs="Arial" w:ascii="Arial" w:hAnsi="Arial"/>
        </w:rPr>
      </w:r>
      <w:bookmarkStart w:id="58" w:name="__RefHeading___Toc483025966"/>
      <w:bookmarkStart w:id="59" w:name="__RefHeading___Toc483025966"/>
    </w:p>
    <w:p>
      <w:pPr>
        <w:pStyle w:val="Heading2"/>
        <w:ind w:hanging="0" w:start="-360"/>
        <w:rPr>
          <w:rFonts w:ascii="Arial" w:hAnsi="Arial" w:cs="Arial"/>
        </w:rPr>
      </w:pPr>
      <w:bookmarkStart w:id="60" w:name="__RefHeading___Toc483025966"/>
      <w:r>
        <w:rPr>
          <w:rFonts w:cs="Arial" w:ascii="Arial" w:hAnsi="Arial"/>
        </w:rPr>
        <w:t>Nevada and California Markets</w:t>
      </w:r>
      <w:bookmarkEnd w:id="60"/>
    </w:p>
    <w:p>
      <w:pPr>
        <w:pStyle w:val="Normal"/>
        <w:rPr>
          <w:rFonts w:ascii="Arial" w:hAnsi="Arial" w:cs="Arial"/>
          <w:b/>
        </w:rPr>
      </w:pPr>
      <w:r>
        <w:rPr>
          <w:rFonts w:cs="Arial" w:ascii="Arial" w:hAnsi="Arial"/>
          <w:b/>
        </w:rPr>
        <w:t>Deregulation</w:t>
      </w:r>
    </w:p>
    <w:p>
      <w:pPr>
        <w:pStyle w:val="Normal"/>
        <w:rPr>
          <w:rFonts w:ascii="Arial" w:hAnsi="Arial" w:cs="Arial"/>
        </w:rPr>
      </w:pPr>
      <w:r>
        <w:rPr>
          <w:rFonts w:cs="Arial" w:ascii="Arial" w:hAnsi="Arial"/>
        </w:rPr>
        <w:t>Nevada enacted a restructuring statute in 1997 that was subsequently amended in 1999 in the form of SB438. The date of restructuring was most recently set for March 2000, but has been delayed. The effect of restructuring when it occurs will be, among other things, to:</w:t>
      </w:r>
    </w:p>
    <w:p>
      <w:pPr>
        <w:pStyle w:val="Normal"/>
        <w:numPr>
          <w:ilvl w:val="0"/>
          <w:numId w:val="10"/>
        </w:numPr>
        <w:rPr>
          <w:rFonts w:ascii="Arial" w:hAnsi="Arial" w:cs="Arial"/>
        </w:rPr>
      </w:pPr>
      <w:r>
        <w:rPr>
          <w:rFonts w:cs="Arial" w:ascii="Arial" w:hAnsi="Arial"/>
        </w:rPr>
        <w:t>Open the retail market to competition</w:t>
      </w:r>
    </w:p>
    <w:p>
      <w:pPr>
        <w:pStyle w:val="Normal"/>
        <w:numPr>
          <w:ilvl w:val="0"/>
          <w:numId w:val="10"/>
        </w:numPr>
        <w:rPr>
          <w:rFonts w:ascii="Arial" w:hAnsi="Arial" w:cs="Arial"/>
        </w:rPr>
      </w:pPr>
      <w:r>
        <w:rPr>
          <w:rFonts w:cs="Arial" w:ascii="Arial" w:hAnsi="Arial"/>
        </w:rPr>
        <w:t>Introduce competition to generation services, metering, billing, and customer service</w:t>
      </w:r>
    </w:p>
    <w:p>
      <w:pPr>
        <w:pStyle w:val="Normal"/>
        <w:numPr>
          <w:ilvl w:val="0"/>
          <w:numId w:val="10"/>
        </w:numPr>
        <w:rPr>
          <w:rFonts w:ascii="Arial" w:hAnsi="Arial" w:cs="Arial"/>
        </w:rPr>
      </w:pPr>
      <w:r>
        <w:rPr>
          <w:rFonts w:cs="Arial" w:ascii="Arial" w:hAnsi="Arial"/>
        </w:rPr>
        <w:t>Allows other competitors to bid on being the provider of last resort (“PLR”) in Nevada.  Sierra Pacific, the incumbent utility, has already begun the divestiture of all its generating assets and will not be the default provider of electric service in the future.</w:t>
      </w:r>
    </w:p>
    <w:p>
      <w:pPr>
        <w:pStyle w:val="Normal"/>
        <w:rPr>
          <w:rFonts w:ascii="Arial" w:hAnsi="Arial" w:cs="Arial"/>
        </w:rPr>
      </w:pPr>
      <w:r>
        <w:rPr>
          <w:rFonts w:eastAsia="Arial" w:cs="Arial" w:ascii="Arial" w:hAnsi="Arial"/>
        </w:rPr>
        <w:t xml:space="preserve"> </w:t>
      </w:r>
      <w:r>
        <w:rPr>
          <w:rFonts w:cs="Arial" w:ascii="Arial" w:hAnsi="Arial"/>
        </w:rPr>
        <w:t>It is likely that the Nevada market, when deregulated, will be substantially influenced by the much larger, more mature, California market. ENA believes that Nevada power prices will be directly influenced by California Power Exchange prices for southern California (see below). The graph below demonstrates, using appropriate proxies, historical and forward prices for the Nevada power market.</w:t>
      </w:r>
    </w:p>
    <w:p>
      <w:pPr>
        <w:pStyle w:val="BodyText"/>
        <w:rPr>
          <w:rFonts w:ascii="Arial" w:hAnsi="Arial" w:cs="Arial"/>
        </w:rPr>
      </w:pPr>
      <w:r>
        <w:rPr>
          <w:rFonts w:cs="Arial" w:ascii="Arial" w:hAnsi="Arial"/>
        </w:rPr>
      </w:r>
    </w:p>
    <w:tbl>
      <w:tblPr>
        <w:tblW w:w="3630" w:type="dxa"/>
        <w:jc w:val="start"/>
        <w:tblInd w:w="1020" w:type="dxa"/>
        <w:tblLayout w:type="fixed"/>
        <w:tblCellMar>
          <w:top w:w="0" w:type="dxa"/>
          <w:start w:w="30" w:type="dxa"/>
          <w:bottom w:w="0" w:type="dxa"/>
          <w:end w:w="30" w:type="dxa"/>
        </w:tblCellMar>
      </w:tblPr>
      <w:tblGrid>
        <w:gridCol w:w="2280"/>
        <w:gridCol w:w="1350"/>
      </w:tblGrid>
      <w:tr>
        <w:trPr>
          <w:trHeight w:val="322" w:hRule="atLeast"/>
        </w:trPr>
        <w:tc>
          <w:tcPr>
            <w:tcW w:w="3630" w:type="dxa"/>
            <w:gridSpan w:val="2"/>
            <w:tcBorders/>
          </w:tcPr>
          <w:p>
            <w:pPr>
              <w:pStyle w:val="Normal"/>
              <w:spacing w:before="0" w:after="60"/>
              <w:jc w:val="center"/>
              <w:rPr>
                <w:rFonts w:ascii="Arial" w:hAnsi="Arial" w:cs="Arial"/>
                <w:b/>
                <w:color w:val="000000"/>
              </w:rPr>
            </w:pPr>
            <w:r>
              <w:rPr>
                <w:rFonts w:cs="Arial" w:ascii="Arial" w:hAnsi="Arial"/>
                <w:b/>
                <w:color w:val="000000"/>
              </w:rPr>
              <w:t>Average Nevada Peak Prices</w:t>
            </w:r>
          </w:p>
        </w:tc>
        <w:tc>
          <w:tcPr>
            <w:tcW w:w="0" w:type="dxa"/>
            <w:vMerge w:val="continue"/>
            <w:tcBorders/>
          </w:tcPr>
          <w:p>
            <w:pPr>
              <w:pStyle w:val="Normal"/>
              <w:snapToGrid w:val="false"/>
              <w:spacing w:before="0" w:after="60"/>
              <w:jc w:val="center"/>
              <w:rPr>
                <w:rFonts w:ascii="Arial" w:hAnsi="Arial" w:cs="Arial"/>
                <w:b/>
                <w:color w:val="000000"/>
              </w:rPr>
            </w:pPr>
            <w:r>
              <w:rPr>
                <w:rFonts w:cs="Arial" w:ascii="Arial" w:hAnsi="Arial"/>
                <w:b/>
                <w:color w:val="000000"/>
              </w:rPr>
            </w:r>
          </w:p>
        </w:tc>
      </w:tr>
      <w:tr>
        <w:trPr>
          <w:trHeight w:val="276" w:hRule="atLeast"/>
        </w:trPr>
        <w:tc>
          <w:tcPr>
            <w:tcW w:w="2280" w:type="dxa"/>
            <w:tcBorders>
              <w:bottom w:val="single" w:sz="12" w:space="0" w:color="000000"/>
            </w:tcBorders>
          </w:tcPr>
          <w:p>
            <w:pPr>
              <w:pStyle w:val="Normal"/>
              <w:spacing w:before="0" w:after="0"/>
              <w:jc w:val="center"/>
              <w:rPr>
                <w:rFonts w:ascii="Arial" w:hAnsi="Arial" w:cs="Arial"/>
                <w:b/>
                <w:color w:val="000000"/>
                <w:sz w:val="18"/>
              </w:rPr>
            </w:pPr>
            <w:r>
              <w:rPr>
                <w:rFonts w:cs="Arial" w:ascii="Arial" w:hAnsi="Arial"/>
                <w:b/>
                <w:color w:val="000000"/>
                <w:sz w:val="18"/>
              </w:rPr>
              <w:t>April to March</w:t>
            </w:r>
          </w:p>
        </w:tc>
        <w:tc>
          <w:tcPr>
            <w:tcW w:w="1350" w:type="dxa"/>
            <w:tcBorders>
              <w:bottom w:val="single" w:sz="12" w:space="0" w:color="000000"/>
            </w:tcBorders>
          </w:tcPr>
          <w:p>
            <w:pPr>
              <w:pStyle w:val="Normal"/>
              <w:spacing w:before="0" w:after="0"/>
              <w:jc w:val="center"/>
              <w:rPr>
                <w:rFonts w:ascii="Arial" w:hAnsi="Arial" w:cs="Arial"/>
                <w:b/>
                <w:color w:val="000000"/>
                <w:sz w:val="18"/>
              </w:rPr>
            </w:pPr>
            <w:r>
              <w:rPr>
                <w:rFonts w:cs="Arial" w:ascii="Arial" w:hAnsi="Arial"/>
                <w:b/>
                <w:color w:val="000000"/>
                <w:sz w:val="18"/>
              </w:rPr>
              <w:t>$/MWh</w:t>
            </w:r>
          </w:p>
        </w:tc>
      </w:tr>
      <w:tr>
        <w:trPr>
          <w:trHeight w:val="262" w:hRule="atLeast"/>
        </w:trPr>
        <w:tc>
          <w:tcPr>
            <w:tcW w:w="2280" w:type="dxa"/>
            <w:tcBorders>
              <w:top w:val="single" w:sz="12" w:space="0" w:color="000000"/>
            </w:tcBorders>
          </w:tcPr>
          <w:p>
            <w:pPr>
              <w:pStyle w:val="Normal"/>
              <w:spacing w:before="60" w:after="0"/>
              <w:jc w:val="center"/>
              <w:rPr>
                <w:rFonts w:ascii="Arial" w:hAnsi="Arial" w:cs="Arial"/>
                <w:color w:val="000000"/>
                <w:sz w:val="18"/>
              </w:rPr>
            </w:pPr>
            <w:r>
              <w:rPr>
                <w:rFonts w:cs="Arial" w:ascii="Arial" w:hAnsi="Arial"/>
                <w:color w:val="000000"/>
                <w:sz w:val="18"/>
              </w:rPr>
              <w:t>1996 - 1997</w:t>
            </w:r>
          </w:p>
        </w:tc>
        <w:tc>
          <w:tcPr>
            <w:tcW w:w="1350" w:type="dxa"/>
            <w:tcBorders>
              <w:top w:val="single" w:sz="12" w:space="0" w:color="000000"/>
            </w:tcBorders>
          </w:tcPr>
          <w:p>
            <w:pPr>
              <w:pStyle w:val="Normal"/>
              <w:spacing w:before="60" w:after="0"/>
              <w:jc w:val="center"/>
              <w:rPr>
                <w:rFonts w:ascii="Arial" w:hAnsi="Arial" w:cs="Arial"/>
                <w:color w:val="000000"/>
                <w:sz w:val="18"/>
              </w:rPr>
            </w:pPr>
            <w:r>
              <w:rPr>
                <w:rFonts w:cs="Arial" w:ascii="Arial" w:hAnsi="Arial"/>
                <w:color w:val="000000"/>
                <w:sz w:val="18"/>
              </w:rPr>
              <w:t>17.85</w:t>
            </w:r>
          </w:p>
        </w:tc>
      </w:tr>
      <w:tr>
        <w:trPr>
          <w:trHeight w:val="262" w:hRule="atLeast"/>
        </w:trPr>
        <w:tc>
          <w:tcPr>
            <w:tcW w:w="2280" w:type="dxa"/>
            <w:tcBorders/>
          </w:tcPr>
          <w:p>
            <w:pPr>
              <w:pStyle w:val="Normal"/>
              <w:spacing w:before="60" w:after="0"/>
              <w:jc w:val="center"/>
              <w:rPr>
                <w:rFonts w:ascii="Arial" w:hAnsi="Arial" w:cs="Arial"/>
                <w:color w:val="000000"/>
                <w:sz w:val="18"/>
              </w:rPr>
            </w:pPr>
            <w:r>
              <w:rPr>
                <w:rFonts w:cs="Arial" w:ascii="Arial" w:hAnsi="Arial"/>
                <w:color w:val="000000"/>
                <w:sz w:val="18"/>
              </w:rPr>
              <w:t>1997 - 1998</w:t>
            </w:r>
          </w:p>
        </w:tc>
        <w:tc>
          <w:tcPr>
            <w:tcW w:w="1350" w:type="dxa"/>
            <w:tcBorders/>
          </w:tcPr>
          <w:p>
            <w:pPr>
              <w:pStyle w:val="Normal"/>
              <w:spacing w:before="60" w:after="0"/>
              <w:jc w:val="center"/>
              <w:rPr>
                <w:rFonts w:ascii="Arial" w:hAnsi="Arial" w:cs="Arial"/>
                <w:color w:val="000000"/>
                <w:sz w:val="18"/>
              </w:rPr>
            </w:pPr>
            <w:r>
              <w:rPr>
                <w:rFonts w:cs="Arial" w:ascii="Arial" w:hAnsi="Arial"/>
                <w:color w:val="000000"/>
                <w:sz w:val="18"/>
              </w:rPr>
              <w:t>26.66</w:t>
            </w:r>
          </w:p>
        </w:tc>
      </w:tr>
      <w:tr>
        <w:trPr>
          <w:trHeight w:val="262" w:hRule="atLeast"/>
        </w:trPr>
        <w:tc>
          <w:tcPr>
            <w:tcW w:w="2280" w:type="dxa"/>
            <w:tcBorders/>
          </w:tcPr>
          <w:p>
            <w:pPr>
              <w:pStyle w:val="Normal"/>
              <w:spacing w:before="60" w:after="0"/>
              <w:jc w:val="center"/>
              <w:rPr>
                <w:rFonts w:ascii="Arial" w:hAnsi="Arial" w:cs="Arial"/>
                <w:color w:val="000000"/>
                <w:sz w:val="18"/>
              </w:rPr>
            </w:pPr>
            <w:r>
              <w:rPr>
                <w:rFonts w:cs="Arial" w:ascii="Arial" w:hAnsi="Arial"/>
                <w:color w:val="000000"/>
                <w:sz w:val="18"/>
              </w:rPr>
              <w:t>1998 - 1999</w:t>
            </w:r>
          </w:p>
        </w:tc>
        <w:tc>
          <w:tcPr>
            <w:tcW w:w="1350" w:type="dxa"/>
            <w:tcBorders/>
          </w:tcPr>
          <w:p>
            <w:pPr>
              <w:pStyle w:val="Normal"/>
              <w:spacing w:before="60" w:after="0"/>
              <w:jc w:val="center"/>
              <w:rPr>
                <w:rFonts w:ascii="Arial" w:hAnsi="Arial" w:cs="Arial"/>
                <w:color w:val="000000"/>
                <w:sz w:val="18"/>
              </w:rPr>
            </w:pPr>
            <w:r>
              <w:rPr>
                <w:rFonts w:cs="Arial" w:ascii="Arial" w:hAnsi="Arial"/>
                <w:color w:val="000000"/>
                <w:sz w:val="18"/>
              </w:rPr>
              <w:t>29.07</w:t>
            </w:r>
          </w:p>
        </w:tc>
      </w:tr>
    </w:tbl>
    <w:p>
      <w:pPr>
        <w:pStyle w:val="BodyText"/>
        <w:jc w:val="center"/>
        <w:rPr>
          <w:rFonts w:ascii="Arial" w:hAnsi="Arial" w:cs="Arial"/>
        </w:rPr>
      </w:pPr>
      <w:r>
        <w:rPr>
          <w:rFonts w:cs="Arial" w:ascii="Arial" w:hAnsi="Arial"/>
        </w:rPr>
      </w:r>
    </w:p>
    <w:p>
      <w:pPr>
        <w:pStyle w:val="Normal"/>
        <w:rPr>
          <w:rFonts w:ascii="Arial" w:hAnsi="Arial" w:cs="Arial"/>
        </w:rPr>
      </w:pPr>
      <w:r>
        <w:rPr>
          <w:rFonts w:cs="Arial" w:ascii="Arial" w:hAnsi="Arial"/>
        </w:rPr>
        <w:t>California opened to competition on April 1, 1998 when electricity consumers in the territories of Pacific Gas &amp; Electric Company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 to 25% of California’s electrical load, will eventually open their systems to direct access.</w:t>
      </w:r>
    </w:p>
    <w:p>
      <w:pPr>
        <w:pStyle w:val="Normal"/>
        <w:rPr>
          <w:rFonts w:ascii="Arial" w:hAnsi="Arial" w:cs="Arial"/>
        </w:rPr>
      </w:pPr>
      <w:r>
        <w:rPr>
          <w:rFonts w:cs="Arial" w:ascii="Arial" w:hAnsi="Arial"/>
        </w:rPr>
        <w:t>PG&amp;E, SCE and SDG&amp;E customers were allowed to choose their electricity supplier. In addition to energy sales, generators were able to obtain revenues for, among other services, the following:</w:t>
      </w:r>
    </w:p>
    <w:p>
      <w:pPr>
        <w:pStyle w:val="Normal"/>
        <w:numPr>
          <w:ilvl w:val="0"/>
          <w:numId w:val="11"/>
        </w:numPr>
        <w:rPr>
          <w:rFonts w:ascii="Arial" w:hAnsi="Arial" w:cs="Arial"/>
        </w:rPr>
      </w:pPr>
      <w:r>
        <w:rPr>
          <w:rFonts w:cs="Arial" w:ascii="Arial" w:hAnsi="Arial"/>
        </w:rPr>
        <w:t>Capacity, option or fuel tolling agreements with power marketers; and/or</w:t>
      </w:r>
    </w:p>
    <w:p>
      <w:pPr>
        <w:pStyle w:val="Normal"/>
        <w:numPr>
          <w:ilvl w:val="0"/>
          <w:numId w:val="11"/>
        </w:numPr>
        <w:rPr>
          <w:rFonts w:ascii="Arial" w:hAnsi="Arial" w:cs="Arial"/>
        </w:rPr>
      </w:pPr>
      <w:r>
        <w:rPr>
          <w:rFonts w:cs="Arial" w:ascii="Arial" w:hAnsi="Arial"/>
        </w:rPr>
        <w:t>Sales of ancillary services to the ISO including sale of reserves, voltage support and black start capability; and/or</w:t>
      </w:r>
    </w:p>
    <w:p>
      <w:pPr>
        <w:pStyle w:val="Normal"/>
        <w:numPr>
          <w:ilvl w:val="0"/>
          <w:numId w:val="11"/>
        </w:numPr>
        <w:rPr>
          <w:rFonts w:ascii="Arial" w:hAnsi="Arial" w:cs="Arial"/>
        </w:rPr>
      </w:pPr>
      <w:r>
        <w:rPr>
          <w:rFonts w:cs="Arial" w:ascii="Arial" w:hAnsi="Arial"/>
        </w:rPr>
        <w:t>Must-run and other local reliability services with the ISO</w:t>
      </w:r>
    </w:p>
    <w:p>
      <w:pPr>
        <w:pStyle w:val="Normal"/>
        <w:rPr>
          <w:rFonts w:ascii="Arial" w:hAnsi="Arial" w:cs="Arial"/>
          <w:b/>
        </w:rPr>
      </w:pPr>
      <w:r>
        <w:rPr>
          <w:rFonts w:cs="Arial" w:ascii="Arial" w:hAnsi="Arial"/>
          <w:b/>
        </w:rPr>
        <w:t>Resources</w:t>
      </w:r>
    </w:p>
    <w:p>
      <w:pPr>
        <w:pStyle w:val="Normal"/>
        <w:rPr>
          <w:rFonts w:ascii="Arial" w:hAnsi="Arial" w:cs="Arial"/>
        </w:rPr>
      </w:pPr>
      <w:r>
        <w:rPr>
          <w:rFonts w:cs="Arial" w:ascii="Arial" w:hAnsi="Arial"/>
        </w:rPr>
        <w:t>Nevada relies on a mix of all major types of energy resources except nuclear power. It depends most heavily on fuel oil, coal, and natural gas, but also draws on hydroelectricity and other renewable forms of energy. Coal supplies 70 percent of Nevada’s electric utility output, natural gas 20 percent, and hydroelectric power 9 percent. Nevada’s average use of energy per person is close to the national average: 359 million Btu per person in Nevada versus 352 million Btu per person for the entire country.</w:t>
      </w:r>
    </w:p>
    <w:p>
      <w:pPr>
        <w:pStyle w:val="Normal"/>
        <w:rPr>
          <w:rFonts w:ascii="Arial" w:hAnsi="Arial" w:cs="Arial"/>
        </w:rPr>
      </w:pPr>
      <w:r>
        <w:rPr>
          <w:rFonts w:cs="Arial" w:ascii="Arial" w:hAnsi="Arial"/>
        </w:rPr>
        <w:t>The California region contains a variety of generation resources including fossil, nuclear, hydroelectric, geothermal, cogeneration and renewable resources. Total production for the region of 211,655 GWhs was substantially below consumption due to a heavy reliance upon net imports to serve the California market. According to the CEC, California imported 51,185 GWhs of electric energy in 1997.</w:t>
      </w:r>
    </w:p>
    <w:p>
      <w:pPr>
        <w:pStyle w:val="Normal"/>
        <w:rPr/>
      </w:pPr>
      <w:r>
        <w:rPr>
          <w:rFonts w:cs="Arial" w:ascii="Arial" w:hAnsi="Arial"/>
        </w:rPr>
        <w:t>The large level of reliance placed by California on energy imports supports the California Energy Commission (“CEC”) determination, made in it’s ER-96 Report, that there is currently a “</w:t>
      </w:r>
      <w:r>
        <w:rPr>
          <w:rFonts w:cs="Arial" w:ascii="Arial" w:hAnsi="Arial"/>
          <w:i/>
        </w:rPr>
        <w:t>shortfall of energy supply to meet the reliability requirements of the California market</w:t>
      </w:r>
      <w:r>
        <w:rPr>
          <w:rFonts w:cs="Arial" w:ascii="Arial" w:hAnsi="Arial"/>
        </w:rPr>
        <w:t>.”</w:t>
      </w:r>
    </w:p>
    <w:p>
      <w:pPr>
        <w:pStyle w:val="Normal"/>
        <w:rPr>
          <w:rFonts w:ascii="Arial" w:hAnsi="Arial" w:cs="Arial"/>
          <w:b/>
        </w:rPr>
      </w:pPr>
      <w:r>
        <w:rPr>
          <w:rFonts w:cs="Arial" w:ascii="Arial" w:hAnsi="Arial"/>
          <w:b/>
        </w:rPr>
        <w:t>California Power Exchange (“PX”)</w:t>
      </w:r>
    </w:p>
    <w:p>
      <w:pPr>
        <w:pStyle w:val="Normal"/>
        <w:rPr>
          <w:rFonts w:ascii="Arial" w:hAnsi="Arial" w:cs="Arial"/>
        </w:rPr>
      </w:pPr>
      <w:r>
        <w:rPr>
          <w:rFonts w:cs="Arial" w:ascii="Arial" w:hAnsi="Arial"/>
        </w:rPr>
        <w:t>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w:t>
      </w:r>
    </w:p>
    <w:p>
      <w:pPr>
        <w:pStyle w:val="Normal"/>
        <w:rPr>
          <w:rFonts w:ascii="Arial" w:hAnsi="Arial" w:cs="Arial"/>
        </w:rPr>
      </w:pPr>
      <w:r>
        <w:rPr>
          <w:rFonts w:cs="Arial" w:ascii="Arial" w:hAnsi="Arial"/>
        </w:rPr>
        <w:t>Through 2001, PG&amp;E, SCE and SDG&amp;E must bid their non-nuclear generation into the PX and obtain electricity from the PX to serve their load.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 More than 80% by volume of all California electricity transactions are conducted through the PX</w:t>
      </w:r>
    </w:p>
    <w:p>
      <w:pPr>
        <w:pStyle w:val="Normal"/>
        <w:rPr>
          <w:rFonts w:ascii="Arial" w:hAnsi="Arial" w:cs="Arial"/>
          <w:b/>
        </w:rPr>
      </w:pPr>
      <w:r>
        <w:rPr>
          <w:rFonts w:cs="Arial" w:ascii="Arial" w:hAnsi="Arial"/>
          <w:b/>
        </w:rPr>
        <w:t>Independent System Operator (“ISO”)</w:t>
      </w:r>
    </w:p>
    <w:p>
      <w:pPr>
        <w:pStyle w:val="Normal"/>
        <w:rPr>
          <w:rFonts w:ascii="Arial" w:hAnsi="Arial" w:cs="Arial"/>
        </w:rPr>
      </w:pPr>
      <w:r>
        <w:rPr>
          <w:rFonts w:cs="Arial" w:ascii="Arial" w:hAnsi="Arial"/>
        </w:rPr>
        <w:t>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w:t>
      </w:r>
    </w:p>
    <w:p>
      <w:pPr>
        <w:pStyle w:val="Normal"/>
        <w:rPr>
          <w:rFonts w:ascii="Arial" w:hAnsi="Arial" w:cs="Arial"/>
        </w:rPr>
      </w:pPr>
      <w:r>
        <w:rPr>
          <w:rFonts w:cs="Arial" w:ascii="Arial" w:hAnsi="Arial"/>
        </w:rPr>
        <w:t xml:space="preserve">The California ISO assumed operational control of the transmission grid of the three California investor-owned utilities on March 31, 1998. The CISO is responsible for several functions including: providing nondiscriminatory, open access to the transmission grid; controlling dispatch and maintaining reliability of the transmission grid; procuring and providing ancillary services; coordinating day-ahead and hour-ahead power scheduling and real-time power balancing; performing settlement function for unscheduled transactions and ancillary services; administering congestion management protocols; and billing. </w:t>
      </w:r>
    </w:p>
    <w:p>
      <w:pPr>
        <w:pStyle w:val="Normal"/>
        <w:rPr>
          <w:rFonts w:ascii="Arial" w:hAnsi="Arial" w:cs="Arial"/>
        </w:rPr>
      </w:pPr>
      <w:r>
        <w:rPr>
          <w:rFonts w:cs="Arial" w:ascii="Arial" w:hAnsi="Arial"/>
        </w:rPr>
        <w:t>The overall electric utility industry restructuring has also seen the utilities in the Southwest investigating the feasibility of an ISO to be called Desert STAR (Desert Southwest Transmission and Reliability Operator). The main goals of Desert STAR are to provide electrical system security and reliability in accordance with WSCC and NERC policies and to provide nondiscriminatory open access to the transmission system. The Desert STAR initial feasibility evaluation was completed in September 1997. A development agreement has been entered into by more than 30 entities to further define the role and responsibilities of the proposed ISO. ENA expects that, as Nevada restructuring accelerates and becomes more closely joined to the markets in southern California, all or part of Desert STAR will be merged with the California ISO.</w:t>
      </w:r>
    </w:p>
    <w:p>
      <w:pPr>
        <w:pStyle w:val="Normal"/>
        <w:rPr>
          <w:rFonts w:ascii="Arial" w:hAnsi="Arial" w:cs="Arial"/>
          <w:b/>
        </w:rPr>
      </w:pPr>
      <w:r>
        <w:rPr>
          <w:rFonts w:cs="Arial" w:ascii="Arial" w:hAnsi="Arial"/>
          <w:b/>
        </w:rPr>
        <w:t>Fixed Transmission into California</w:t>
      </w:r>
    </w:p>
    <w:p>
      <w:pPr>
        <w:pStyle w:val="Normal"/>
        <w:rPr>
          <w:rFonts w:ascii="Arial" w:hAnsi="Arial" w:cs="Arial"/>
        </w:rPr>
      </w:pPr>
      <w:r>
        <w:rPr>
          <w:rFonts w:cs="Arial" w:ascii="Arial" w:hAnsi="Arial"/>
        </w:rPr>
        <w:t>As illustrated below, the transmission capacity supporting the importing of power into California from other WSCC load/transmission zones, including Nevada, is currently rated at 20,116 MW. However, operating practices and simultaneous constraints currently limit the simultaneous import capability to California to substantially less than the rated 20,116 MW.</w:t>
      </w:r>
    </w:p>
    <w:p>
      <w:pPr>
        <w:pStyle w:val="Normal"/>
        <w:rPr>
          <w:rFonts w:ascii="Arial" w:hAnsi="Arial" w:cs="Arial"/>
          <w:b/>
          <w:smallCaps/>
          <w:sz w:val="20"/>
        </w:rPr>
      </w:pPr>
      <w:r>
        <w:rPr>
          <w:rFonts w:cs="Arial" w:ascii="Arial" w:hAnsi="Arial"/>
          <w:b/>
          <w:smallCaps/>
          <w:sz w:val="20"/>
        </w:rPr>
        <w:t>Transmission Capacity into California (MW)</w:t>
      </w:r>
    </w:p>
    <w:p>
      <w:pPr>
        <w:pStyle w:val="ExcelChart"/>
        <w:spacing w:before="0" w:after="240"/>
        <w:ind w:start="360" w:end="0"/>
        <w:jc w:val="both"/>
        <w:rPr/>
      </w:pPr>
      <w:r>
        <w:fldChar w:fldCharType="begin"/>
      </w:r>
      <w:r>
        <w:rPr>
          <w:rFonts w:cs="Arial" w:ascii="Arial" w:hAnsi="Arial"/>
        </w:rPr>
        <w:instrText xml:space="preserve"> QUOTE </w:instrText>
      </w:r>
      <w:r>
        <w:rPr>
          <w:rFonts w:cs="Arial" w:ascii="Arial" w:hAnsi="Arial"/>
        </w:rPr>
      </w:r>
      <w:r>
        <w:rPr>
          <w:rFonts w:cs="Arial" w:ascii="Arial" w:hAnsi="Arial"/>
        </w:rPr>
        <w:fldChar w:fldCharType="separate"/>
      </w:r>
      <w:r>
        <w:rPr>
          <w:rFonts w:cs="Arial" w:ascii="Arial" w:hAnsi="Arial"/>
        </w:rPr>
      </w:r>
      <w:r>
        <w:rPr>
          <w:rFonts w:cs="Arial" w:ascii="Arial" w:hAnsi="Arial"/>
        </w:rPr>
        <w:drawing>
          <wp:inline distT="0" distB="0" distL="0" distR="0">
            <wp:extent cx="5537835" cy="205486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21"/>
                    <a:srcRect l="9105" t="19584" r="2852" b="16611"/>
                    <a:stretch>
                      <a:fillRect/>
                    </a:stretch>
                  </pic:blipFill>
                  <pic:spPr bwMode="auto">
                    <a:xfrm>
                      <a:off x="0" y="0"/>
                      <a:ext cx="5537835" cy="2054860"/>
                    </a:xfrm>
                    <a:prstGeom prst="rect">
                      <a:avLst/>
                    </a:prstGeom>
                    <a:noFill/>
                  </pic:spPr>
                </pic:pic>
              </a:graphicData>
            </a:graphic>
          </wp:inline>
        </w:drawing>
      </w:r>
      <w:r>
        <w:rPr>
          <w:rFonts w:cs="Arial" w:ascii="Arial" w:hAnsi="Arial"/>
        </w:rPr>
      </w:r>
      <w:r>
        <w:rPr>
          <w:rFonts w:cs="Arial" w:ascii="Arial" w:hAnsi="Arial"/>
        </w:rPr>
        <w:fldChar w:fldCharType="end"/>
      </w:r>
      <w:r>
        <w:rPr>
          <w:rFonts w:cs="Arial" w:ascii="Arial" w:hAnsi="Arial"/>
          <w:sz w:val="18"/>
        </w:rPr>
        <w:t>Source: Western Systems Coordinating Council</w:t>
      </w:r>
    </w:p>
    <w:p>
      <w:pPr>
        <w:pStyle w:val="Normal"/>
        <w:rPr>
          <w:rFonts w:ascii="Arial" w:hAnsi="Arial" w:cs="Arial"/>
        </w:rPr>
      </w:pPr>
      <w:r>
        <w:rPr>
          <w:rFonts w:cs="Arial" w:ascii="Arial" w:hAnsi="Arial"/>
        </w:rPr>
        <w:t>Currently, the majority of imports into California originate from the West of River (WOR/EPR) system, which includes southern Nevada.</w:t>
      </w:r>
    </w:p>
    <w:p>
      <w:pPr>
        <w:pStyle w:val="Normal"/>
        <w:rPr>
          <w:rFonts w:ascii="Arial" w:hAnsi="Arial" w:cs="Arial"/>
        </w:rPr>
      </w:pPr>
      <w:r>
        <w:rPr>
          <w:rFonts w:cs="Arial" w:ascii="Arial" w:hAnsi="Arial"/>
        </w:rPr>
        <w:t>These transmission constraints severely limit the ability of imports to satisfy current and projected supply shortfalls.</w:t>
      </w:r>
    </w:p>
    <w:p>
      <w:pPr>
        <w:pStyle w:val="TOC1"/>
        <w:numPr>
          <w:ilvl w:val="0"/>
          <w:numId w:val="0"/>
        </w:numPr>
        <w:ind w:hanging="0" w:start="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r>
    </w:p>
    <w:sectPr>
      <w:headerReference w:type="default" r:id="rId22"/>
      <w:headerReference w:type="first" r:id="rId23"/>
      <w:footerReference w:type="default" r:id="rId24"/>
      <w:footerReference w:type="first" r:id="rId25"/>
      <w:footnotePr>
        <w:numFmt w:val="decimal"/>
        <w:numRestart w:val="eachPage"/>
      </w:footnotePr>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NewspaperPi BT">
    <w:altName w:val="Symbol"/>
    <w:charset w:val="02"/>
    <w:family w:val="roman"/>
    <w:pitch w:val="variable"/>
  </w:font>
  <w:font w:name="Wingdings 3">
    <w:altName w:val="Symbol"/>
    <w:charset w:val="02"/>
    <w:family w:val="roman"/>
    <w:pitch w:val="variable"/>
  </w:font>
  <w:font w:name="Monotype Sorts">
    <w:charset w:val="02"/>
    <w:family w:val="auto"/>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charset w:val="00" w:characterSet="windows-1252"/>
    <w:family w:val="roman"/>
    <w:pitch w:val="variable"/>
  </w:font>
  <w:font w:name="Courier">
    <w:altName w:val="Courier New"/>
    <w:charset w:val="00" w:characterSet="windows-1252"/>
    <w:family w:val="modern"/>
    <w:pitch w:val="default"/>
  </w:font>
  <w:font w:name="New Baskervill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0"/>
      <w:ind w:end="360"/>
      <w:rPr/>
    </w:pPr>
    <w:r>
      <w:rPr/>
      <w:tab/>
    </w:r>
    <w:r>
      <w:rPr>
        <w:i/>
        <w:sz w:val="16"/>
      </w:rPr>
      <w:tab/>
      <w:t>Table of Contents</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56515" cy="294640"/>
              <wp:effectExtent l="0" t="0" r="0" b="0"/>
              <wp:wrapSquare wrapText="bothSides"/>
              <wp:docPr id="5" name="Frame4"/>
              <a:graphic xmlns:a="http://schemas.openxmlformats.org/drawingml/2006/main">
                <a:graphicData uri="http://schemas.microsoft.com/office/word/2010/wordprocessingShape">
                  <wps:wsp>
                    <wps:cNvSpPr txBox="1"/>
                    <wps:spPr>
                      <a:xfrm>
                        <a:off x="0" y="0"/>
                        <a:ext cx="56515" cy="294640"/>
                      </a:xfrm>
                      <a:prstGeom prst="rect"/>
                      <a:solidFill>
                        <a:srgbClr val="FFFFFF">
                          <a:alpha val="0"/>
                        </a:srgbClr>
                      </a:solidFill>
                    </wps:spPr>
                    <wps:txbx>
                      <w:txbxContent>
                        <w:p>
                          <w:pPr>
                            <w:pStyle w:val="Footer"/>
                            <w:widowControl/>
                            <w:bidi w:val="0"/>
                            <w:spacing w:before="280" w:after="0"/>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ii</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23.2pt;mso-wrap-distance-left:0pt;mso-wrap-distance-right:0pt;mso-wrap-distance-top:0pt;mso-wrap-distance-bottom:0pt;margin-top:0.05pt;mso-position-vertical-relative:text;margin-left:452.75pt;mso-position-horizontal:right;mso-position-horizontal-relative:margin">
              <v:fill opacity="0f"/>
              <v:textbox inset="0in,0in,0in,0in">
                <w:txbxContent>
                  <w:p>
                    <w:pPr>
                      <w:pStyle w:val="Footer"/>
                      <w:widowControl/>
                      <w:bidi w:val="0"/>
                      <w:spacing w:before="280" w:after="0"/>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ii</w:t>
                    </w:r>
                    <w:r>
                      <w:rPr>
                        <w:rStyle w:val="PageNumber"/>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31</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spacing w:before="0" w:after="0"/>
        <w:rPr/>
      </w:pPr>
      <w:r>
        <w:rPr>
          <w:rStyle w:val="FootnoteCharacters"/>
        </w:rPr>
        <w:t>1</w:t>
      </w:r>
      <w:r>
        <w:rPr/>
        <w:t xml:space="preserve"> </w:t>
      </w:r>
      <w:r>
        <w:rPr/>
        <w:t>The Kern River agreement may be extended for successive 1-year periods, at Duke Fuels’ option.</w:t>
      </w:r>
    </w:p>
  </w:footnote>
  <w:footnote w:id="3">
    <w:p>
      <w:pPr>
        <w:pStyle w:val="Header"/>
        <w:spacing w:before="0" w:after="0"/>
        <w:jc w:val="both"/>
        <w:rPr/>
      </w:pPr>
      <w:r>
        <w:rPr>
          <w:rStyle w:val="FootnoteCharacters"/>
        </w:rPr>
        <w:t>2</w:t>
      </w:r>
      <w:r>
        <w:rPr>
          <w:rStyle w:val="FootnoteCharacters"/>
          <w:smallCaps/>
        </w:rPr>
        <w:t xml:space="preserve"> </w:t>
      </w:r>
      <w:r>
        <w:rPr>
          <w:rStyle w:val="FootnoteCharacters"/>
          <w:smallCaps/>
        </w:rPr>
        <w:t>The Southwest Gas agreement is</w:t>
      </w:r>
      <w:r>
        <w:rPr>
          <w:sz w:val="16"/>
        </w:rPr>
        <w:t xml:space="preserve"> </w:t>
      </w:r>
      <w:r>
        <w:rPr>
          <w:rStyle w:val="FootnoteCharacters"/>
          <w:smallCaps/>
        </w:rPr>
        <w:t>deemed extended annually after August 2011 unless terminated by either party</w:t>
      </w:r>
    </w:p>
    <w:p>
      <w:pPr>
        <w:pStyle w:val="FootnoteText1"/>
        <w:spacing w:before="0" w:after="30"/>
        <w:ind w:hanging="288" w:start="288" w:end="0"/>
        <w:jc w:val="start"/>
        <w:rPr>
          <w:rStyle w:val="FootnoteCharacters"/>
          <w:smallCaps/>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9">
              <wp:simplePos x="0" y="0"/>
              <wp:positionH relativeFrom="page">
                <wp:posOffset>457835</wp:posOffset>
              </wp:positionH>
              <wp:positionV relativeFrom="page">
                <wp:posOffset>823595</wp:posOffset>
              </wp:positionV>
              <wp:extent cx="457200" cy="5486400"/>
              <wp:effectExtent l="0" t="0" r="0" b="0"/>
              <wp:wrapSquare wrapText="bothSides"/>
              <wp:docPr id="2" name="Frame2"/>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spacing w:before="0" w:after="240"/>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8">
              <wp:simplePos x="0" y="0"/>
              <wp:positionH relativeFrom="page">
                <wp:posOffset>457835</wp:posOffset>
              </wp:positionH>
              <wp:positionV relativeFrom="page">
                <wp:posOffset>823595</wp:posOffset>
              </wp:positionV>
              <wp:extent cx="457200" cy="5486400"/>
              <wp:effectExtent l="0" t="0" r="0" b="0"/>
              <wp:wrapSquare wrapText="bothSides"/>
              <wp:docPr id="3" name="Frame1"/>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46">
              <wp:simplePos x="0" y="0"/>
              <wp:positionH relativeFrom="page">
                <wp:posOffset>457835</wp:posOffset>
              </wp:positionH>
              <wp:positionV relativeFrom="page">
                <wp:posOffset>823595</wp:posOffset>
              </wp:positionV>
              <wp:extent cx="457200" cy="5486400"/>
              <wp:effectExtent l="0" t="0" r="0" b="0"/>
              <wp:wrapSquare wrapText="bothSides"/>
              <wp:docPr id="4"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42">
              <wp:simplePos x="0" y="0"/>
              <wp:positionH relativeFrom="page">
                <wp:posOffset>457835</wp:posOffset>
              </wp:positionH>
              <wp:positionV relativeFrom="page">
                <wp:posOffset>823595</wp:posOffset>
              </wp:positionV>
              <wp:extent cx="457200" cy="5486400"/>
              <wp:effectExtent l="0" t="0" r="0" b="0"/>
              <wp:wrapSquare wrapText="bothSides"/>
              <wp:docPr id="11" name="Frame7"/>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12">
              <wp:simplePos x="0" y="0"/>
              <wp:positionH relativeFrom="page">
                <wp:posOffset>457835</wp:posOffset>
              </wp:positionH>
              <wp:positionV relativeFrom="page">
                <wp:posOffset>823595</wp:posOffset>
              </wp:positionV>
              <wp:extent cx="457200" cy="5486400"/>
              <wp:effectExtent l="0" t="0" r="0" b="0"/>
              <wp:wrapSquare wrapText="bothSides"/>
              <wp:docPr id="12"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52"/>
        </w:tabs>
        <w:ind w:start="1008" w:hanging="216"/>
      </w:pPr>
      <w:rPr>
        <w:rFonts w:ascii="Times New Roman" w:hAnsi="Times New Roman" w:cs="Times New Roman" w:hint="default"/>
        <w:position w:val="-2"/>
        <w:sz w:val="24"/>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008"/>
        </w:tabs>
        <w:ind w:start="1008" w:hanging="691"/>
      </w:pPr>
      <w:rPr>
        <w:rFonts w:ascii="NewspaperPi BT" w:hAnsi="NewspaperPi BT" w:cs="NewspaperPi BT" w:hint="default"/>
        <w:vertAlign w:val="baseline"/>
        <w:position w:val="0"/>
        <w:sz w:val="20"/>
        <w:sz w:val="20"/>
        <w:i w:val="false"/>
        <w:b w:val="false"/>
        <w:kern w:val="0"/>
      </w:rPr>
    </w:lvl>
  </w:abstractNum>
  <w:abstractNum w:abstractNumId="5">
    <w:lvl w:ilvl="0">
      <w:start w:val="1"/>
      <w:numFmt w:val="bullet"/>
      <w:lvlText w:val="•"/>
      <w:lvlJc w:val="start"/>
      <w:pPr>
        <w:tabs>
          <w:tab w:val="num" w:pos="1152"/>
        </w:tabs>
        <w:ind w:start="1008" w:hanging="216"/>
      </w:pPr>
      <w:rPr>
        <w:rFonts w:ascii="Times New Roman" w:hAnsi="Times New Roman" w:cs="Times New Roman" w:hint="default"/>
        <w:sz w:val="24"/>
        <w:i w:val="false"/>
        <w:b w:val="false"/>
        <w:color w:val="auto"/>
      </w:rPr>
    </w:lvl>
  </w:abstractNum>
  <w:abstractNum w:abstractNumId="6">
    <w:lvl w:ilvl="0">
      <w:start w:val="1"/>
      <w:numFmt w:val="bullet"/>
      <w:lvlText w:val=""/>
      <w:lvlJc w:val="start"/>
      <w:pPr>
        <w:tabs>
          <w:tab w:val="num" w:pos="835"/>
        </w:tabs>
        <w:ind w:start="792" w:hanging="317"/>
      </w:pPr>
      <w:rPr>
        <w:rFonts w:ascii="Symbol" w:hAnsi="Symbol" w:cs="Symbol" w:hint="default"/>
        <w:sz w:val="20"/>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lvl>
  </w:abstractNum>
  <w:abstractNum w:abstractNumId="9">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5">
    <w:lvl w:ilvl="0">
      <w:start w:val="1"/>
      <w:numFmt w:val="bullet"/>
      <w:lvlText w:val=""/>
      <w:lvlJc w:val="start"/>
      <w:pPr>
        <w:tabs>
          <w:tab w:val="num" w:pos="360"/>
        </w:tabs>
        <w:ind w:start="317" w:hanging="317"/>
      </w:pPr>
      <w:rPr>
        <w:rFonts w:ascii="Monotype Sorts" w:hAnsi="Monotype Sorts" w:cs="Monotype Sorts" w:hint="default"/>
        <w:vertAlign w:val="baseline"/>
        <w:position w:val="0"/>
        <w:sz w:val="22"/>
        <w:sz w:val="22"/>
        <w:i w:val="false"/>
        <w:b w:val="false"/>
        <w:color w:val="008000"/>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720"/>
        </w:tabs>
        <w:ind w:start="144" w:firstLine="216"/>
      </w:pPr>
      <w:rPr>
        <w:rFonts w:ascii="Monotype Sorts" w:hAnsi="Monotype Sorts" w:cs="Monotype Sorts" w:hint="default"/>
        <w:vertAlign w:val="baseline"/>
        <w:position w:val="0"/>
        <w:sz w:val="22"/>
        <w:sz w:val="22"/>
        <w:i w:val="false"/>
        <w:b w:val="false"/>
        <w:kern w:val="0"/>
        <w:color w:val="800000"/>
      </w:rPr>
    </w:lvl>
  </w:abstractNum>
  <w:abstractNum w:abstractNumId="18">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9">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20">
    <w:lvl w:ilvl="0">
      <w:start w:val="1"/>
      <w:numFmt w:val="bullet"/>
      <w:lvlText w:val=""/>
      <w:lvlJc w:val="start"/>
      <w:pPr>
        <w:tabs>
          <w:tab w:val="num" w:pos="979"/>
        </w:tabs>
        <w:ind w:start="792" w:hanging="173"/>
      </w:pPr>
      <w:rPr>
        <w:rFonts w:ascii="Symbol" w:hAnsi="Symbol" w:cs="Symbol" w:hint="default"/>
        <w:sz w:val="20"/>
        <w:i w:val="false"/>
        <w:b w:val="false"/>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9"/>
  <w:autoHyphenation w:val="true"/>
  <w:hyphenationZone w:val="0"/>
  <w:footnotePr>
    <w:numFmt w:val="decimal"/>
    <w:numRestart w:val="eachPage"/>
    <w:footnote w:id="0"/>
    <w:footnote w:id="1"/>
  </w:footnotePr>
  <w:compat>
    <w:doNotExpandShiftReturn/>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1z0">
    <w:name w:val="WW8Num1z0"/>
    <w:qFormat/>
    <w:rPr>
      <w:rFonts w:ascii="Symbol" w:hAnsi="Symbol" w:cs="Symbol"/>
    </w:rPr>
  </w:style>
  <w:style w:type="character" w:styleId="WW8Num4z0">
    <w:name w:val="WW8Num4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Times New Roman" w:hAnsi="Times New Roman" w:cs="Times New Roman"/>
      <w:b w:val="false"/>
      <w:i w:val="false"/>
      <w:color w:val="auto"/>
      <w:sz w:val="24"/>
      <w:vertAlign w:val="subscript"/>
    </w:rPr>
  </w:style>
  <w:style w:type="character" w:styleId="WW8Num20z0">
    <w:name w:val="WW8Num20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3z0">
    <w:name w:val="WW8Num43z0"/>
    <w:qFormat/>
    <w:rPr>
      <w:rFonts w:ascii="Symbol" w:hAnsi="Symbol" w:cs="Symbol"/>
      <w:b w:val="false"/>
      <w:i w:val="false"/>
      <w:sz w:val="20"/>
    </w:rPr>
  </w:style>
  <w:style w:type="character" w:styleId="WW8Num44z0">
    <w:name w:val="WW8Num44z0"/>
    <w:qFormat/>
    <w:rPr>
      <w:rFonts w:ascii="Symbol" w:hAnsi="Symbol" w:cs="Symbol"/>
    </w:rPr>
  </w:style>
  <w:style w:type="character" w:styleId="WW8Num45z0">
    <w:name w:val="WW8Num45z0"/>
    <w:qFormat/>
    <w:rPr>
      <w:rFonts w:ascii="NewspaperPi BT;Symbol" w:hAnsi="NewspaperPi BT;Symbol" w:cs="NewspaperPi BT;Symbol"/>
      <w:b w:val="false"/>
      <w:i w:val="false"/>
      <w:kern w:val="0"/>
      <w:position w:val="0"/>
      <w:sz w:val="20"/>
      <w:sz w:val="20"/>
      <w:vertAlign w:val="baseline"/>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Times New Roman" w:hAnsi="Times New Roman" w:cs="Times New Roman"/>
      <w:b w:val="false"/>
      <w:i w:val="false"/>
      <w:color w:val="auto"/>
      <w:sz w:val="24"/>
    </w:rPr>
  </w:style>
  <w:style w:type="character" w:styleId="WW8Num59z0">
    <w:name w:val="WW8Num59z0"/>
    <w:qFormat/>
    <w:rPr>
      <w:rFonts w:ascii="NewspaperPi BT;Symbol" w:hAnsi="NewspaperPi BT;Symbol" w:cs="NewspaperPi BT;Symbol"/>
      <w:b w:val="false"/>
      <w:i w:val="false"/>
      <w:sz w:val="18"/>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5z0">
    <w:name w:val="WW8Num75z0"/>
    <w:qFormat/>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Wingdings 3;Symbol" w:hAnsi="Wingdings 3;Symbol" w:cs="Wingdings 3;Symbol"/>
      <w:b w:val="false"/>
      <w:i w:val="false"/>
      <w:sz w:val="24"/>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Times New Roman" w:hAnsi="Times New Roman" w:cs="Times New Roman"/>
      <w:b/>
      <w:i w:val="false"/>
      <w:sz w:val="28"/>
    </w:rPr>
  </w:style>
  <w:style w:type="character" w:styleId="WW8Num91z1">
    <w:name w:val="WW8Num91z1"/>
    <w:qFormat/>
    <w:rPr>
      <w:rFonts w:ascii="Times New Roman" w:hAnsi="Times New Roman" w:cs="Times New Roman"/>
      <w:b/>
      <w:i w:val="false"/>
      <w:sz w:val="24"/>
    </w:rPr>
  </w:style>
  <w:style w:type="character" w:styleId="WW8Num91z3">
    <w:name w:val="WW8Num91z3"/>
    <w:qFormat/>
    <w:rPr>
      <w:rFonts w:ascii="Times New Roman" w:hAnsi="Times New Roman" w:cs="Times New Roman"/>
      <w:b w:val="false"/>
      <w:i/>
      <w:sz w:val="24"/>
    </w:rPr>
  </w:style>
  <w:style w:type="character" w:styleId="WW8Num91z4">
    <w:name w:val="WW8Num91z4"/>
    <w:qFormat/>
    <w:rPr>
      <w:rFonts w:ascii="Times New Roman" w:hAnsi="Times New Roman" w:cs="Times New Roman"/>
      <w:b w:val="false"/>
      <w:i w:val="false"/>
      <w:sz w:val="22"/>
    </w:rPr>
  </w:style>
  <w:style w:type="character" w:styleId="WW8Num91z5">
    <w:name w:val="WW8Num91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91z6">
    <w:name w:val="WW8Num91z6"/>
    <w:qFormat/>
    <w:rPr>
      <w:rFonts w:ascii="Wingdings" w:hAnsi="Wingdings" w:cs="Wingdings"/>
      <w:b w:val="false"/>
      <w:i w:val="false"/>
      <w:caps w:val="false"/>
      <w:smallCaps w:val="false"/>
      <w:strike w:val="false"/>
      <w:dstrike w:val="false"/>
      <w:shadow w:val="false"/>
      <w:vanish w:val="false"/>
      <w:position w:val="0"/>
      <w:sz w:val="22"/>
      <w:sz w:val="22"/>
      <w:vertAlign w:val="baseline"/>
    </w:rPr>
  </w:style>
  <w:style w:type="character" w:styleId="WW8Num92z0">
    <w:name w:val="WW8Num92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101z1">
    <w:name w:val="WW8Num101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101z3">
    <w:name w:val="WW8Num101z3"/>
    <w:qFormat/>
    <w:rPr>
      <w:rFonts w:ascii="Times New Roman" w:hAnsi="Times New Roman" w:cs="Times New Roman"/>
      <w:b/>
      <w:i/>
      <w:caps w:val="false"/>
      <w:smallCaps w:val="false"/>
      <w:strike w:val="false"/>
      <w:dstrike w:val="false"/>
      <w:outline w:val="false"/>
      <w:shadow w:val="false"/>
      <w:vanish w:val="false"/>
      <w:color w:val="auto"/>
      <w:position w:val="0"/>
      <w:sz w:val="24"/>
      <w:sz w:val="24"/>
      <w:vertAlign w:val="baseline"/>
    </w:rPr>
  </w:style>
  <w:style w:type="character" w:styleId="WW8Num101z4">
    <w:name w:val="WW8Num101z4"/>
    <w:qFormat/>
    <w:rPr>
      <w:b w:val="false"/>
      <w:i w:val="false"/>
      <w:sz w:val="22"/>
    </w:rPr>
  </w:style>
  <w:style w:type="character" w:styleId="WW8Num101z5">
    <w:name w:val="WW8Num101z5"/>
    <w:qFormat/>
    <w:rPr>
      <w:b w:val="false"/>
      <w:i/>
      <w:caps w:val="false"/>
      <w:smallCaps w:val="false"/>
      <w:strike w:val="false"/>
      <w:dstrike w:val="false"/>
      <w:shadow w:val="false"/>
      <w:vanish w:val="false"/>
      <w:color w:val="auto"/>
      <w:position w:val="0"/>
      <w:sz w:val="22"/>
      <w:sz w:val="22"/>
      <w:vertAlign w:val="baselin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b/>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3z0">
    <w:name w:val="WW8Num113z0"/>
    <w:qFormat/>
    <w:rPr>
      <w:rFonts w:ascii="Symbol" w:hAnsi="Symbol" w:cs="Symbol"/>
      <w:color w:val="auto"/>
      <w:sz w:val="28"/>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b w:val="false"/>
      <w:i w:val="false"/>
      <w:sz w:val="20"/>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style>
  <w:style w:type="character" w:styleId="WW8Num131z0">
    <w:name w:val="WW8Num131z0"/>
    <w:qFormat/>
    <w:rPr>
      <w:rFonts w:ascii="Wingdings 3;Symbol" w:hAnsi="Wingdings 3;Symbol" w:cs="Wingdings 3;Symbol"/>
      <w:b w:val="false"/>
      <w:i w:val="false"/>
      <w:sz w:val="32"/>
      <w:vertAlign w:val="subscript"/>
    </w:rPr>
  </w:style>
  <w:style w:type="character" w:styleId="WW8Num132z0">
    <w:name w:val="WW8Num132z0"/>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Times New Roman" w:hAnsi="Times New Roman" w:cs="Times New Roman"/>
      <w:b w:val="false"/>
      <w:i w:val="false"/>
      <w:color w:val="auto"/>
      <w:sz w:val="24"/>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NewspaperPi BT;Symbol" w:hAnsi="NewspaperPi BT;Symbol" w:cs="NewspaperPi BT;Symbol"/>
      <w:b w:val="false"/>
      <w:i w:val="false"/>
      <w:sz w:val="18"/>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NewspaperPi BT;Symbol" w:hAnsi="NewspaperPi BT;Symbol" w:cs="NewspaperPi BT;Symbol"/>
      <w:b w:val="false"/>
      <w:i w:val="false"/>
      <w:sz w:val="18"/>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Wingdings" w:hAnsi="Wingdings" w:cs="Wingdings"/>
      <w:sz w:val="20"/>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style>
  <w:style w:type="character" w:styleId="WW8Num179z0">
    <w:name w:val="WW8Num179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b w:val="false"/>
      <w:i w:val="false"/>
      <w:sz w:val="20"/>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Times New Roman" w:hAnsi="Times New Roman" w:cs="Times New Roman"/>
      <w:b/>
      <w:i w:val="false"/>
      <w:sz w:val="28"/>
    </w:rPr>
  </w:style>
  <w:style w:type="character" w:styleId="WW8Num187z1">
    <w:name w:val="WW8Num187z1"/>
    <w:qFormat/>
    <w:rPr>
      <w:rFonts w:ascii="Times New Roman" w:hAnsi="Times New Roman" w:cs="Times New Roman"/>
      <w:b/>
      <w:i w:val="false"/>
      <w:sz w:val="24"/>
    </w:rPr>
  </w:style>
  <w:style w:type="character" w:styleId="WW8Num187z3">
    <w:name w:val="WW8Num187z3"/>
    <w:qFormat/>
    <w:rPr>
      <w:rFonts w:ascii="Times New Roman" w:hAnsi="Times New Roman" w:cs="Times New Roman"/>
      <w:b w:val="false"/>
      <w:i/>
      <w:sz w:val="24"/>
    </w:rPr>
  </w:style>
  <w:style w:type="character" w:styleId="WW8Num187z4">
    <w:name w:val="WW8Num187z4"/>
    <w:qFormat/>
    <w:rPr>
      <w:rFonts w:ascii="Times New Roman" w:hAnsi="Times New Roman" w:cs="Times New Roman"/>
      <w:b w:val="false"/>
      <w:i w:val="false"/>
      <w:sz w:val="22"/>
    </w:rPr>
  </w:style>
  <w:style w:type="character" w:styleId="WW8Num187z5">
    <w:name w:val="WW8Num187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187z6">
    <w:name w:val="WW8Num187z6"/>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Times New Roman" w:hAnsi="Times New Roman" w:cs="Times New Roman"/>
      <w:b/>
      <w:i w:val="false"/>
      <w:sz w:val="26"/>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Wingdings 3;Symbol" w:hAnsi="Wingdings 3;Symbol" w:cs="Wingdings 3;Symbol"/>
      <w:b w:val="false"/>
      <w:i w:val="false"/>
      <w:color w:val="008000"/>
      <w:sz w:val="32"/>
      <w:vertAlign w:val="subscrip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Wingdings" w:hAnsi="Wingdings" w:cs="Wingdings"/>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Times New Roman" w:hAnsi="Times New Roman" w:cs="Times New Roman"/>
      <w:b/>
      <w:i w:val="false"/>
      <w:sz w:val="28"/>
    </w:rPr>
  </w:style>
  <w:style w:type="character" w:styleId="WW8Num206z1">
    <w:name w:val="WW8Num206z1"/>
    <w:qFormat/>
    <w:rPr>
      <w:rFonts w:ascii="Times New Roman" w:hAnsi="Times New Roman" w:cs="Times New Roman"/>
      <w:b/>
      <w:i w:val="false"/>
      <w:sz w:val="24"/>
    </w:rPr>
  </w:style>
  <w:style w:type="character" w:styleId="WW8Num206z3">
    <w:name w:val="WW8Num206z3"/>
    <w:qFormat/>
    <w:rPr>
      <w:rFonts w:ascii="Times New Roman" w:hAnsi="Times New Roman" w:cs="Times New Roman"/>
      <w:b w:val="false"/>
      <w:i w:val="false"/>
      <w:sz w:val="24"/>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color w:val="auto"/>
    </w:rPr>
  </w:style>
  <w:style w:type="character" w:styleId="WW8Num216z0">
    <w:name w:val="WW8Num216z0"/>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style>
  <w:style w:type="character" w:styleId="WW8Num220z0">
    <w:name w:val="WW8Num220z0"/>
    <w:qFormat/>
    <w:rPr>
      <w:rFonts w:ascii="Symbol" w:hAnsi="Symbol" w:cs="Symbol"/>
    </w:rPr>
  </w:style>
  <w:style w:type="character" w:styleId="WW8Num221z0">
    <w:name w:val="WW8Num221z0"/>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9z0">
    <w:name w:val="WW8Num239z0"/>
    <w:qFormat/>
    <w:rPr>
      <w:rFonts w:ascii="Times New Roman" w:hAnsi="Times New Roman" w:cs="Times New Roman"/>
      <w:b/>
      <w:i w:val="false"/>
      <w:sz w:val="28"/>
    </w:rPr>
  </w:style>
  <w:style w:type="character" w:styleId="WW8Num239z1">
    <w:name w:val="WW8Num239z1"/>
    <w:qFormat/>
    <w:rPr>
      <w:rFonts w:ascii="Times New Roman" w:hAnsi="Times New Roman" w:cs="Times New Roman"/>
      <w:b/>
      <w:i w:val="false"/>
      <w:sz w:val="24"/>
    </w:rPr>
  </w:style>
  <w:style w:type="character" w:styleId="WW8Num239z3">
    <w:name w:val="WW8Num239z3"/>
    <w:qFormat/>
    <w:rPr>
      <w:rFonts w:ascii="Times New Roman" w:hAnsi="Times New Roman" w:cs="Times New Roman"/>
      <w:b w:val="false"/>
      <w:i w:val="false"/>
      <w:sz w:val="24"/>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8z0">
    <w:name w:val="WW8Num248z0"/>
    <w:qFormat/>
    <w:rPr>
      <w:rFonts w:ascii="Wingdings" w:hAnsi="Wingdings" w:cs="Wingdings"/>
    </w:rPr>
  </w:style>
  <w:style w:type="character" w:styleId="WW8Num249z0">
    <w:name w:val="WW8Num249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style>
  <w:style w:type="character" w:styleId="WW8Num266z0">
    <w:name w:val="WW8Num266z0"/>
    <w:qFormat/>
    <w:rPr>
      <w:rFonts w:ascii="Symbol" w:hAnsi="Symbol" w:cs="Symbol"/>
    </w:rPr>
  </w:style>
  <w:style w:type="character" w:styleId="WW8Num267z0">
    <w:name w:val="WW8Num267z0"/>
    <w:qFormat/>
    <w:rPr>
      <w:rFonts w:ascii="Wingdings" w:hAnsi="Wingdings" w:cs="Wingdings"/>
    </w:rPr>
  </w:style>
  <w:style w:type="character" w:styleId="WW8Num268z0">
    <w:name w:val="WW8Num268z0"/>
    <w:qFormat/>
    <w:rPr/>
  </w:style>
  <w:style w:type="character" w:styleId="WW8Num269z0">
    <w:name w:val="WW8Num269z0"/>
    <w:qFormat/>
    <w:rPr/>
  </w:style>
  <w:style w:type="character" w:styleId="WW8Num270z0">
    <w:name w:val="WW8Num270z0"/>
    <w:qFormat/>
    <w:rPr>
      <w:rFonts w:ascii="Symbol" w:hAnsi="Symbol" w:cs="Symbol"/>
      <w:color w:val="auto"/>
    </w:rPr>
  </w:style>
  <w:style w:type="character" w:styleId="WW8Num271z0">
    <w:name w:val="WW8Num271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style>
  <w:style w:type="character" w:styleId="WW8Num277z0">
    <w:name w:val="WW8Num277z0"/>
    <w:qFormat/>
    <w:rPr>
      <w:rFonts w:ascii="Times New Roman" w:hAnsi="Times New Roman" w:cs="Times New Roman"/>
      <w:b w:val="false"/>
      <w:i w:val="false"/>
      <w:color w:val="auto"/>
      <w:sz w:val="24"/>
      <w:vertAlign w:val="subscript"/>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Wingdings 3;Symbol" w:hAnsi="Wingdings 3;Symbol" w:cs="Wingdings 3;Symbol"/>
      <w:b w:val="false"/>
      <w:i w:val="false"/>
      <w:color w:val="800000"/>
      <w:position w:val="0"/>
      <w:sz w:val="32"/>
      <w:sz w:val="32"/>
      <w:vertAlign w:val="baseline"/>
    </w:rPr>
  </w:style>
  <w:style w:type="character" w:styleId="WW8Num287z0">
    <w:name w:val="WW8Num287z0"/>
    <w:qFormat/>
    <w:rPr>
      <w:rFonts w:ascii="Symbol" w:hAnsi="Symbol" w:cs="Symbol"/>
    </w:rPr>
  </w:style>
  <w:style w:type="character" w:styleId="WW8Num290z0">
    <w:name w:val="WW8Num290z0"/>
    <w:qFormat/>
    <w:rPr>
      <w:rFonts w:ascii="Wingdings" w:hAnsi="Wingdings" w:cs="Wingdings"/>
    </w:rPr>
  </w:style>
  <w:style w:type="character" w:styleId="WW8Num291z0">
    <w:name w:val="WW8Num291z0"/>
    <w:qFormat/>
    <w:rPr>
      <w:rFonts w:ascii="Symbol" w:hAnsi="Symbol" w:cs="Symbol"/>
    </w:rPr>
  </w:style>
  <w:style w:type="character" w:styleId="WW8Num294z0">
    <w:name w:val="WW8Num294z0"/>
    <w:qFormat/>
    <w:rPr/>
  </w:style>
  <w:style w:type="character" w:styleId="WW8Num295z0">
    <w:name w:val="WW8Num295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Wingdings" w:hAnsi="Wingdings" w:cs="Wingdings"/>
    </w:rPr>
  </w:style>
  <w:style w:type="character" w:styleId="WW8Num301z0">
    <w:name w:val="WW8Num301z0"/>
    <w:qFormat/>
    <w:rPr>
      <w:rFonts w:ascii="Symbol" w:hAnsi="Symbol" w:cs="Symbol"/>
    </w:rPr>
  </w:style>
  <w:style w:type="character" w:styleId="WW8Num302z0">
    <w:name w:val="WW8Num302z0"/>
    <w:qFormat/>
    <w:rPr/>
  </w:style>
  <w:style w:type="character" w:styleId="WW8Num303z0">
    <w:name w:val="WW8Num303z0"/>
    <w:qFormat/>
    <w:rPr>
      <w:rFonts w:ascii="NewspaperPi BT;Symbol" w:hAnsi="NewspaperPi BT;Symbol" w:cs="NewspaperPi BT;Symbol"/>
      <w:b w:val="false"/>
      <w:i w:val="false"/>
      <w:sz w:val="18"/>
    </w:rPr>
  </w:style>
  <w:style w:type="character" w:styleId="WW8Num304z0">
    <w:name w:val="WW8Num304z0"/>
    <w:qFormat/>
    <w:rPr>
      <w:rFonts w:ascii="Monotype Sorts" w:hAnsi="Monotype Sorts" w:cs="Monotype Sorts"/>
      <w:b w:val="false"/>
      <w:i w:val="false"/>
      <w:color w:val="008000"/>
      <w:position w:val="0"/>
      <w:sz w:val="22"/>
      <w:sz w:val="22"/>
      <w:vertAlign w:val="baseline"/>
    </w:rPr>
  </w:style>
  <w:style w:type="character" w:styleId="WW8Num305z0">
    <w:name w:val="WW8Num305z0"/>
    <w:qFormat/>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09z0">
    <w:name w:val="WW8Num309z0"/>
    <w:qFormat/>
    <w:rPr>
      <w:rFonts w:ascii="Times New Roman" w:hAnsi="Times New Roman" w:cs="Times New Roman"/>
      <w:b/>
      <w:i w:val="false"/>
      <w:sz w:val="28"/>
    </w:rPr>
  </w:style>
  <w:style w:type="character" w:styleId="WW8Num310z0">
    <w:name w:val="WW8Num310z0"/>
    <w:qFormat/>
    <w:rPr>
      <w:rFonts w:ascii="Wingdings" w:hAnsi="Wingdings" w:cs="Wingdings"/>
    </w:rPr>
  </w:style>
  <w:style w:type="character" w:styleId="WW8Num311z0">
    <w:name w:val="WW8Num311z0"/>
    <w:qFormat/>
    <w:rPr/>
  </w:style>
  <w:style w:type="character" w:styleId="WW8Num313z0">
    <w:name w:val="WW8Num313z0"/>
    <w:qFormat/>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Monotype Sorts" w:hAnsi="Monotype Sorts" w:cs="Monotype Sorts"/>
      <w:b w:val="false"/>
      <w:i w:val="false"/>
      <w:color w:val="800000"/>
      <w:kern w:val="0"/>
      <w:position w:val="0"/>
      <w:sz w:val="22"/>
      <w:sz w:val="22"/>
      <w:vertAlign w:val="baseline"/>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style>
  <w:style w:type="character" w:styleId="WW8Num336z0">
    <w:name w:val="WW8Num336z0"/>
    <w:qFormat/>
    <w:rPr/>
  </w:style>
  <w:style w:type="character" w:styleId="WW8Num337z0">
    <w:name w:val="WW8Num337z0"/>
    <w:qFormat/>
    <w:rPr>
      <w:rFonts w:ascii="NewspaperPi BT;Symbol" w:hAnsi="NewspaperPi BT;Symbol" w:cs="NewspaperPi BT;Symbol"/>
      <w:b w:val="false"/>
      <w:i w:val="false"/>
      <w:sz w:val="18"/>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style>
  <w:style w:type="character" w:styleId="WW8Num343z0">
    <w:name w:val="WW8Num343z0"/>
    <w:qFormat/>
    <w:rPr>
      <w:rFonts w:ascii="NewspaperPi BT;Symbol" w:hAnsi="NewspaperPi BT;Symbol" w:cs="NewspaperPi BT;Symbol"/>
      <w:b w:val="false"/>
      <w:i w:val="false"/>
      <w:sz w:val="18"/>
    </w:rPr>
  </w:style>
  <w:style w:type="character" w:styleId="WW8Num344z0">
    <w:name w:val="WW8Num344z0"/>
    <w:qFormat/>
    <w:rPr>
      <w:b/>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style>
  <w:style w:type="character" w:styleId="WW8Num350z0">
    <w:name w:val="WW8Num350z0"/>
    <w:qFormat/>
    <w:rPr>
      <w:rFonts w:ascii="Symbol" w:hAnsi="Symbol" w:cs="Symbol"/>
      <w:color w:val="008000"/>
    </w:rPr>
  </w:style>
  <w:style w:type="character" w:styleId="WW8Num351z0">
    <w:name w:val="WW8Num351z0"/>
    <w:qFormat/>
    <w:rPr>
      <w:rFonts w:ascii="NewspaperPi BT;Symbol" w:hAnsi="NewspaperPi BT;Symbol" w:cs="NewspaperPi BT;Symbol"/>
      <w:b w:val="false"/>
      <w:i w:val="false"/>
      <w:sz w:val="18"/>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1z0">
    <w:name w:val="WW8Num361z0"/>
    <w:qFormat/>
    <w:rPr>
      <w:rFonts w:ascii="NewspaperPi BT;Symbol" w:hAnsi="NewspaperPi BT;Symbol" w:cs="NewspaperPi BT;Symbol"/>
      <w:b w:val="false"/>
      <w:i w:val="false"/>
      <w:sz w:val="18"/>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style>
  <w:style w:type="character" w:styleId="WW8Num368z0">
    <w:name w:val="WW8Num368z0"/>
    <w:qFormat/>
    <w:rPr>
      <w:rFonts w:ascii="Symbol" w:hAnsi="Symbol" w:cs="Symbol"/>
      <w:color w:val="auto"/>
      <w:sz w:val="28"/>
    </w:rPr>
  </w:style>
  <w:style w:type="character" w:styleId="WW8Num369z0">
    <w:name w:val="WW8Num369z0"/>
    <w:qFormat/>
    <w:rPr>
      <w:rFonts w:ascii="Times New Roman" w:hAnsi="Times New Roman" w:cs="Times New Roman"/>
      <w:b/>
      <w:i w:val="false"/>
      <w:sz w:val="24"/>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373z1">
    <w:name w:val="WW8Num373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373z2">
    <w:name w:val="WW8Num373z2"/>
    <w:qFormat/>
    <w:rPr>
      <w:rFonts w:ascii="Times New Roman" w:hAnsi="Times New Roman" w:cs="Times New Roman"/>
      <w:b/>
      <w:i w:val="false"/>
      <w:caps w:val="false"/>
      <w:smallCaps w:val="false"/>
      <w:strike w:val="false"/>
      <w:dstrike w:val="false"/>
      <w:outline w:val="false"/>
      <w:shadow w:val="false"/>
      <w:vanish w:val="false"/>
      <w:color w:val="auto"/>
      <w:position w:val="0"/>
      <w:sz w:val="22"/>
      <w:sz w:val="22"/>
      <w:vertAlign w:val="baseline"/>
    </w:rPr>
  </w:style>
  <w:style w:type="character" w:styleId="WW8Num373z3">
    <w:name w:val="WW8Num373z3"/>
    <w:qFormat/>
    <w:rPr>
      <w:rFonts w:ascii="Times New Roman" w:hAnsi="Times New Roman" w:cs="Times New Roman"/>
      <w:b/>
      <w:i/>
      <w:caps w:val="false"/>
      <w:smallCaps w:val="false"/>
      <w:strike w:val="false"/>
      <w:dstrike w:val="false"/>
      <w:outline w:val="false"/>
      <w:shadow w:val="false"/>
      <w:vanish w:val="false"/>
      <w:color w:val="auto"/>
      <w:position w:val="0"/>
      <w:sz w:val="22"/>
      <w:sz w:val="22"/>
      <w:vertAlign w:val="baseline"/>
    </w:rPr>
  </w:style>
  <w:style w:type="character" w:styleId="WW8Num373z4">
    <w:name w:val="WW8Num373z4"/>
    <w:qFormat/>
    <w:rPr>
      <w:b w:val="false"/>
      <w:i w:val="false"/>
      <w:sz w:val="22"/>
    </w:rPr>
  </w:style>
  <w:style w:type="character" w:styleId="WW8Num373z5">
    <w:name w:val="WW8Num373z5"/>
    <w:qFormat/>
    <w:rPr>
      <w:b w:val="false"/>
      <w:i/>
      <w:caps w:val="false"/>
      <w:smallCaps w:val="false"/>
      <w:strike w:val="false"/>
      <w:dstrike w:val="false"/>
      <w:shadow w:val="false"/>
      <w:vanish w:val="false"/>
      <w:color w:val="auto"/>
      <w:position w:val="0"/>
      <w:sz w:val="22"/>
      <w:sz w:val="22"/>
      <w:vertAlign w:val="baseline"/>
    </w:rPr>
  </w:style>
  <w:style w:type="character" w:styleId="WW8Num374z0">
    <w:name w:val="WW8Num374z0"/>
    <w:qFormat/>
    <w:rPr>
      <w:rFonts w:ascii="Symbol" w:hAnsi="Symbol" w:cs="Symbol"/>
    </w:rPr>
  </w:style>
  <w:style w:type="character" w:styleId="WW8Num375z0">
    <w:name w:val="WW8Num375z0"/>
    <w:qFormat/>
    <w:rPr>
      <w:b/>
    </w:rPr>
  </w:style>
  <w:style w:type="character" w:styleId="WW8Num377z0">
    <w:name w:val="WW8Num377z0"/>
    <w:qFormat/>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b w:val="false"/>
      <w:i w:val="false"/>
      <w:sz w:val="20"/>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St311z0">
    <w:name w:val="WW8NumSt311z0"/>
    <w:qFormat/>
    <w:rPr>
      <w:rFonts w:ascii="Symbol" w:hAnsi="Symbol" w:cs="Symbol"/>
      <w:sz w:val="16"/>
    </w:rPr>
  </w:style>
  <w:style w:type="character" w:styleId="WW8NumSt347z0">
    <w:name w:val="WW8NumSt347z0"/>
    <w:qFormat/>
    <w:rPr>
      <w:rFonts w:ascii="Times New Roman" w:hAnsi="Times New Roman" w:cs="Times New Roman"/>
      <w:sz w:val="64"/>
    </w:rPr>
  </w:style>
  <w:style w:type="character" w:styleId="WW8NumSt348z0">
    <w:name w:val="WW8NumSt348z0"/>
    <w:qFormat/>
    <w:rPr>
      <w:rFonts w:ascii="Times New Roman" w:hAnsi="Times New Roman" w:cs="Times New Roman"/>
      <w:sz w:val="56"/>
    </w:rPr>
  </w:style>
  <w:style w:type="character" w:styleId="WW8NumSt349z0">
    <w:name w:val="WW8NumSt349z0"/>
    <w:qFormat/>
    <w:rPr>
      <w:rFonts w:ascii="Times New Roman" w:hAnsi="Times New Roman" w:cs="Times New Roman"/>
      <w:sz w:val="48"/>
    </w:rPr>
  </w:style>
  <w:style w:type="character" w:styleId="WW8NumSt350z0">
    <w:name w:val="WW8NumSt350z0"/>
    <w:qFormat/>
    <w:rPr>
      <w:rFonts w:ascii="Times New Roman" w:hAnsi="Times New Roman" w:cs="Times New Roman"/>
      <w:sz w:val="40"/>
    </w:rPr>
  </w:style>
  <w:style w:type="character" w:styleId="WW8NumSt351z0">
    <w:name w:val="WW8NumSt351z0"/>
    <w:qFormat/>
    <w:rPr>
      <w:rFonts w:ascii="Times New Roman" w:hAnsi="Times New Roman" w:cs="Times New Roman"/>
      <w:sz w:val="40"/>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strike w:val="false"/>
      <w:dstrike w:val="false"/>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next w:val="BodyText"/>
    <w:qFormat/>
    <w:pPr>
      <w:widowControl/>
      <w:bidi w:val="0"/>
      <w:spacing w:before="0" w:after="600"/>
      <w:jc w:val="center"/>
      <w:outlineLvl w:val="0"/>
    </w:pPr>
    <w:rPr>
      <w:rFonts w:ascii="Times New Roman" w:hAnsi="Times New Roman" w:eastAsia="Times New Roman" w:cs="Times New Roman"/>
      <w:b/>
      <w:smallCaps/>
      <w:color w:val="auto"/>
      <w:spacing w:val="30"/>
      <w:kern w:val="2"/>
      <w:sz w:val="70"/>
      <w:szCs w:val="20"/>
      <w:lang w:val="en-US" w:eastAsia="zh-CN" w:bidi="hi-IN"/>
    </w:rPr>
  </w:style>
  <w:style w:type="paragraph" w:styleId="BodyText">
    <w:name w:val="Body Tex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outlineLvl w:val="3"/>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outlineLvl w:val="4"/>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outlineLvl w:val="5"/>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next w:val="Normal"/>
    <w:pPr>
      <w:keepNext w:val="true"/>
      <w:keepLines/>
      <w:widowControl/>
      <w:numPr>
        <w:ilvl w:val="0"/>
        <w:numId w:val="8"/>
      </w:numPr>
      <w:tabs>
        <w:tab w:val="clear" w:pos="720"/>
        <w:tab w:val="left" w:pos="605" w:leader="none"/>
        <w:tab w:val="right" w:pos="8280" w:leader="none"/>
        <w:tab w:val="right" w:pos="8496" w:leader="none"/>
      </w:tabs>
      <w:bidi w:val="0"/>
      <w:spacing w:before="180" w:after="0"/>
    </w:pPr>
    <w:rPr>
      <w:rFonts w:ascii="Times New Roman" w:hAnsi="Times New Roman" w:eastAsia="Times New Roman" w:cs="Times New Roman"/>
      <w:b/>
      <w:smallCaps/>
      <w:color w:val="auto"/>
      <w:spacing w:val="10"/>
      <w:kern w:val="2"/>
      <w:sz w:val="2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248"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Footer">
    <w:name w:val="footer"/>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sz w:val="20"/>
      <w:szCs w:val="20"/>
      <w:lang w:val="en-US" w:eastAsia="zh-CN" w:bidi="hi-IN"/>
    </w:rPr>
  </w:style>
  <w:style w:type="paragraph" w:styleId="DLJCoverPage">
    <w:name w:val="DLJ Cover Page"/>
    <w:next w:val="Normal"/>
    <w:qFormat/>
    <w:pPr>
      <w:widowControl/>
      <w:bidi w:val="0"/>
      <w:spacing w:before="0" w:after="1720"/>
      <w:jc w:val="center"/>
    </w:pPr>
    <w:rPr>
      <w:rFonts w:ascii="Palatino" w:hAnsi="Palatino" w:eastAsia="Times New Roman" w:cs="Palatino"/>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 w:hAnsi="Palatino" w:eastAsia="Times New Roman" w:cs="Palatino"/>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BodyTextIndent">
    <w:name w:val="Body Text Indent"/>
    <w:basedOn w:val="BodyTex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2" w:space="2" w:color="FFFFFF"/>
        <w:left w:val="single" w:sz="36" w:space="18" w:color="800000"/>
        <w:bottom w:val="single" w:sz="2" w:space="2" w:color="FFFFFF"/>
      </w:pBdr>
      <w:bidi w:val="0"/>
      <w:spacing w:before="2880" w:after="0"/>
      <w:ind w:hanging="0" w:start="432" w:end="0"/>
      <w:outlineLvl w:val="1"/>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14"/>
      </w:numPr>
      <w:tabs>
        <w:tab w:val="clear" w:pos="720"/>
        <w:tab w:val="left" w:pos="302" w:leader="none"/>
      </w:tabs>
      <w:bidi w:val="0"/>
      <w:spacing w:before="60" w:after="60"/>
      <w:jc w:val="both"/>
      <w:outlineLvl w:val="5"/>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9"/>
      </w:numPr>
      <w:tabs>
        <w:tab w:val="clear" w:pos="720"/>
        <w:tab w:val="left" w:pos="446" w:leader="none"/>
      </w:tabs>
      <w:bidi w:val="0"/>
      <w:spacing w:before="40" w:after="40"/>
      <w:ind w:hanging="0"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19"/>
      </w:numPr>
      <w:tabs>
        <w:tab w:val="clear" w:pos="720"/>
        <w:tab w:val="left" w:pos="446" w:leader="none"/>
      </w:tabs>
      <w:bidi w:val="0"/>
      <w:spacing w:before="40" w:after="40"/>
      <w:ind w:hanging="0"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outlineLvl w:val="6"/>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20"/>
      </w:numPr>
      <w:tabs>
        <w:tab w:val="clear" w:pos="720"/>
        <w:tab w:val="left" w:pos="634" w:leader="none"/>
      </w:tabs>
      <w:bidi w:val="0"/>
      <w:spacing w:before="24" w:after="24"/>
      <w:ind w:hanging="187" w:start="633" w:end="0"/>
      <w:jc w:val="both"/>
      <w:outlineLvl w:val="7"/>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5"/>
      </w:numPr>
      <w:tabs>
        <w:tab w:val="clear" w:pos="720"/>
        <w:tab w:val="left" w:pos="1008" w:leader="none"/>
      </w:tabs>
      <w:bidi w:val="0"/>
      <w:spacing w:before="12" w:after="12"/>
      <w:jc w:val="both"/>
      <w:outlineLvl w:val="8"/>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2"/>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outlineLvl w:val="4"/>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numPr>
        <w:ilvl w:val="0"/>
        <w:numId w:val="14"/>
      </w:numPr>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2" w:space="1" w:color="FFFFFF"/>
        <w:left w:val="single" w:sz="2" w:space="17" w:color="FFFFFF"/>
        <w:bottom w:val="single" w:sz="2" w:space="1" w:color="FFFFFF"/>
        <w:right w:val="single" w:sz="2"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shd w:fill="auto" w:val="clear"/>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 w:hAnsi="Palatino" w:eastAsia="Times New Roman" w:cs="Palatino"/>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2" w:space="4" w:color="FFFFFF"/>
        <w:left w:val="single" w:sz="48" w:space="5" w:color="800000"/>
        <w:bottom w:val="single" w:sz="2" w:space="4" w:color="FFFFFF"/>
        <w:right w:val="single" w:sz="2" w:space="6" w:color="FFFFFF"/>
      </w:pBdr>
      <w:shd w:fill="DFDF60" w:val="clear"/>
      <w:bidi w:val="0"/>
      <w:spacing w:lineRule="exact" w:line="280" w:before="0" w:after="440"/>
      <w:ind w:hanging="0" w:start="245" w:end="0"/>
      <w:outlineLvl w:val="4"/>
    </w:pPr>
    <w:rPr>
      <w:rFonts w:ascii="Arial" w:hAnsi="Arial" w:eastAsia="Times New Roman" w:cs="Arial"/>
      <w:b/>
      <w:color w:val="auto"/>
      <w:kern w:val="2"/>
      <w:sz w:val="23"/>
      <w:szCs w:val="20"/>
      <w:lang w:val="en-US" w:eastAsia="en-US" w:bidi="hi-IN"/>
    </w:rPr>
  </w:style>
  <w:style w:type="paragraph" w:styleId="MessageTextBefore">
    <w:name w:val="Message Text Before"/>
    <w:basedOn w:val="MessageText"/>
    <w:next w:val="Normal"/>
    <w:qFormat/>
    <w:pPr>
      <w:pBdr>
        <w:top w:val="single" w:sz="2" w:space="4" w:color="FFFFFF"/>
        <w:left w:val="nil"/>
        <w:bottom w:val="single" w:sz="2" w:space="4" w:color="FFFFFF"/>
        <w:right w:val="single" w:sz="2"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8"/>
      </w:numPr>
      <w:tabs>
        <w:tab w:val="clear" w:pos="720"/>
        <w:tab w:val="left" w:pos="302" w:leader="none"/>
      </w:tabs>
      <w:spacing w:before="0" w:after="160"/>
      <w:ind w:hanging="0" w:start="0" w:end="144"/>
    </w:pPr>
    <w:rPr/>
  </w:style>
  <w:style w:type="paragraph" w:styleId="PageHeading">
    <w:name w:val="Page Heading"/>
    <w:next w:val="MessageText"/>
    <w:qFormat/>
    <w:pPr>
      <w:pageBreakBefore/>
      <w:widowControl/>
      <w:bidi w:val="0"/>
      <w:spacing w:before="0" w:after="360"/>
      <w:ind w:hanging="0" w:start="-720" w:end="0"/>
      <w:outlineLvl w:val="2"/>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outlineLvl w:val="3"/>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outlineLvl w:val="8"/>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5"/>
      </w:numPr>
      <w:tabs>
        <w:tab w:val="clear" w:pos="720"/>
        <w:tab w:val="left" w:pos="547" w:leader="none"/>
      </w:tabs>
      <w:bidi w:val="0"/>
      <w:spacing w:lineRule="atLeast" w:line="320" w:before="0" w:after="160"/>
      <w:ind w:hanging="0"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6"/>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2" w:space="4" w:color="008000"/>
        <w:left w:val="single" w:sz="2" w:space="24" w:color="008000"/>
        <w:bottom w:val="single" w:sz="2"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7"/>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2" w:space="4" w:color="800000"/>
        <w:left w:val="single" w:sz="2" w:space="24" w:color="800000"/>
        <w:bottom w:val="single" w:sz="2" w:space="4" w:color="800000"/>
        <w:right w:val="single" w:sz="2" w:space="4" w:color="800000"/>
      </w:pBdr>
      <w:shd w:fill="800000" w:val="clear"/>
    </w:pPr>
    <w:rPr/>
  </w:style>
  <w:style w:type="paragraph" w:styleId="TableImpBullet">
    <w:name w:val="TableImp Bullet"/>
    <w:qFormat/>
    <w:pPr>
      <w:widowControl/>
      <w:numPr>
        <w:ilvl w:val="0"/>
        <w:numId w:val="4"/>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2" w:space="4" w:color="FFFFFF"/>
        <w:left w:val="single" w:sz="2" w:space="18" w:color="FFFFFF"/>
        <w:bottom w:val="single" w:sz="2" w:space="4" w:color="FFFFFF"/>
        <w:right w:val="single" w:sz="2"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z w:val="16"/>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2" w:space="1" w:color="008080"/>
        <w:bottom w:val="single" w:sz="2"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next w:val="Normal"/>
    <w:pPr>
      <w:widowControl/>
      <w:tabs>
        <w:tab w:val="clear" w:pos="720"/>
        <w:tab w:val="right" w:pos="8280" w:leader="none"/>
        <w:tab w:val="right" w:pos="8496" w:leader="none"/>
      </w:tabs>
      <w:bidi w:val="0"/>
      <w:spacing w:before="0" w:after="20"/>
      <w:ind w:hanging="0" w:start="605" w:end="0"/>
    </w:pPr>
    <w:rPr>
      <w:rFonts w:ascii="Times New Roman" w:hAnsi="Times New Roman" w:eastAsia="Times New Roman" w:cs="Times New Roman"/>
      <w:color w:val="auto"/>
      <w:spacing w:val="10"/>
      <w:kern w:val="2"/>
      <w:sz w:val="22"/>
      <w:szCs w:val="20"/>
      <w:lang w:val="en-US" w:eastAsia="zh-CN" w:bidi="hi-IN"/>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Indent"/>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qFormat/>
    <w:pPr>
      <w:widowControl/>
      <w:bidi w:val="0"/>
      <w:ind w:hanging="0" w:start="4320" w:end="0"/>
      <w:jc w:val="both"/>
    </w:pPr>
    <w:rPr>
      <w:rFonts w:ascii="Times New Roman" w:hAnsi="Times New Roman" w:eastAsia="Times New Roman" w:cs="Times New Roman"/>
      <w:color w:val="auto"/>
      <w:sz w:val="22"/>
      <w:szCs w:val="20"/>
      <w:lang w:val="en-US" w:eastAsia="zh-CN" w:bidi="hi-IN"/>
    </w:rPr>
  </w:style>
  <w:style w:type="paragraph" w:styleId="CoManager">
    <w:name w:val="Co Manager"/>
    <w:next w:val="BodyText"/>
    <w:qFormat/>
    <w:pPr>
      <w:widowControl/>
      <w:bidi w:val="0"/>
      <w:jc w:val="end"/>
    </w:pPr>
    <w:rPr>
      <w:rFonts w:ascii="Palatino" w:hAnsi="Palatino" w:eastAsia="Times New Roman" w:cs="Palatino"/>
      <w:b/>
      <w:color w:val="auto"/>
      <w:sz w:val="28"/>
      <w:szCs w:val="20"/>
      <w:lang w:val="en-US" w:eastAsia="zh-CN" w:bidi="hi-IN"/>
    </w:rPr>
  </w:style>
  <w:style w:type="paragraph" w:styleId="Code">
    <w:name w:val="Code"/>
    <w:qFormat/>
    <w:pPr>
      <w:widowControl/>
      <w:bidi w:val="0"/>
      <w:spacing w:before="0" w:after="800"/>
      <w:jc w:val="center"/>
      <w:outlineLvl w:val="1"/>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 w:hAnsi="Palatino" w:eastAsia="Times New Roman" w:cs="Palatino"/>
      <w:b/>
      <w:color w:val="auto"/>
      <w:sz w:val="19"/>
      <w:szCs w:val="20"/>
      <w:lang w:val="en-US" w:eastAsia="zh-CN" w:bidi="hi-IN"/>
    </w:rPr>
  </w:style>
  <w:style w:type="paragraph" w:styleId="DLJCoverPage2">
    <w:name w:val="DLJ Cover Page 2"/>
    <w:qFormat/>
    <w:pPr>
      <w:widowControl/>
      <w:bidi w:val="0"/>
    </w:pPr>
    <w:rPr>
      <w:rFonts w:ascii="Palatino" w:hAnsi="Palatino" w:eastAsia="Times New Roman" w:cs="Palatino"/>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next w:val="Normal"/>
    <w:pPr>
      <w:widowControl/>
      <w:tabs>
        <w:tab w:val="clear" w:pos="720"/>
        <w:tab w:val="right" w:pos="8280" w:leader="none"/>
        <w:tab w:val="right" w:pos="8496" w:leader="none"/>
      </w:tabs>
      <w:bidi w:val="0"/>
      <w:spacing w:before="0" w:after="20"/>
      <w:ind w:hanging="0" w:start="763" w:end="0"/>
    </w:pPr>
    <w:rPr>
      <w:rFonts w:ascii="Times New Roman" w:hAnsi="Times New Roman" w:eastAsia="Times New Roman" w:cs="Times New Roman"/>
      <w:color w:val="auto"/>
      <w:spacing w:val="10"/>
      <w:sz w:val="22"/>
      <w:szCs w:val="20"/>
      <w:lang w:val="en-CA" w:eastAsia="zh-CN" w:bidi="hi-IN"/>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eastAsia="en-US"/>
    </w:rPr>
  </w:style>
  <w:style w:type="paragraph" w:styleId="ContactCompanyAddress">
    <w:name w:val="Contact Company Address"/>
    <w:basedOn w:val="TableMatrixText"/>
    <w:next w:val="Normal"/>
    <w:qFormat/>
    <w:pPr>
      <w:spacing w:before="0" w:after="100"/>
    </w:pPr>
    <w:rPr>
      <w:lang w:val="en-GB" w:eastAsia="en-US"/>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BodyText2">
    <w:name w:val="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heding4">
    <w:name w:val="heding 4"/>
    <w:basedOn w:val="Normal"/>
    <w:qFormat/>
    <w:pPr>
      <w:spacing w:before="0" w:after="240"/>
    </w:pPr>
    <w:rPr>
      <w:lang w:eastAsia="en-US"/>
    </w:rPr>
  </w:style>
  <w:style w:type="paragraph" w:styleId="ListBullet2">
    <w:name w:val="List Bullet 2"/>
    <w:basedOn w:val="Normal"/>
    <w:pPr>
      <w:spacing w:before="0" w:after="0"/>
      <w:ind w:hanging="360" w:start="720" w:end="0"/>
    </w:pPr>
    <w:rPr>
      <w:rFonts w:ascii="New Baskerville;Times New Roman" w:hAnsi="New Baskerville;Times New Roman" w:cs="New Baskerville;Times New Roman"/>
      <w:lang w:val="en-GB" w:eastAsia="en-US"/>
    </w:rPr>
  </w:style>
  <w:style w:type="paragraph" w:styleId="sub">
    <w:name w:val="sub"/>
    <w:basedOn w:val="BodyText"/>
    <w:qFormat/>
    <w:pPr>
      <w:spacing w:before="120" w:after="240"/>
    </w:pPr>
    <w:rPr>
      <w:b/>
      <w:sz w:val="24"/>
      <w:lang w:eastAsia="en-US"/>
    </w:rPr>
  </w:style>
  <w:style w:type="paragraph" w:styleId="header4">
    <w:name w:val="header 4"/>
    <w:basedOn w:val="sub"/>
    <w:qFormat/>
    <w:pPr/>
    <w:rPr/>
  </w:style>
  <w:style w:type="paragraph" w:styleId="Body">
    <w:name w:val="Body"/>
    <w:basedOn w:val="Normal"/>
    <w:qFormat/>
    <w:pPr>
      <w:spacing w:before="0" w:after="240"/>
    </w:pPr>
    <w:rPr>
      <w:sz w:val="24"/>
      <w:lang w:eastAsia="en-US"/>
    </w:rPr>
  </w:style>
  <w:style w:type="paragraph" w:styleId="BodyTextIndent3">
    <w:name w:val="Body Text Indent 3"/>
    <w:basedOn w:val="Normal"/>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package" Target="embeddings/oleObject1.pptx"/><Relationship Id="rId12" Type="http://schemas.openxmlformats.org/officeDocument/2006/relationships/image" Target="media/image2.wmf"/><Relationship Id="rId13" Type="http://schemas.openxmlformats.org/officeDocument/2006/relationships/package" Target="embeddings/oleObject2.pptx"/><Relationship Id="rId14" Type="http://schemas.openxmlformats.org/officeDocument/2006/relationships/image" Target="media/image3.wmf"/><Relationship Id="rId15" Type="http://schemas.openxmlformats.org/officeDocument/2006/relationships/oleObject" Target="embeddings/oleObject3.bin"/><Relationship Id="rId16" Type="http://schemas.openxmlformats.org/officeDocument/2006/relationships/image" Target="media/image4.png"/><Relationship Id="rId17" Type="http://schemas.openxmlformats.org/officeDocument/2006/relationships/package" Target="embeddings/oleObject4.xlsx"/><Relationship Id="rId18" Type="http://schemas.openxmlformats.org/officeDocument/2006/relationships/image" Target="media/image5.wmf"/><Relationship Id="rId19" Type="http://schemas.openxmlformats.org/officeDocument/2006/relationships/package" Target="embeddings/oleObject5.xlsx"/><Relationship Id="rId20" Type="http://schemas.openxmlformats.org/officeDocument/2006/relationships/image" Target="media/image6.wmf"/><Relationship Id="rId21" Type="http://schemas.openxmlformats.org/officeDocument/2006/relationships/image" Target="media/image7.wmf"/><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2000-08-23T21:51:00Z</dcterms:created>
  <dc:creator>DLJ</dc:creator>
  <dc:description/>
  <cp:keywords>167591 v4 (NYDOCS1)</cp:keywords>
  <dc:language>en-CA</dc:language>
  <cp:lastModifiedBy>s_mcrouch</cp:lastModifiedBy>
  <cp:lastPrinted>2000-08-23T19:10:00Z</cp:lastPrinted>
  <dcterms:modified xsi:type="dcterms:W3CDTF">2000-08-23T22:03:00Z</dcterms:modified>
  <cp:revision>3</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1998-04-28T01:30:00Z</vt:filetime>
  </property>
  <property fmtid="{D5CDD505-2E9C-101B-9397-08002B2CF9AE}" pid="6" name="Type of Document">
    <vt:lpwstr>LEAPCIM</vt:lpwstr>
  </property>
</Properties>
</file>