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1440" w:leader="none"/>
                <w:tab w:val="left" w:pos="2160" w:leader="none"/>
                <w:tab w:val="left" w:pos="5280" w:leader="none"/>
                <w:tab w:val="left" w:pos="5472" w:leader="none"/>
                <w:tab w:val="left" w:pos="6480" w:leader="none"/>
              </w:tabs>
              <w:snapToGrid w:val="false"/>
              <w:rPr>
                <w:color w:val="0000FF"/>
                <w:sz w:val="18"/>
              </w:rPr>
            </w:pPr>
            <w:r>
              <w:rPr>
                <w:color w:val="0000FF"/>
                <w:sz w:val="18"/>
              </w:rPr>
            </w:r>
          </w:p>
        </w:tc>
        <w:tc>
          <w:tcPr>
            <w:tcW w:w="4788" w:type="dxa"/>
            <w:tcBorders/>
          </w:tcPr>
          <w:p>
            <w:pPr>
              <w:pStyle w:val="Normal"/>
              <w:tabs>
                <w:tab w:val="clear" w:pos="720"/>
                <w:tab w:val="left" w:pos="1332" w:leader="none"/>
                <w:tab w:val="left" w:pos="1782" w:leader="none"/>
                <w:tab w:val="left" w:pos="5280" w:leader="none"/>
                <w:tab w:val="left" w:pos="5472" w:leader="none"/>
                <w:tab w:val="left" w:pos="6480" w:leader="none"/>
              </w:tabs>
              <w:ind w:start="1332" w:end="0"/>
              <w:rPr>
                <w:color w:val="0000FF"/>
                <w:sz w:val="18"/>
              </w:rPr>
            </w:pPr>
            <w:r>
              <w:rPr>
                <w:b/>
                <w:color w:val="0000FF"/>
                <w:sz w:val="18"/>
              </w:rPr>
              <w:t>Enron Canada Power Corp.</w:t>
            </w:r>
          </w:p>
          <w:p>
            <w:pPr>
              <w:pStyle w:val="Normal"/>
              <w:tabs>
                <w:tab w:val="clear" w:pos="720"/>
                <w:tab w:val="left" w:pos="1332" w:leader="none"/>
                <w:tab w:val="left" w:pos="1782" w:leader="none"/>
                <w:tab w:val="left" w:pos="5280" w:leader="none"/>
                <w:tab w:val="left" w:pos="5472" w:leader="none"/>
                <w:tab w:val="left" w:pos="6480" w:leader="none"/>
              </w:tabs>
              <w:ind w:start="1332" w:end="0"/>
              <w:rPr>
                <w:i/>
                <w:i/>
                <w:color w:val="0000FF"/>
                <w:sz w:val="14"/>
              </w:rPr>
            </w:pPr>
            <w:r>
              <w:rPr>
                <w:i/>
                <w:color w:val="0000FF"/>
                <w:sz w:val="14"/>
              </w:rPr>
              <w:t>3500 Canterra Tower</w:t>
            </w:r>
          </w:p>
          <w:p>
            <w:pPr>
              <w:pStyle w:val="Normal"/>
              <w:tabs>
                <w:tab w:val="clear" w:pos="720"/>
                <w:tab w:val="left" w:pos="1332" w:leader="none"/>
                <w:tab w:val="left" w:pos="1782" w:leader="none"/>
                <w:tab w:val="left" w:pos="5280" w:leader="none"/>
                <w:tab w:val="left" w:pos="5472" w:leader="none"/>
                <w:tab w:val="left" w:pos="6480" w:leader="none"/>
              </w:tabs>
              <w:ind w:start="1332" w:end="0"/>
              <w:rPr/>
            </w:pPr>
            <w:r>
              <w:rPr>
                <w:i/>
                <w:color w:val="0000FF"/>
                <w:sz w:val="14"/>
              </w:rPr>
              <w:t>400 - 3</w:t>
            </w:r>
            <w:r>
              <w:rPr>
                <w:i/>
                <w:color w:val="0000FF"/>
                <w:sz w:val="14"/>
                <w:vertAlign w:val="superscript"/>
              </w:rPr>
              <w:t>rd</w:t>
            </w:r>
            <w:r>
              <w:rPr>
                <w:i/>
                <w:color w:val="0000FF"/>
                <w:sz w:val="14"/>
              </w:rPr>
              <w:t xml:space="preserve"> Avenue S.W.</w:t>
            </w:r>
          </w:p>
          <w:p>
            <w:pPr>
              <w:pStyle w:val="Normal"/>
              <w:tabs>
                <w:tab w:val="clear" w:pos="720"/>
                <w:tab w:val="left" w:pos="1332" w:leader="none"/>
                <w:tab w:val="left" w:pos="1692" w:leader="none"/>
                <w:tab w:val="left" w:pos="5280" w:leader="none"/>
                <w:tab w:val="left" w:pos="5472" w:leader="none"/>
                <w:tab w:val="left" w:pos="6480" w:leader="none"/>
              </w:tabs>
              <w:ind w:start="1332" w:end="0"/>
              <w:rPr>
                <w:i/>
                <w:i/>
                <w:color w:val="0000FF"/>
                <w:sz w:val="14"/>
              </w:rPr>
            </w:pPr>
            <w:r>
              <w:rPr>
                <w:i/>
                <w:color w:val="0000FF"/>
                <w:sz w:val="14"/>
              </w:rPr>
              <w:t>Calgary, Alberta, Canada  T2P 4H2</w:t>
            </w:r>
          </w:p>
          <w:p>
            <w:pPr>
              <w:pStyle w:val="Normal"/>
              <w:tabs>
                <w:tab w:val="clear" w:pos="720"/>
                <w:tab w:val="left" w:pos="1332" w:leader="none"/>
                <w:tab w:val="left" w:pos="1692" w:leader="none"/>
                <w:tab w:val="left" w:pos="5280" w:leader="none"/>
                <w:tab w:val="left" w:pos="5472" w:leader="none"/>
                <w:tab w:val="left" w:pos="6480" w:leader="none"/>
              </w:tabs>
              <w:ind w:start="1332" w:end="0"/>
              <w:rPr>
                <w:i/>
                <w:i/>
                <w:color w:val="0000FF"/>
                <w:sz w:val="14"/>
              </w:rPr>
            </w:pPr>
            <w:r>
              <w:rPr>
                <w:i/>
                <w:color w:val="0000FF"/>
                <w:sz w:val="14"/>
              </w:rPr>
              <w:t>(403) 974-6700</w:t>
            </w:r>
          </w:p>
          <w:p>
            <w:pPr>
              <w:pStyle w:val="Normal"/>
              <w:tabs>
                <w:tab w:val="clear" w:pos="720"/>
                <w:tab w:val="left" w:pos="1332" w:leader="none"/>
                <w:tab w:val="left" w:pos="1692" w:leader="none"/>
                <w:tab w:val="left" w:pos="5280" w:leader="none"/>
                <w:tab w:val="left" w:pos="5472" w:leader="none"/>
                <w:tab w:val="left" w:pos="6480" w:leader="none"/>
              </w:tabs>
              <w:ind w:start="1332" w:end="0"/>
              <w:rPr>
                <w:i/>
                <w:i/>
                <w:color w:val="0000FF"/>
                <w:sz w:val="14"/>
              </w:rPr>
            </w:pPr>
            <w:r>
              <w:rPr>
                <w:i/>
                <w:color w:val="0000FF"/>
                <w:sz w:val="14"/>
              </w:rPr>
              <w:t>Fax (403) 974-6707</w:t>
            </w:r>
          </w:p>
          <w:p>
            <w:pPr>
              <w:pStyle w:val="Normal"/>
              <w:tabs>
                <w:tab w:val="clear" w:pos="720"/>
                <w:tab w:val="left" w:pos="1332" w:leader="none"/>
                <w:tab w:val="left" w:pos="1692" w:leader="none"/>
                <w:tab w:val="left" w:pos="5280" w:leader="none"/>
                <w:tab w:val="left" w:pos="5472" w:leader="none"/>
                <w:tab w:val="left" w:pos="6480" w:leader="none"/>
              </w:tabs>
              <w:ind w:start="1332" w:end="0"/>
              <w:rPr>
                <w:i/>
                <w:i/>
                <w:color w:val="0000FF"/>
                <w:sz w:val="18"/>
              </w:rPr>
            </w:pPr>
            <w:r>
              <w:rPr>
                <w:i/>
                <w:color w:val="0000FF"/>
                <w:sz w:val="18"/>
              </w:rPr>
            </w:r>
          </w:p>
        </w:tc>
      </w:tr>
    </w:tbl>
    <w:p>
      <w:pPr>
        <w:pStyle w:val="Normal"/>
        <w:rPr/>
      </w:pPr>
      <w:r>
        <w:rPr/>
      </w:r>
    </w:p>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t>January 17, 2001</w:t>
      </w:r>
    </w:p>
    <w:p>
      <w:pPr>
        <w:pStyle w:val="Normal"/>
        <w:jc w:val="end"/>
        <w:rPr>
          <w:b/>
        </w:rPr>
      </w:pPr>
      <w:r>
        <w:rPr>
          <w:b/>
        </w:rPr>
        <w:t>VIA FACSIMILE</w:t>
      </w:r>
    </w:p>
    <w:p>
      <w:pPr>
        <w:pStyle w:val="Normal"/>
        <w:jc w:val="end"/>
        <w:rPr/>
      </w:pPr>
      <w:r>
        <w:rPr/>
      </w:r>
    </w:p>
    <w:p>
      <w:pPr>
        <w:pStyle w:val="Normal"/>
        <w:rPr/>
      </w:pPr>
      <w:r>
        <w:rPr/>
      </w:r>
    </w:p>
    <w:p>
      <w:pPr>
        <w:pStyle w:val="Normal"/>
        <w:rPr/>
      </w:pPr>
      <w:r>
        <w:rPr/>
        <w:t>Market Surveillance Administrator</w:t>
      </w:r>
    </w:p>
    <w:p>
      <w:pPr>
        <w:pStyle w:val="Normal"/>
        <w:rPr>
          <w:b/>
        </w:rPr>
      </w:pPr>
      <w:r>
        <w:rPr>
          <w:b/>
        </w:rPr>
        <w:t>[Address details to be inserted]</w:t>
      </w:r>
    </w:p>
    <w:p>
      <w:pPr>
        <w:pStyle w:val="Normal"/>
        <w:rPr>
          <w:b/>
        </w:rPr>
      </w:pPr>
      <w:r>
        <w:rPr>
          <w:b/>
        </w:rPr>
      </w:r>
    </w:p>
    <w:p>
      <w:pPr>
        <w:pStyle w:val="Normal"/>
        <w:rPr/>
      </w:pPr>
      <w:r>
        <w:rPr/>
        <w:t>Dear Sirs:</w:t>
      </w:r>
    </w:p>
    <w:p>
      <w:pPr>
        <w:pStyle w:val="Normal"/>
        <w:rPr/>
      </w:pPr>
      <w:r>
        <w:rPr/>
      </w:r>
    </w:p>
    <w:p>
      <w:pPr>
        <w:pStyle w:val="Normal"/>
        <w:ind w:hanging="720" w:start="720" w:end="0"/>
        <w:jc w:val="both"/>
        <w:rPr>
          <w:b/>
        </w:rPr>
      </w:pPr>
      <w:r>
        <w:rPr>
          <w:b/>
        </w:rPr>
        <w:t>Re:</w:t>
        <w:tab/>
        <w:t>The Balancing Pool of Alberta (the “Balancing Pool”) – Clover Bar Plant (“Clover Bar”)</w:t>
      </w:r>
    </w:p>
    <w:p>
      <w:pPr>
        <w:pStyle w:val="Normal"/>
        <w:ind w:hanging="720" w:start="720" w:end="0"/>
        <w:jc w:val="both"/>
        <w:rPr>
          <w:b/>
        </w:rPr>
      </w:pPr>
      <w:r>
        <w:rPr>
          <w:b/>
        </w:rPr>
      </w:r>
    </w:p>
    <w:p>
      <w:pPr>
        <w:pStyle w:val="Normal"/>
        <w:spacing w:lineRule="auto" w:line="360"/>
        <w:jc w:val="both"/>
        <w:rPr/>
      </w:pPr>
      <w:r>
        <w:rPr/>
        <w:t xml:space="preserve">This letter constitutes a formal complaint to the Market Surveillance Administrator by Enron Canada Power Corp. (“Enron Canada Power”) pursuant to Section 4 of the Market Surveillance Regulations under the </w:t>
      </w:r>
      <w:r>
        <w:rPr>
          <w:i/>
        </w:rPr>
        <w:t>Electric Utilities Act</w:t>
      </w:r>
      <w:r>
        <w:rPr/>
        <w:t xml:space="preserve"> (Alberta) (the “EUA”) (this “Complaint”).  </w:t>
      </w:r>
    </w:p>
    <w:p>
      <w:pPr>
        <w:pStyle w:val="Normal"/>
        <w:spacing w:lineRule="auto" w:line="360"/>
        <w:jc w:val="both"/>
        <w:rPr/>
      </w:pPr>
      <w:r>
        <w:rPr/>
      </w:r>
    </w:p>
    <w:p>
      <w:pPr>
        <w:pStyle w:val="Heading4"/>
        <w:ind w:hanging="0" w:start="0"/>
        <w:rPr>
          <w:u w:val="none"/>
        </w:rPr>
      </w:pPr>
      <w:r>
        <w:rPr/>
        <w:t>Background</w:t>
      </w:r>
    </w:p>
    <w:p>
      <w:pPr>
        <w:pStyle w:val="Normal"/>
        <w:spacing w:lineRule="auto" w:line="360"/>
        <w:jc w:val="both"/>
        <w:rPr>
          <w:u w:val="none"/>
        </w:rPr>
      </w:pPr>
      <w:r>
        <w:rPr>
          <w:u w:val="none"/>
        </w:rPr>
      </w:r>
    </w:p>
    <w:p>
      <w:pPr>
        <w:pStyle w:val="Normal"/>
        <w:spacing w:lineRule="auto" w:line="360"/>
        <w:jc w:val="both"/>
        <w:rPr/>
      </w:pPr>
      <w:r>
        <w:rPr/>
        <w:t>This Compliant is being made in respect of the Balancing Pool and its recent offer strategy into the Power Pool of Alberta (the “PPoA”) for the generation capacity of Clover Bar, and controlled by the Balancing Pool under the Power Purchase Arrangement applicable to Clover Bar (the “Clover Bar PPA”).</w:t>
      </w:r>
    </w:p>
    <w:p>
      <w:pPr>
        <w:pStyle w:val="Normal"/>
        <w:spacing w:lineRule="auto" w:line="360"/>
        <w:jc w:val="both"/>
        <w:rPr/>
      </w:pPr>
      <w:r>
        <w:rPr/>
      </w:r>
    </w:p>
    <w:p>
      <w:pPr>
        <w:pStyle w:val="Normal"/>
        <w:spacing w:lineRule="auto" w:line="360"/>
        <w:jc w:val="both"/>
        <w:rPr/>
      </w:pPr>
      <w:r>
        <w:rPr/>
        <w:t>The Balancing Pool has been established by the Power Pool Council pursuant to Section 2 of the Balancing Pool Regulation under the EUA.  As a result of the Alberta Power Purchase Arrangements Auction held pursuant to the Power Purchase Arrangements Regulations under the EUA in August, 2000, pursuant to Section 8 of the Power Purchase Arrangements Regulations, the Balancing Pool acquired and retains control of the Clover Bar PPA as one of the unsold Power Purchase Arrangements and controls the dispatch and offer rights into the PPoA for the Clover Bar generation capacity.</w:t>
      </w:r>
    </w:p>
    <w:p>
      <w:pPr>
        <w:pStyle w:val="Normal"/>
        <w:spacing w:lineRule="auto" w:line="360"/>
        <w:jc w:val="both"/>
        <w:rPr/>
      </w:pPr>
      <w:r>
        <w:rPr/>
      </w:r>
    </w:p>
    <w:p>
      <w:pPr>
        <w:pStyle w:val="BodyText2"/>
        <w:rPr/>
      </w:pPr>
      <w:r>
        <w:rPr/>
        <w:t xml:space="preserve">Through the Power Purchase Arrangements Auction, Enron Canada Power acquired the rights to the Power Purchase Arrangement affecting the Sundance “B” Unit, the generation capacity of which is exchanged and sold by Enron Canada Power through the PPoA.  Enron Canada Power is a wholly-owned subsidiary of Enron Canada Corp., which is involved primarily in wholesale (physical and financially-derived) energy trading, marketing and origination business in Alberta and elsewhere in Canada, and an active participant in the PpoA.  (Enron Canada Corp. is, in turn, a wholly-owned subsidiary of Enron North America Corp., which is similarly involved primarily in wholesale energy trading, marketing and origination business throughout the United States.  Enron North America Corp. is in turn a wholly-owned subsidiary of Enron Corp., a public company traded on the New York Stock Exchange.)  </w:t>
      </w:r>
    </w:p>
    <w:p>
      <w:pPr>
        <w:pStyle w:val="Normal"/>
        <w:spacing w:lineRule="auto" w:line="360"/>
        <w:jc w:val="both"/>
        <w:rPr/>
      </w:pPr>
      <w:r>
        <w:rPr/>
      </w:r>
    </w:p>
    <w:p>
      <w:pPr>
        <w:pStyle w:val="BodyText2"/>
        <w:rPr/>
      </w:pPr>
      <w:r>
        <w:rPr/>
        <w:t xml:space="preserve">Further, pursuant to </w:t>
      </w:r>
      <w:r>
        <w:rPr>
          <w:b/>
        </w:rPr>
        <w:t xml:space="preserve">[Section 5 of the Balancing Pool Regulations and] </w:t>
      </w:r>
      <w:r>
        <w:rPr/>
        <w:t>the Government of Alberta’s “Market Achievement Plan” (“MAP”) respecting the Power Purchase Arrangements not sold through the Power Purchase Arrangements Auction, a portion of the generation capacity for Clover Bar (as well as the Sheerness Plant and the Genesee Plant, the Power Purchase Arrangements for which are similarly retained by the Balancing Pool pursuant to Section 8 of the Power Purchase Arrangements Regulation) was sold in three, one-year fixed-priced blocks by the Balancing Pool to Alberta consumers and market participants, including Enron Canada Power, pursuant to the auction held by the Balancing Pool in December, 2000.</w:t>
      </w:r>
    </w:p>
    <w:p>
      <w:pPr>
        <w:pStyle w:val="Normal"/>
        <w:spacing w:lineRule="auto" w:line="360"/>
        <w:jc w:val="both"/>
        <w:rPr/>
      </w:pPr>
      <w:r>
        <w:rPr/>
      </w:r>
    </w:p>
    <w:p>
      <w:pPr>
        <w:pStyle w:val="Heading1"/>
        <w:spacing w:lineRule="auto" w:line="360"/>
        <w:ind w:hanging="0" w:start="0"/>
        <w:rPr>
          <w:sz w:val="20"/>
        </w:rPr>
      </w:pPr>
      <w:r>
        <w:rPr>
          <w:sz w:val="20"/>
        </w:rPr>
        <w:t>Particulars of this Complaint/ Information and Facts Supporting this Complaint</w:t>
      </w:r>
    </w:p>
    <w:p>
      <w:pPr>
        <w:pStyle w:val="Normal"/>
        <w:spacing w:lineRule="auto" w:line="360"/>
        <w:jc w:val="both"/>
        <w:rPr>
          <w:sz w:val="20"/>
        </w:rPr>
      </w:pPr>
      <w:r>
        <w:rPr>
          <w:sz w:val="20"/>
        </w:rPr>
      </w:r>
    </w:p>
    <w:p>
      <w:pPr>
        <w:pStyle w:val="Normal"/>
        <w:spacing w:lineRule="auto" w:line="360"/>
        <w:jc w:val="both"/>
        <w:rPr/>
      </w:pPr>
      <w:r>
        <w:rPr/>
        <w:t xml:space="preserve">This Complaint relates to the offer strategy into the PPoA undertaken by the Balancing Pool with respect to Clover Bar on and after January 7, 2001.  </w:t>
      </w:r>
    </w:p>
    <w:p>
      <w:pPr>
        <w:pStyle w:val="Normal"/>
        <w:spacing w:lineRule="auto" w:line="360"/>
        <w:jc w:val="both"/>
        <w:rPr/>
      </w:pPr>
      <w:r>
        <w:rPr/>
      </w:r>
    </w:p>
    <w:p>
      <w:pPr>
        <w:pStyle w:val="Normal"/>
        <w:spacing w:lineRule="auto" w:line="360"/>
        <w:jc w:val="both"/>
        <w:rPr/>
      </w:pPr>
      <w:r>
        <w:rPr/>
        <w:t>Clover Bar’s generation capacity is dispatched and offered into the PPoA by the Balancing Pool Administrator (the “BPA”) on behalf of the Balancing Pool pursuant to the Clover Bar PPA, and</w:t>
      </w:r>
      <w:r>
        <w:rPr>
          <w:b/>
        </w:rPr>
        <w:t>[, since January 1, 2001,]</w:t>
      </w:r>
      <w:r>
        <w:rPr/>
        <w:t xml:space="preserve"> has been on the margin and, therefore responsible for setting the PPoA pool price (the “Pool Price”), approximately 75% of </w:t>
      </w:r>
      <w:r>
        <w:rPr>
          <w:b/>
        </w:rPr>
        <w:t xml:space="preserve">[on-peak] </w:t>
      </w:r>
      <w:r>
        <w:rPr/>
        <w:t xml:space="preserve">hours.  Notwithstanding that Clover Bar’s full load Heat Rate is 11.25 GJ/MW, effective January 7, 2001, the Balancing Pool altered its offer strategy for Clover Bar’s generation capacity into the PPoA, offering Clover Bar into the PPoA at a Heat Rate that equates to approximately 8.0 GJ/MW, apparently on the basis of financial gas hedges entered into by the Balancing Pool relating, in part, to the feed stock requirements for Clover Bar.  (It appears that approximately 80-100 MWs of the capacity of Clover Bar’s gas requirements have not been hedged).  </w:t>
      </w:r>
      <w:r>
        <w:rPr>
          <w:b/>
        </w:rPr>
        <w:t>[Prior to January 7, 2001 (including prior to the commencement of the Clover Bar PPA on January 1, 2001), the capacity of Clover Bar was offered into the PPoA at Clover Bar’s full load Heat Rate of 11.25 GJ/MW and based upon the variable economic cost of generation as determined by the spot price for natural gas in Alberta.]</w:t>
      </w:r>
      <w:r>
        <w:rPr/>
        <w:t xml:space="preserve">  </w:t>
      </w:r>
    </w:p>
    <w:p>
      <w:pPr>
        <w:pStyle w:val="Normal"/>
        <w:spacing w:lineRule="auto" w:line="360"/>
        <w:jc w:val="both"/>
        <w:rPr/>
      </w:pPr>
      <w:r>
        <w:rPr/>
      </w:r>
    </w:p>
    <w:p>
      <w:pPr>
        <w:pStyle w:val="Normal"/>
        <w:spacing w:lineRule="auto" w:line="360"/>
        <w:jc w:val="both"/>
        <w:rPr/>
      </w:pPr>
      <w:r>
        <w:rPr/>
        <w:t>The Balancing Pool (apparently on the basis that it holds the Clover Bar PPA for the benefit of Alberta power consumers) altered its offer strategy for Clover Bar apparently as it considers itself as having a net short Alberta power portfolio position which would benefit from a lower Pool Price.  It is Enron Canada Power’s submission that the Balancing Pool’s current offer strategy respecting Clover Bar involves the overt and intentional exercise of market power by the Balancing Pool, as an active price management tool to the benefit of a portfolio short position, and thereby undermining the economic and regulatory neutrality of the PPoA and the Alberta power market, and which would not be tolerated by other Market Participants.</w:t>
      </w:r>
    </w:p>
    <w:p>
      <w:pPr>
        <w:pStyle w:val="Normal"/>
        <w:spacing w:lineRule="auto" w:line="360"/>
        <w:jc w:val="both"/>
        <w:rPr/>
      </w:pPr>
      <w:r>
        <w:rPr/>
      </w:r>
    </w:p>
    <w:p>
      <w:pPr>
        <w:pStyle w:val="Normal"/>
        <w:spacing w:lineRule="auto" w:line="360"/>
        <w:jc w:val="both"/>
        <w:rPr/>
      </w:pPr>
      <w:r>
        <w:rPr/>
        <w:t>The information and facts supporting this Complaint are the following:</w:t>
      </w:r>
    </w:p>
    <w:p>
      <w:pPr>
        <w:pStyle w:val="Normal"/>
        <w:spacing w:lineRule="auto" w:line="360"/>
        <w:jc w:val="both"/>
        <w:rPr/>
      </w:pPr>
      <w:r>
        <w:rPr/>
      </w:r>
    </w:p>
    <w:p>
      <w:pPr>
        <w:pStyle w:val="Sharon1"/>
        <w:numPr>
          <w:ilvl w:val="0"/>
          <w:numId w:val="3"/>
        </w:numPr>
        <w:spacing w:lineRule="auto" w:line="360"/>
        <w:ind w:hanging="0" w:start="0"/>
        <w:rPr/>
      </w:pPr>
      <w:r>
        <w:rPr>
          <w:b/>
        </w:rPr>
        <w:t>[Since January 1, 2001,]</w:t>
      </w:r>
      <w:r>
        <w:rPr/>
        <w:t xml:space="preserve">, Clover Bar has been on the margin and responsible for setting the Pool Price approximately 75% of </w:t>
      </w:r>
      <w:r>
        <w:rPr>
          <w:b/>
        </w:rPr>
        <w:t xml:space="preserve">[on-peak] </w:t>
      </w:r>
      <w:r>
        <w:rPr/>
        <w:t>hours.</w:t>
      </w:r>
    </w:p>
    <w:p>
      <w:pPr>
        <w:pStyle w:val="Sharon1"/>
        <w:numPr>
          <w:ilvl w:val="0"/>
          <w:numId w:val="3"/>
        </w:numPr>
        <w:spacing w:lineRule="auto" w:line="360"/>
        <w:ind w:hanging="0" w:start="0"/>
        <w:rPr>
          <w:b/>
        </w:rPr>
      </w:pPr>
      <w:r>
        <w:rPr>
          <w:b/>
        </w:rPr>
        <w:t>[Prior to January 1, 2001, Clover Bar was offered to the PPoA based upon its variable economic cost of generation as determined by the spot price for natural gas in Alberta.]</w:t>
      </w:r>
    </w:p>
    <w:p>
      <w:pPr>
        <w:pStyle w:val="Sharon1"/>
        <w:numPr>
          <w:ilvl w:val="0"/>
          <w:numId w:val="3"/>
        </w:numPr>
        <w:spacing w:lineRule="auto" w:line="360"/>
        <w:ind w:hanging="0" w:start="0"/>
        <w:rPr/>
      </w:pPr>
      <w:r>
        <w:rPr/>
        <w:t>Effective January 7, 2001, the Balancing Pool and the BPA, for the apparent benefit of a short position, altered the offer strategy applicable to Clover Bar in a purposeful effort to artificially depress the Pool Price.</w:t>
      </w:r>
    </w:p>
    <w:p>
      <w:pPr>
        <w:pStyle w:val="Sharon1"/>
        <w:numPr>
          <w:ilvl w:val="0"/>
          <w:numId w:val="3"/>
        </w:numPr>
        <w:spacing w:lineRule="auto" w:line="360"/>
        <w:ind w:hanging="0" w:start="0"/>
        <w:rPr/>
      </w:pPr>
      <w:r>
        <w:rPr/>
        <w:t>Ignoring for the moment that the gas requirements for approximately 80-100 MWs of the Clover Bar capacity apparently have not been hedged, and ignoring the Government of Alberta’s “no harm” commitment with respect to the unsold Power Purchase Arrangements prior to the Power Purchase Arrangements Auction and its commitments not to offer Clover Bar into the PPoA  at below its variable economic cost, offering Clover Bar based on the fixed price gas hedge is below the variable economic cost of Clover Bar generation.  Any rational economic analysis would mandate an offer strategy at least equal to (if not greater than) the variable economic cost of Clover Bar generation, which must take into account the opportunity cost associated with the currently “in the money” position of any gas price hedge.  Notwithstanding that a gas price hedge may have been entered into by the Balancing Pool with respect to some of Clover Bar’s feed stock requirements below the current spot price for natural gas in Alberta, there can be no rational economic sense for the Balancing Pool to offer Clover Bar capacity into the PPoA based upon a gas price less than the spot price, other than to use its market power position within the Alberta power market to artificially depress the Pool Price for the benefit of the Balancing Pool’s perceived short position.  (To illustrate, without some ulterior motivation, if Party A, in the business of buying and selling “widgets” was to acquire a box of “widgets” at below market price, it would not make any economic sense for Party A to nonetheless turn around and sell those “widgets” at below market price.  Or, without some ulterior motivation, although a sports distributor was somehow able to obtain a phenomenal deal on footballs well below market, it would not mean that the sports distributor would therefore resell those footballs below the price otherwise available in the market.  Or, unless the Balancing Pool has an ulterior motive (i.e., using the market power of Clover Bar under the Clover Bar PPA to benefit a short position), offering Clover Bar capacity into the PPoA based upon the “in the money” gas hedge is tantamount to giving away the economic value of the gas hedge, an offer strategy which otherwise makes no rational, economic sense.)  Further, any argument that the price of a feed stock gas hedge represents the variable economic cost for dispatching Clover Bar undermines consistency and logic if, for example, the spot price for natural gas in Alberta was to fall below the hedge price (consistency and logic would dictate that the Balancing Pool and the BPA would then offer Clover Bar at above market price based upon an above market price for natural gas, and thereby artificially increasing the Pool Price).</w:t>
      </w:r>
    </w:p>
    <w:p>
      <w:pPr>
        <w:pStyle w:val="Sharon1"/>
        <w:numPr>
          <w:ilvl w:val="0"/>
          <w:numId w:val="3"/>
        </w:numPr>
        <w:spacing w:lineRule="auto" w:line="360"/>
        <w:ind w:hanging="0" w:start="0"/>
        <w:rPr/>
      </w:pPr>
      <w:r>
        <w:rPr/>
        <w:t>Even if there is some economic rationale for offering Clover Bar based upon the gas price hedge (as noted, there is not), there can be no economic rationale for offering unhedged Clover Bar generation capacity into the PPoA based on the hedged gas price.  In other words, there can be no reason why 80-100 MW of unhedged Clover Bar generation capacity is not being offered based upon the spot price of natural gas.  Even if the fixed and spot gas prices applicable to Clover Bar are somehow averaged, averaging does not account for the actual marginal cost of production for the unhedged capacity.</w:t>
      </w:r>
    </w:p>
    <w:p>
      <w:pPr>
        <w:pStyle w:val="Sharon1"/>
        <w:numPr>
          <w:ilvl w:val="0"/>
          <w:numId w:val="3"/>
        </w:numPr>
        <w:spacing w:lineRule="auto" w:line="360"/>
        <w:ind w:hanging="0" w:start="0"/>
        <w:rPr/>
      </w:pPr>
      <w:r>
        <w:rPr/>
        <w:t xml:space="preserve">Attached are Appendix “A” – “Clover Bar Offers For HE1 Through HE24” on January 7, 2001, as obtained from the PPoA web page; Appendix “B” – “Clover Bar Offers Correlation” which indicates that the prices referred to in Appendix “A”, although not disclosed as being such on the PPoA web page, are the offer prices for Clover Bar for the hours referred to in Appendix “A”; Appendix “C” – “Hourly Gas and Power Prices” for January 7, 2001 and the “Clover Bar Implied Heat Rate”; and Appendix “D” – “Quantification of the Distortionary Pricing Effect” which the Clover Bar offer strategy is having on the Alberta power market.  In summary, these Appendices demonstrate that the actual Clover Bar Heat Rate (11.25 GJ/MW) and an offer strategy intended to at least recover variable economic costs of generation would result in an offer by the Balancing Pool for those hours, based upon the spot price of Alberta natural gas, of $125.74/MW.  However, the actual offered prices for Clover Bar for these hours resulted in an implied Heat Rate of approximately 8.76 GJ/MW; a Heat Rate distortion of approximately 2.49 GJ/MW; and, a Pool Price distortion of between $27.83/MW to $28.09/MW.  </w:t>
      </w:r>
    </w:p>
    <w:p>
      <w:pPr>
        <w:pStyle w:val="Sharon1"/>
        <w:numPr>
          <w:ilvl w:val="0"/>
          <w:numId w:val="0"/>
        </w:numPr>
        <w:spacing w:lineRule="auto" w:line="360"/>
        <w:ind w:hanging="0" w:start="0"/>
        <w:rPr>
          <w:b/>
          <w:u w:val="single"/>
        </w:rPr>
      </w:pPr>
      <w:r>
        <w:rPr>
          <w:b/>
          <w:u w:val="single"/>
        </w:rPr>
        <w:t>Consequences of the Balancing Pool Offer Strategy</w:t>
      </w:r>
    </w:p>
    <w:p>
      <w:pPr>
        <w:pStyle w:val="Sharon1"/>
        <w:numPr>
          <w:ilvl w:val="0"/>
          <w:numId w:val="0"/>
        </w:numPr>
        <w:spacing w:lineRule="auto" w:line="360"/>
        <w:ind w:hanging="0" w:start="0"/>
        <w:rPr/>
      </w:pPr>
      <w:r>
        <w:rPr/>
        <w:t>The consequences of the offer strategy for Clover Bar undertaken by the Balancing Pool include the following:</w:t>
      </w:r>
    </w:p>
    <w:p>
      <w:pPr>
        <w:pStyle w:val="Sharon1"/>
        <w:numPr>
          <w:ilvl w:val="0"/>
          <w:numId w:val="4"/>
        </w:numPr>
        <w:spacing w:lineRule="auto" w:line="360"/>
        <w:ind w:hanging="0" w:start="0"/>
        <w:rPr/>
      </w:pPr>
      <w:r>
        <w:rPr>
          <w:u w:val="single"/>
        </w:rPr>
        <w:t>Inefficient Production</w:t>
      </w:r>
      <w:r>
        <w:rPr/>
        <w:t xml:space="preserve"> – By using an artificially low gas price, the Balancing Pool is both displacing more efficient generation resources (i.e. gas fired plants with an actual Heat Rate less than 11.25 GJ/MW) and harming these displaced generators whose generation capacity is displaced from the PPoA merit order.</w:t>
      </w:r>
    </w:p>
    <w:p>
      <w:pPr>
        <w:pStyle w:val="Sharon1"/>
        <w:numPr>
          <w:ilvl w:val="0"/>
          <w:numId w:val="3"/>
        </w:numPr>
        <w:spacing w:lineRule="auto" w:line="360"/>
        <w:ind w:hanging="0" w:start="0"/>
        <w:rPr/>
      </w:pPr>
      <w:r>
        <w:rPr>
          <w:u w:val="single"/>
        </w:rPr>
        <w:t>Offer Strategy Likely to Prove Problematic Under Different Conditions</w:t>
      </w:r>
      <w:r>
        <w:rPr/>
        <w:t xml:space="preserve"> – Consistency will require the Balancing Pool to offer </w:t>
      </w:r>
      <w:r>
        <w:rPr>
          <w:u w:val="single"/>
        </w:rPr>
        <w:t>above</w:t>
      </w:r>
      <w:r>
        <w:rPr/>
        <w:t xml:space="preserve"> the market price for gas if the hedge falls “out of the money” (or the spot price for natural gas falls below the hedge price), as noted above.  Similarly, the Clover Bar offer strategy sets a precedent whereby it is acceptable to “bid maximize” portfolio value.  For example, generators or owners of Power Purchase Arrangements are being presented with a precedent whereby any offer price is acceptable, no matter how high or low, once it economically benefits a portfolio long or short position.</w:t>
      </w:r>
    </w:p>
    <w:p>
      <w:pPr>
        <w:pStyle w:val="Sharon1"/>
        <w:numPr>
          <w:ilvl w:val="0"/>
          <w:numId w:val="3"/>
        </w:numPr>
        <w:spacing w:lineRule="auto" w:line="360"/>
        <w:ind w:hanging="0" w:start="0"/>
        <w:rPr/>
      </w:pPr>
      <w:r>
        <w:rPr>
          <w:u w:val="single"/>
        </w:rPr>
        <w:t>Reducing Balancing Pool Rebate</w:t>
      </w:r>
      <w:r>
        <w:rPr/>
        <w:t xml:space="preserve"> – By failing to obtain the full value of the gas hedge for Clover Bar, the Balancing Pool is reducing revenues available to it under the Clover Bar PPA, thereby reducing the eventual fund of money available through the Balancing Pool for Alberta consumers.</w:t>
      </w:r>
    </w:p>
    <w:p>
      <w:pPr>
        <w:pStyle w:val="Sharon1"/>
        <w:numPr>
          <w:ilvl w:val="0"/>
          <w:numId w:val="3"/>
        </w:numPr>
        <w:spacing w:lineRule="auto" w:line="360"/>
        <w:ind w:hanging="0" w:start="0"/>
        <w:rPr/>
      </w:pPr>
      <w:r>
        <w:rPr>
          <w:u w:val="single"/>
        </w:rPr>
        <w:t>Discouraging New Investment</w:t>
      </w:r>
      <w:r>
        <w:rPr/>
        <w:t xml:space="preserve"> – The active price management being undertaken by the Balancing Pool undermines the economic and regulatory neutrality of the Alberta power market, which will deter new investment critical to a long-term solution to Alberta’s capacity shortage.</w:t>
      </w:r>
    </w:p>
    <w:p>
      <w:pPr>
        <w:pStyle w:val="Sharon1"/>
        <w:numPr>
          <w:ilvl w:val="0"/>
          <w:numId w:val="3"/>
        </w:numPr>
        <w:spacing w:lineRule="auto" w:line="360"/>
        <w:ind w:hanging="0" w:start="0"/>
        <w:rPr/>
      </w:pPr>
      <w:r>
        <w:rPr>
          <w:u w:val="single"/>
        </w:rPr>
        <w:t>Destroying Value of Hedges by Consumers and MAP Purchases</w:t>
      </w:r>
      <w:r>
        <w:rPr/>
        <w:t xml:space="preserve"> – Consumers of electricity, and purchasers of electricity pursuant to MAP, including Enron Canada Power, have entered into fixed priced contracts to purchase electricity based on expectations of the Pool Price based, in part, on expectations of spot natural gas prices.  By actively managing Pool Prices below their market level, the Balancing Pool puts these otherwise prudent hedging strategies “out of the money”.</w:t>
      </w:r>
    </w:p>
    <w:p>
      <w:pPr>
        <w:pStyle w:val="Sharon1"/>
        <w:numPr>
          <w:ilvl w:val="0"/>
          <w:numId w:val="3"/>
        </w:numPr>
        <w:spacing w:lineRule="auto" w:line="360"/>
        <w:ind w:hanging="0" w:start="0"/>
        <w:rPr/>
      </w:pPr>
      <w:r>
        <w:rPr>
          <w:u w:val="single"/>
        </w:rPr>
        <w:t>Hindering Forward Market Liquidity</w:t>
      </w:r>
      <w:r>
        <w:rPr/>
        <w:t xml:space="preserve"> – Efforts at active price management through the offer strategy of Clover Bar eliminates liquidity in forward markets, as consumers will have less need to hedge purchases if they believe that the Balancing Pool will effectively cap prices through the Clover Bar offer strategy, while suppliers face greater difficulty in forming forward expectations.  With a loss of forward market liquidity, consumers will again be more exposed to spot prices.</w:t>
      </w:r>
    </w:p>
    <w:p>
      <w:pPr>
        <w:pStyle w:val="Sharon1"/>
        <w:numPr>
          <w:ilvl w:val="0"/>
          <w:numId w:val="3"/>
        </w:numPr>
        <w:spacing w:lineRule="auto" w:line="360"/>
        <w:ind w:hanging="0" w:start="0"/>
        <w:rPr/>
      </w:pPr>
      <w:r>
        <w:rPr>
          <w:u w:val="single"/>
        </w:rPr>
        <w:t>Destroying PPA Value</w:t>
      </w:r>
      <w:r>
        <w:rPr/>
        <w:t xml:space="preserve"> – Purchasers of the Power Purchase Arrangements, such as Enron Canada Power, did so based on expectations of the Pool Price based, in part, on expectations of spot natural gas prices.  By actively managing Pool Prices below their market level, the Balancing Pool alters, artificially and adversely, the economic assumptions made by the purchasers of the Power Purchase Arrangements.</w:t>
      </w:r>
    </w:p>
    <w:p>
      <w:pPr>
        <w:pStyle w:val="Sharon1"/>
        <w:keepNext w:val="true"/>
        <w:numPr>
          <w:ilvl w:val="0"/>
          <w:numId w:val="0"/>
        </w:numPr>
        <w:spacing w:lineRule="auto" w:line="360"/>
        <w:ind w:hanging="0" w:start="0"/>
        <w:rPr>
          <w:b/>
          <w:u w:val="single"/>
        </w:rPr>
      </w:pPr>
      <w:r>
        <w:rPr>
          <w:b/>
          <w:u w:val="single"/>
        </w:rPr>
        <w:t>Conclusion</w:t>
      </w:r>
    </w:p>
    <w:p>
      <w:pPr>
        <w:pStyle w:val="Sharon1"/>
        <w:keepNext w:val="true"/>
        <w:numPr>
          <w:ilvl w:val="0"/>
          <w:numId w:val="0"/>
        </w:numPr>
        <w:spacing w:lineRule="auto" w:line="360"/>
        <w:ind w:hanging="0" w:start="0"/>
        <w:rPr/>
      </w:pPr>
      <w:r>
        <w:rPr/>
        <w:t>In summary, the rights retained by the Balancing Pool to Clover Bar through the Clover Bar PPA create market power within the Alberta power market.  It is apparent that effective January 7, 2001, the Balancing Pool and the BPA altered the offer strategy applicable to Clover Bar to use this market power to actively manage Alberta power prices for the benefit of a perceived short power position, thereby undermining the economic and regulatory neutrality of the Alberta power market.  Accordingly, Enron Canada Power, through this Complaint, is formally requesting the Market Surveillance Administrator to conduct an investigation of the Balancing Pool with respect to its Clover Bar offer strategy from and after January 7, 2001, and to invoke all appropriate rights and remedies available to the Market Surveillance Administrator as a consequence of such investigation.</w:t>
      </w:r>
    </w:p>
    <w:p>
      <w:pPr>
        <w:pStyle w:val="Sharon1"/>
        <w:numPr>
          <w:ilvl w:val="0"/>
          <w:numId w:val="0"/>
        </w:numPr>
        <w:spacing w:lineRule="auto" w:line="360"/>
        <w:ind w:hanging="0" w:start="0"/>
        <w:rPr/>
      </w:pPr>
      <w:r>
        <w:rPr/>
        <w:t>If we can be of any help or further assistance, please feel free to contact me directly at 974</w:t>
        <w:noBreakHyphen/>
        <w:t>6793.</w:t>
      </w:r>
    </w:p>
    <w:p>
      <w:pPr>
        <w:pStyle w:val="Normal"/>
        <w:rPr/>
      </w:pPr>
      <w:r>
        <w:rPr/>
        <w:t>Yours truly,</w:t>
      </w:r>
    </w:p>
    <w:p>
      <w:pPr>
        <w:pStyle w:val="Normal"/>
        <w:rPr/>
      </w:pPr>
      <w:r>
        <w:rPr/>
      </w:r>
    </w:p>
    <w:p>
      <w:pPr>
        <w:pStyle w:val="Normal"/>
        <w:rPr>
          <w:b/>
        </w:rPr>
      </w:pPr>
      <w:r>
        <w:rPr>
          <w:b/>
        </w:rPr>
        <w:t>ENRON CANADA POWER CORP.</w:t>
      </w:r>
    </w:p>
    <w:p>
      <w:pPr>
        <w:pStyle w:val="Normal"/>
        <w:rPr/>
      </w:pPr>
      <w:r>
        <w:rPr/>
      </w:r>
    </w:p>
    <w:p>
      <w:pPr>
        <w:pStyle w:val="Normal"/>
        <w:rPr/>
      </w:pPr>
      <w:r>
        <w:rPr/>
      </w:r>
    </w:p>
    <w:p>
      <w:pPr>
        <w:pStyle w:val="Normal"/>
        <w:rPr/>
      </w:pPr>
      <w:r>
        <w:rPr/>
      </w:r>
    </w:p>
    <w:p>
      <w:pPr>
        <w:pStyle w:val="Normal"/>
        <w:rPr/>
      </w:pPr>
      <w:r>
        <w:rPr/>
        <w:t>Derek Davies</w:t>
      </w:r>
    </w:p>
    <w:p>
      <w:pPr>
        <w:pStyle w:val="Normal"/>
        <w:rPr/>
      </w:pPr>
      <w:r>
        <w:rPr/>
        <w:t>Vice-President</w:t>
      </w:r>
    </w:p>
    <w:p>
      <w:pPr>
        <w:pStyle w:val="Normal"/>
        <w:rPr/>
      </w:pPr>
      <w:r>
        <w:rPr/>
      </w:r>
    </w:p>
    <w:p>
      <w:pPr>
        <w:pStyle w:val="Normal"/>
        <w:rPr>
          <w:sz w:val="18"/>
        </w:rPr>
      </w:pPr>
      <w:r>
        <w:rPr>
          <w:sz w:val="18"/>
        </w:rPr>
        <w:t>/syc</w:t>
      </w:r>
    </w:p>
    <w:sectPr>
      <w:headerReference w:type="default" r:id="rId2"/>
      <w:headerReference w:type="first" r:id="rId3"/>
      <w:footerReference w:type="default" r:id="rId4"/>
      <w:footerReference w:type="first" r:id="rId5"/>
      <w:type w:val="nextPage"/>
      <w:pgSz w:w="12240" w:h="15840"/>
      <w:pgMar w:left="1440" w:right="1440" w:gutter="0" w:header="720" w:top="1440" w:footer="288"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/mnt/main-storage/datasets/enron-docs/doc/LTR.Market_Surveillance.CloverbarComplaint.doc</w:t>
    </w:r>
    <w:r>
      <w:rPr>
        <w:sz w:val="16"/>
        <w:rFonts w:cs="Arial Narrow" w:ascii="Arial Narrow" w:hAnsi="Arial Narrow"/>
        <w:lang w:eastAsia="en-US"/>
      </w:rPr>
      <w:fldChar w:fldCharType="end"/>
    </w:r>
    <w:r>
      <w:rPr>
        <w:rFonts w:cs="Arial Narrow" w:ascii="Arial Narrow" w:hAnsi="Arial Narrow"/>
        <w:sz w:val="16"/>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lang w:eastAsia="en-US"/>
      </w:rPr>
    </w:pPr>
    <w:r>
      <w:rPr>
        <w:sz w:val="18"/>
        <w:lang w:eastAsia="en-US"/>
      </w:rPr>
      <w:fldChar w:fldCharType="begin"/>
    </w:r>
    <w:r>
      <w:rPr>
        <w:sz w:val="18"/>
        <w:lang w:eastAsia="en-US"/>
      </w:rPr>
      <w:instrText xml:space="preserve"> FILENAME \p </w:instrText>
    </w:r>
    <w:r>
      <w:rPr>
        <w:sz w:val="18"/>
        <w:lang w:eastAsia="en-US"/>
      </w:rPr>
      <w:fldChar w:fldCharType="separate"/>
    </w:r>
    <w:r>
      <w:rPr>
        <w:sz w:val="18"/>
        <w:lang w:eastAsia="en-US"/>
      </w:rPr>
      <w:t>/mnt/main-storage/datasets/enron-docs/doc/LTR.Market_Surveillance.CloverbarComplaint.doc</w:t>
    </w:r>
    <w:r>
      <w:rPr>
        <w:sz w:val="18"/>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r>
  </w:p>
  <w:p>
    <w:pPr>
      <w:pStyle w:val="Header"/>
      <w:jc w:val="end"/>
      <w:rPr>
        <w:sz w:val="18"/>
      </w:rPr>
    </w:pPr>
    <w:r>
      <w:rPr>
        <w:sz w:val="18"/>
      </w:rPr>
      <w:t>Market Surveillance Administrator</w:t>
    </w:r>
  </w:p>
  <w:p>
    <w:pPr>
      <w:pStyle w:val="Header"/>
      <w:jc w:val="end"/>
      <w:rPr>
        <w:sz w:val="18"/>
      </w:rPr>
    </w:pPr>
    <w:r>
      <w:rPr>
        <w:sz w:val="18"/>
      </w:rPr>
      <w:t>January 17, 2000</w:t>
    </w:r>
  </w:p>
  <w:p>
    <w:pPr>
      <w:pStyle w:val="Header"/>
      <w:jc w:val="end"/>
      <w:rPr>
        <w:rStyle w:val="PageNumber"/>
        <w:sz w:val="18"/>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p>
    <w:pPr>
      <w:pStyle w:val="Header"/>
      <w:jc w:val="end"/>
      <w:rPr>
        <w:rStyle w:val="PageNumber"/>
        <w:sz w:val="18"/>
      </w:rPr>
    </w:pPr>
    <w:r>
      <w:rPr/>
    </w:r>
  </w:p>
  <w:p>
    <w:pPr>
      <w:pStyle w:val="Header"/>
      <w:jc w:val="end"/>
      <w:rPr>
        <w:rStyle w:val="PageNumber"/>
        <w:sz w:val="18"/>
      </w:rPr>
    </w:pPr>
    <w:r>
      <w:rPr/>
    </w:r>
  </w:p>
  <w:p>
    <w:pPr>
      <w:pStyle w:val="Header"/>
      <w:jc w:val="end"/>
      <w:rPr>
        <w:rStyle w:val="PageNumber"/>
        <w:sz w:val="18"/>
      </w:rPr>
    </w:pPr>
    <w:r>
      <w:rPr/>
    </w:r>
  </w:p>
  <w:p>
    <w:pPr>
      <w:pStyle w:val="Header"/>
      <w:jc w:val="end"/>
      <w:rPr>
        <w:rStyle w:val="PageNumber"/>
        <w:sz w:val="18"/>
      </w:rPr>
    </w:pPr>
    <w:r>
      <w:rPr/>
    </w:r>
  </w:p>
  <w:p>
    <w:pPr>
      <w:pStyle w:val="Header"/>
      <w:jc w:val="end"/>
      <w:rPr>
        <w:rStyle w:val="PageNumber"/>
        <w:sz w:val="1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720"/>
        </w:tabs>
        <w:ind w:start="72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3"/>
    <w:lvlOverride w:ilvl="0">
      <w:startOverride w:val="1"/>
    </w:lvlOverride>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b/>
      <w:sz w:val="22"/>
      <w:u w:val="single"/>
    </w:rPr>
  </w:style>
  <w:style w:type="paragraph" w:styleId="Heading2">
    <w:name w:val="heading 2"/>
    <w:basedOn w:val="Normal"/>
    <w:next w:val="Normal"/>
    <w:qFormat/>
    <w:pPr>
      <w:keepNext w:val="true"/>
      <w:numPr>
        <w:ilvl w:val="1"/>
        <w:numId w:val="1"/>
      </w:numPr>
      <w:jc w:val="both"/>
      <w:outlineLvl w:val="1"/>
    </w:pPr>
    <w:rPr>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spacing w:lineRule="auto" w:line="360"/>
      <w:jc w:val="both"/>
      <w:outlineLvl w:val="3"/>
    </w:pPr>
    <w:rPr>
      <w:b/>
      <w:u w:val="single"/>
    </w:rPr>
  </w:style>
  <w:style w:type="character" w:styleId="WW8Num1z0">
    <w:name w:val="WW8Num1z0"/>
    <w:qFormat/>
    <w:rPr>
      <w:rFonts w:ascii="Arial" w:hAnsi="Arial" w:cs="Arial"/>
      <w:sz w:val="22"/>
    </w:rPr>
  </w:style>
  <w:style w:type="character" w:styleId="WW8Num2z0">
    <w:name w:val="WW8Num2z0"/>
    <w:qFormat/>
    <w:rPr>
      <w:rFonts w:ascii="Arial" w:hAnsi="Arial" w:cs="Arial"/>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haron1">
    <w:name w:val="Sharon1"/>
    <w:basedOn w:val="Normal"/>
    <w:qFormat/>
    <w:pPr>
      <w:numPr>
        <w:ilvl w:val="0"/>
        <w:numId w:val="3"/>
      </w:numPr>
      <w:spacing w:before="0" w:after="240"/>
      <w:jc w:val="both"/>
    </w:pPr>
    <w:rPr/>
  </w:style>
  <w:style w:type="paragraph" w:styleId="Sharon2">
    <w:name w:val="Sharon2"/>
    <w:basedOn w:val="Normal"/>
    <w:qFormat/>
    <w:pPr>
      <w:numPr>
        <w:ilvl w:val="0"/>
        <w:numId w:val="2"/>
      </w:numPr>
      <w:spacing w:before="0" w:after="240"/>
      <w:jc w:val="both"/>
    </w:pPr>
    <w:rPr/>
  </w:style>
  <w:style w:type="paragraph" w:styleId="BodyText2">
    <w:name w:val="Body Text 2"/>
    <w:basedOn w:val="Normal"/>
    <w:qFormat/>
    <w:pPr>
      <w:spacing w:lineRule="auto" w:line="36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ECPCLetter.dot</Template>
  <TotalTime>204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2001-01-16T18:51:00Z</dcterms:created>
  <dc:creator>scrawfo3</dc:creator>
  <dc:description/>
  <dc:language>en-CA</dc:language>
  <cp:lastModifiedBy>Linda Sietzema</cp:lastModifiedBy>
  <cp:lastPrinted>2001-01-18T11:05:00Z</cp:lastPrinted>
  <dcterms:modified xsi:type="dcterms:W3CDTF">2001-01-18T15:35:00Z</dcterms:modified>
  <cp:revision>35</cp:revision>
  <dc:subject/>
  <dc:title>March 12, 1997</dc:title>
</cp:coreProperties>
</file>