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tabs>
          <w:tab w:val="clear" w:pos="720"/>
          <w:tab w:val="left" w:pos="6210" w:leader="none"/>
        </w:tabs>
        <w:rPr>
          <w:sz w:val="24"/>
        </w:rPr>
      </w:pPr>
      <w:r>
        <w:rPr>
          <w:sz w:val="24"/>
        </w:rPr>
      </w:r>
      <w:bookmarkStart w:id="0" w:name="LETTER"/>
      <w:bookmarkStart w:id="1" w:name="LETTER"/>
      <w:bookmarkEnd w:id="1"/>
    </w:p>
    <w:p>
      <w:pPr>
        <w:pStyle w:val="Normal"/>
        <w:tabs>
          <w:tab w:val="clear" w:pos="720"/>
          <w:tab w:val="left" w:pos="6210" w:leader="none"/>
        </w:tabs>
        <w:rPr>
          <w:sz w:val="24"/>
        </w:rPr>
      </w:pPr>
      <w:r>
        <w:rPr>
          <w:sz w:val="24"/>
        </w:rPr>
      </w:r>
    </w:p>
    <w:p>
      <w:pPr>
        <w:pStyle w:val="Normal"/>
        <w:tabs>
          <w:tab w:val="clear" w:pos="720"/>
          <w:tab w:val="left" w:pos="6210" w:leader="none"/>
        </w:tabs>
        <w:rPr>
          <w:sz w:val="20"/>
        </w:rPr>
      </w:pPr>
      <w:r>
        <w:rPr>
          <w:sz w:val="20"/>
        </w:rPr>
      </w:r>
    </w:p>
    <w:p>
      <w:pPr>
        <w:pStyle w:val="Normal"/>
        <w:tabs>
          <w:tab w:val="clear" w:pos="720"/>
          <w:tab w:val="left" w:pos="6681" w:leader="none"/>
        </w:tabs>
        <w:rPr>
          <w:b/>
          <w:spacing w:val="-20"/>
          <w:sz w:val="20"/>
        </w:rPr>
      </w:pPr>
      <w:r>
        <w:rPr>
          <w:b/>
          <w:spacing w:val="-20"/>
          <w:sz w:val="20"/>
        </w:rPr>
      </w:r>
      <w: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635</wp:posOffset>
                </wp:positionV>
                <wp:extent cx="3749040" cy="544195"/>
                <wp:effectExtent l="0" t="0" r="0" b="0"/>
                <wp:wrapNone/>
                <wp:docPr id="1" name="Frame1"/>
                <a:graphic xmlns:a="http://schemas.openxmlformats.org/drawingml/2006/main">
                  <a:graphicData uri="http://schemas.microsoft.com/office/word/2010/wordprocessingShape">
                    <wps:wsp>
                      <wps:cNvSpPr txBox="1"/>
                      <wps:spPr>
                        <a:xfrm>
                          <a:off x="0" y="0"/>
                          <a:ext cx="3749040" cy="54419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42.85pt;mso-wrap-distance-left:9.05pt;mso-wrap-distance-right:9.05pt;mso-wrap-distance-top:0pt;mso-wrap-distance-bottom:0pt;margin-top:0pt;mso-position-vertical-relative:text;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none"/>
              </v:rect>
            </w:pict>
          </mc:Fallback>
        </mc:AlternateContent>
      </w:r>
    </w:p>
    <w:p>
      <w:pPr>
        <w:pStyle w:val="Normal"/>
        <w:tabs>
          <w:tab w:val="clear" w:pos="720"/>
          <w:tab w:val="left" w:pos="6682" w:leader="none"/>
        </w:tabs>
        <w:ind w:end="-432"/>
        <w:rPr>
          <w:sz w:val="20"/>
        </w:rPr>
      </w:pPr>
      <w:r>
        <w:rPr>
          <w:sz w:val="20"/>
        </w:rPr>
      </w:r>
    </w:p>
    <w:p>
      <w:pPr>
        <w:pStyle w:val="Normal"/>
        <w:tabs>
          <w:tab w:val="clear" w:pos="720"/>
          <w:tab w:val="left" w:pos="6682" w:leader="none"/>
        </w:tabs>
        <w:ind w:end="-432"/>
        <w:rPr>
          <w:spacing w:val="-2"/>
          <w:sz w:val="20"/>
        </w:rPr>
      </w:pPr>
      <w:r>
        <w:rPr>
          <w:sz w:val="20"/>
        </w:rPr>
        <w:tab/>
        <w:t>Suite 3500, East Tower, Bankers Hall</w:t>
      </w:r>
    </w:p>
    <w:p>
      <w:pPr>
        <w:pStyle w:val="Normal"/>
        <w:tabs>
          <w:tab w:val="clear" w:pos="720"/>
          <w:tab w:val="left" w:pos="6682" w:leader="none"/>
        </w:tabs>
        <w:rPr/>
      </w:pPr>
      <w:r>
        <w:rPr>
          <w:spacing w:val="-2"/>
          <w:sz w:val="20"/>
        </w:rPr>
        <w:tab/>
        <w:t>855 – 2</w:t>
      </w:r>
      <w:r>
        <w:rPr>
          <w:spacing w:val="-2"/>
          <w:sz w:val="20"/>
          <w:vertAlign w:val="superscript"/>
        </w:rPr>
        <w:t>nd</w:t>
      </w:r>
      <w:r>
        <w:rPr>
          <w:spacing w:val="-2"/>
          <w:sz w:val="20"/>
        </w:rPr>
        <w:t xml:space="preserve"> Street S.W.</w:t>
      </w:r>
    </w:p>
    <w:p>
      <w:pPr>
        <w:pStyle w:val="Normal"/>
        <w:tabs>
          <w:tab w:val="clear" w:pos="720"/>
          <w:tab w:val="left" w:pos="6682" w:leader="none"/>
        </w:tabs>
        <w:rPr>
          <w:spacing w:val="-2"/>
          <w:sz w:val="20"/>
        </w:rPr>
      </w:pPr>
      <w:r>
        <w:rPr>
          <w:spacing w:val="-2"/>
          <w:sz w:val="20"/>
        </w:rPr>
        <w:tab/>
        <w:t>Calgary, Alberta, Canada</w:t>
      </w:r>
    </w:p>
    <w:p>
      <w:pPr>
        <w:pStyle w:val="CommentText"/>
        <w:tabs>
          <w:tab w:val="clear" w:pos="720"/>
          <w:tab w:val="left" w:pos="6682" w:leader="none"/>
        </w:tabs>
        <w:rPr>
          <w:spacing w:val="-2"/>
        </w:rPr>
      </w:pPr>
      <w:r>
        <w:rPr>
          <w:spacing w:val="-2"/>
        </w:rPr>
        <w:tab/>
        <w:t>T2P 4J8</w:t>
      </w:r>
    </w:p>
    <w:p>
      <w:pPr>
        <w:pStyle w:val="CommentText"/>
        <w:numPr>
          <w:ilvl w:val="0"/>
          <w:numId w:val="0"/>
        </w:numPr>
        <w:tabs>
          <w:tab w:val="clear" w:pos="720"/>
          <w:tab w:val="left" w:pos="6682" w:leader="none"/>
        </w:tabs>
        <w:outlineLvl w:val="0"/>
        <w:rPr>
          <w:spacing w:val="-2"/>
        </w:rPr>
      </w:pPr>
      <w:r>
        <w:rPr>
          <w:spacing w:val="-2"/>
        </w:rPr>
      </w:r>
      <w:r>
        <mc:AlternateContent>
          <mc:Choice Requires="wps">
            <w:drawing>
              <wp:anchor behindDoc="0" distT="0" distB="0" distL="114935" distR="114935" simplePos="0" locked="0" layoutInCell="1" allowOverlap="1" relativeHeight="8">
                <wp:simplePos x="0" y="0"/>
                <wp:positionH relativeFrom="column">
                  <wp:posOffset>4243070</wp:posOffset>
                </wp:positionH>
                <wp:positionV relativeFrom="page">
                  <wp:posOffset>1837690</wp:posOffset>
                </wp:positionV>
                <wp:extent cx="2103120" cy="457200"/>
                <wp:effectExtent l="0" t="0" r="0" b="0"/>
                <wp:wrapNone/>
                <wp:docPr id="2" name="Frame2"/>
                <a:graphic xmlns:a="http://schemas.openxmlformats.org/drawingml/2006/main">
                  <a:graphicData uri="http://schemas.microsoft.com/office/word/2010/wordprocessingShape">
                    <wps:wsp>
                      <wps:cNvSpPr txBox="1"/>
                      <wps:spPr>
                        <a:xfrm>
                          <a:off x="0" y="0"/>
                          <a:ext cx="2103120" cy="457200"/>
                        </a:xfrm>
                        <a:prstGeom prst="rect"/>
                        <a:solidFill>
                          <a:srgbClr val="FFFFFF"/>
                        </a:solidFill>
                      </wps:spPr>
                      <wps:txbx>
                        <w:txbxContent>
                          <w:p>
                            <w:pPr>
                              <w:pStyle w:val="Normal"/>
                              <w:rPr>
                                <w:spacing w:val="-2"/>
                                <w:sz w:val="20"/>
                              </w:rPr>
                            </w:pPr>
                            <w:r>
                              <w:rPr>
                                <w:spacing w:val="-2"/>
                                <w:sz w:val="20"/>
                              </w:rPr>
                              <w:t>Telephone: 403.260.9600</w:t>
                            </w:r>
                          </w:p>
                          <w:p>
                            <w:pPr>
                              <w:pStyle w:val="Normal"/>
                              <w:rPr>
                                <w:spacing w:val="-2"/>
                                <w:sz w:val="20"/>
                              </w:rPr>
                            </w:pPr>
                            <w:r>
                              <w:rPr>
                                <w:spacing w:val="-2"/>
                                <w:sz w:val="20"/>
                              </w:rPr>
                              <w:t>Facsimile: 403.260.9700</w:t>
                            </w:r>
                          </w:p>
                          <w:p>
                            <w:pPr>
                              <w:pStyle w:val="Normal"/>
                              <w:rPr>
                                <w:spacing w:val="-2"/>
                                <w:sz w:val="20"/>
                              </w:rPr>
                            </w:pPr>
                            <w:r>
                              <w:rPr>
                                <w:spacing w:val="-2"/>
                                <w:sz w:val="20"/>
                              </w:rPr>
                              <w:t>www.blakes.com</w:t>
                            </w:r>
                          </w:p>
                        </w:txbxContent>
                      </wps:txbx>
                      <wps:bodyPr anchor="t" lIns="635" tIns="635" rIns="635" bIns="635">
                        <a:noAutofit/>
                      </wps:bodyPr>
                    </wps:wsp>
                  </a:graphicData>
                </a:graphic>
              </wp:anchor>
            </w:drawing>
          </mc:Choice>
          <mc:Fallback>
            <w:pict>
              <v:rect fillcolor="#FFFFFF" style="position:absolute;rotation:-0;width:165.6pt;height:36pt;mso-wrap-distance-left:9.05pt;mso-wrap-distance-right:9.05pt;mso-wrap-distance-top:0pt;mso-wrap-distance-bottom:0pt;margin-top:144.7pt;mso-position-vertical-relative:page;margin-left:334.1pt;mso-position-horizontal-relative:text">
                <v:textbox inset="0.000694444444444445in,0.000694444444444445in,0.000694444444444445in,0.000694444444444445in">
                  <w:txbxContent>
                    <w:p>
                      <w:pPr>
                        <w:pStyle w:val="Normal"/>
                        <w:rPr>
                          <w:spacing w:val="-2"/>
                          <w:sz w:val="20"/>
                        </w:rPr>
                      </w:pPr>
                      <w:r>
                        <w:rPr>
                          <w:spacing w:val="-2"/>
                          <w:sz w:val="20"/>
                        </w:rPr>
                        <w:t>Telephone: 403.260.9600</w:t>
                      </w:r>
                    </w:p>
                    <w:p>
                      <w:pPr>
                        <w:pStyle w:val="Normal"/>
                        <w:rPr>
                          <w:spacing w:val="-2"/>
                          <w:sz w:val="20"/>
                        </w:rPr>
                      </w:pPr>
                      <w:r>
                        <w:rPr>
                          <w:spacing w:val="-2"/>
                          <w:sz w:val="20"/>
                        </w:rPr>
                        <w:t>Facsimile: 403.260.9700</w:t>
                      </w:r>
                    </w:p>
                    <w:p>
                      <w:pPr>
                        <w:pStyle w:val="Normal"/>
                        <w:rPr>
                          <w:spacing w:val="-2"/>
                          <w:sz w:val="20"/>
                        </w:rPr>
                      </w:pPr>
                      <w:r>
                        <w:rPr>
                          <w:spacing w:val="-2"/>
                          <w:sz w:val="20"/>
                        </w:rPr>
                        <w:t>www.blakes.com</w:t>
                      </w:r>
                    </w:p>
                  </w:txbxContent>
                </v:textbox>
                <w10:wrap type="none"/>
              </v:rect>
            </w:pict>
          </mc:Fallback>
        </mc:AlternateContent>
      </w:r>
    </w:p>
    <w:p>
      <w:pPr>
        <w:pStyle w:val="Normal"/>
        <w:tabs>
          <w:tab w:val="clear" w:pos="720"/>
          <w:tab w:val="left" w:pos="6682" w:leader="none"/>
        </w:tabs>
        <w:rPr>
          <w:spacing w:val="-2"/>
          <w:sz w:val="20"/>
        </w:rPr>
      </w:pPr>
      <w:r>
        <w:rPr>
          <w:spacing w:val="-2"/>
          <w:sz w:val="20"/>
        </w:rPr>
      </w:r>
    </w:p>
    <w:p>
      <w:pPr>
        <w:pStyle w:val="Normal"/>
        <w:tabs>
          <w:tab w:val="clear" w:pos="720"/>
          <w:tab w:val="left" w:pos="6682" w:leader="none"/>
        </w:tabs>
        <w:rPr>
          <w:spacing w:val="-2"/>
        </w:rPr>
      </w:pPr>
      <w:bookmarkStart w:id="2" w:name="Date"/>
      <w:bookmarkEnd w:id="2"/>
      <w:r>
        <w:rPr>
          <w:spacing w:val="-2"/>
        </w:rPr>
        <w:t>November 14, 2000</w:t>
      </w:r>
    </w:p>
    <w:p>
      <w:pPr>
        <w:pStyle w:val="Header"/>
        <w:tabs>
          <w:tab w:val="clear" w:pos="720"/>
          <w:tab w:val="left" w:pos="6681" w:leader="none"/>
        </w:tabs>
        <w:rPr>
          <w:spacing w:val="-2"/>
        </w:rPr>
      </w:pPr>
      <w:r>
        <w:rPr>
          <w:spacing w:val="-2"/>
        </w:rPr>
      </w:r>
      <w:r>
        <mc:AlternateContent>
          <mc:Choice Requires="wps">
            <w:drawing>
              <wp:anchor behindDoc="0" distT="0" distB="0" distL="114935" distR="114935" simplePos="0" locked="0" layoutInCell="1" allowOverlap="1" relativeHeight="7">
                <wp:simplePos x="0" y="0"/>
                <wp:positionH relativeFrom="column">
                  <wp:posOffset>4243070</wp:posOffset>
                </wp:positionH>
                <wp:positionV relativeFrom="page">
                  <wp:posOffset>2414270</wp:posOffset>
                </wp:positionV>
                <wp:extent cx="2432050" cy="1167130"/>
                <wp:effectExtent l="0" t="0" r="0" b="0"/>
                <wp:wrapNone/>
                <wp:docPr id="3" name="Frame3"/>
                <a:graphic xmlns:a="http://schemas.openxmlformats.org/drawingml/2006/main">
                  <a:graphicData uri="http://schemas.microsoft.com/office/word/2010/wordprocessingShape">
                    <wps:wsp>
                      <wps:cNvSpPr txBox="1"/>
                      <wps:spPr>
                        <a:xfrm>
                          <a:off x="0" y="0"/>
                          <a:ext cx="2432050" cy="1167130"/>
                        </a:xfrm>
                        <a:prstGeom prst="rect"/>
                        <a:solidFill>
                          <a:srgbClr val="FFFFFF"/>
                        </a:solidFill>
                      </wps:spPr>
                      <wps:txbx>
                        <w:txbxContent>
                          <w:p>
                            <w:pPr>
                              <w:pStyle w:val="CommentText"/>
                              <w:rPr>
                                <w:b/>
                              </w:rPr>
                            </w:pPr>
                            <w:bookmarkStart w:id="3" w:name="sender"/>
                            <w:bookmarkEnd w:id="3"/>
                            <w:r>
                              <w:rPr>
                                <w:b/>
                              </w:rPr>
                              <w:t>ALECK H. TRAWICK, Q.C., FCIArb</w:t>
                            </w:r>
                          </w:p>
                          <w:p>
                            <w:pPr>
                              <w:pStyle w:val="CommentText"/>
                              <w:rPr/>
                            </w:pPr>
                            <w:bookmarkStart w:id="4" w:name="sender2"/>
                            <w:bookmarkEnd w:id="4"/>
                            <w:r>
                              <w:rPr/>
                              <w:t>Direct Dial: 403.260.9710</w:t>
                            </w:r>
                          </w:p>
                          <w:p>
                            <w:pPr>
                              <w:pStyle w:val="CommentText"/>
                              <w:rPr/>
                            </w:pPr>
                            <w:r>
                              <w:rPr/>
                              <w:t>E-mail: aleck.trawick@blakes.com</w:t>
                            </w:r>
                          </w:p>
                          <w:p>
                            <w:pPr>
                              <w:pStyle w:val="CommentText"/>
                              <w:rPr/>
                            </w:pPr>
                            <w:r>
                              <w:rPr/>
                            </w:r>
                          </w:p>
                          <w:p>
                            <w:pPr>
                              <w:pStyle w:val="CommentText"/>
                              <w:rPr/>
                            </w:pPr>
                            <w:r>
                              <w:rPr/>
                              <w:t>Reference: 83829/42</w:t>
                            </w:r>
                          </w:p>
                        </w:txbxContent>
                      </wps:txbx>
                      <wps:bodyPr anchor="t" lIns="635" tIns="635" rIns="635" bIns="635">
                        <a:noAutofit/>
                      </wps:bodyPr>
                    </wps:wsp>
                  </a:graphicData>
                </a:graphic>
              </wp:anchor>
            </w:drawing>
          </mc:Choice>
          <mc:Fallback>
            <w:pict>
              <v:rect fillcolor="#FFFFFF" style="position:absolute;rotation:-0;width:191.5pt;height:91.9pt;mso-wrap-distance-left:9.05pt;mso-wrap-distance-right:9.05pt;mso-wrap-distance-top:0pt;mso-wrap-distance-bottom:0pt;margin-top:190.1pt;mso-position-vertical-relative:page;margin-left:334.1pt;mso-position-horizontal-relative:text">
                <v:textbox inset="0.000694444444444445in,0.000694444444444445in,0.000694444444444445in,0.000694444444444445in">
                  <w:txbxContent>
                    <w:p>
                      <w:pPr>
                        <w:pStyle w:val="CommentText"/>
                        <w:rPr>
                          <w:b/>
                        </w:rPr>
                      </w:pPr>
                      <w:bookmarkStart w:id="5" w:name="sender"/>
                      <w:bookmarkEnd w:id="5"/>
                      <w:r>
                        <w:rPr>
                          <w:b/>
                        </w:rPr>
                        <w:t>ALECK H. TRAWICK, Q.C., FCIArb</w:t>
                      </w:r>
                    </w:p>
                    <w:p>
                      <w:pPr>
                        <w:pStyle w:val="CommentText"/>
                        <w:rPr/>
                      </w:pPr>
                      <w:bookmarkStart w:id="6" w:name="sender2"/>
                      <w:bookmarkEnd w:id="6"/>
                      <w:r>
                        <w:rPr/>
                        <w:t>Direct Dial: 403.260.9710</w:t>
                      </w:r>
                    </w:p>
                    <w:p>
                      <w:pPr>
                        <w:pStyle w:val="CommentText"/>
                        <w:rPr/>
                      </w:pPr>
                      <w:r>
                        <w:rPr/>
                        <w:t>E-mail: aleck.trawick@blakes.com</w:t>
                      </w:r>
                    </w:p>
                    <w:p>
                      <w:pPr>
                        <w:pStyle w:val="CommentText"/>
                        <w:rPr/>
                      </w:pPr>
                      <w:r>
                        <w:rPr/>
                      </w:r>
                    </w:p>
                    <w:p>
                      <w:pPr>
                        <w:pStyle w:val="CommentText"/>
                        <w:rPr/>
                      </w:pPr>
                      <w:r>
                        <w:rPr/>
                        <w:t>Reference: 83829/42</w:t>
                      </w:r>
                    </w:p>
                  </w:txbxContent>
                </v:textbox>
                <w10:wrap type="none"/>
              </v:rect>
            </w:pict>
          </mc:Fallback>
        </mc:AlternateContent>
      </w:r>
    </w:p>
    <w:p>
      <w:pPr>
        <w:pStyle w:val="Normal"/>
        <w:tabs>
          <w:tab w:val="clear" w:pos="720"/>
          <w:tab w:val="left" w:pos="6681" w:leader="none"/>
        </w:tabs>
        <w:rPr/>
      </w:pPr>
      <w:r>
        <w:rPr/>
      </w:r>
    </w:p>
    <w:p>
      <w:pPr>
        <w:pStyle w:val="Normal"/>
        <w:tabs>
          <w:tab w:val="clear" w:pos="720"/>
          <w:tab w:val="left" w:pos="6681" w:leader="none"/>
        </w:tabs>
        <w:rPr/>
      </w:pPr>
      <w:r>
        <w:rPr/>
      </w:r>
    </w:p>
    <w:p>
      <w:pPr>
        <w:pStyle w:val="Normal"/>
        <w:tabs>
          <w:tab w:val="clear" w:pos="720"/>
          <w:tab w:val="left" w:pos="6681" w:leader="none"/>
        </w:tabs>
        <w:rPr>
          <w:u w:val="single"/>
        </w:rPr>
      </w:pPr>
      <w:bookmarkStart w:id="7" w:name="delivery"/>
      <w:bookmarkEnd w:id="7"/>
      <w:r>
        <w:rPr>
          <w:u w:val="single"/>
        </w:rPr>
        <w:t>VIA FACSIMILE</w:t>
      </w:r>
    </w:p>
    <w:p>
      <w:pPr>
        <w:pStyle w:val="Normal"/>
        <w:tabs>
          <w:tab w:val="clear" w:pos="720"/>
          <w:tab w:val="left" w:pos="6681" w:leader="none"/>
        </w:tabs>
        <w:suppressAutoHyphens w:val="true"/>
        <w:rPr>
          <w:u w:val="single"/>
        </w:rPr>
      </w:pPr>
      <w:r>
        <w:rPr>
          <w:u w:val="single"/>
        </w:rPr>
      </w:r>
    </w:p>
    <w:p>
      <w:pPr>
        <w:pStyle w:val="Normal"/>
        <w:rPr/>
      </w:pPr>
      <w:r>
        <w:rPr/>
      </w:r>
    </w:p>
    <w:p>
      <w:pPr>
        <w:pStyle w:val="Normal"/>
        <w:suppressAutoHyphens w:val="true"/>
        <w:rPr/>
      </w:pPr>
      <w:bookmarkStart w:id="8" w:name="addressee"/>
      <w:bookmarkEnd w:id="8"/>
      <w:r>
        <w:rPr/>
        <w:t>Power Pool of Alberta</w:t>
      </w:r>
    </w:p>
    <w:p>
      <w:pPr>
        <w:pStyle w:val="Normal"/>
        <w:suppressAutoHyphens w:val="true"/>
        <w:rPr/>
      </w:pPr>
      <w:r>
        <w:rPr/>
        <w:t>McFarlane Tower</w:t>
      </w:r>
    </w:p>
    <w:p>
      <w:pPr>
        <w:pStyle w:val="Normal"/>
        <w:suppressAutoHyphens w:val="true"/>
        <w:rPr/>
      </w:pPr>
      <w:r>
        <w:rPr/>
        <w:t>1800, 700 – 4</w:t>
      </w:r>
      <w:r>
        <w:rPr>
          <w:vertAlign w:val="superscript"/>
        </w:rPr>
        <w:t>th</w:t>
      </w:r>
      <w:r>
        <w:rPr/>
        <w:t xml:space="preserve"> Avenue S.W.</w:t>
      </w:r>
    </w:p>
    <w:p>
      <w:pPr>
        <w:pStyle w:val="Normal"/>
        <w:suppressAutoHyphens w:val="true"/>
        <w:rPr/>
      </w:pPr>
      <w:r>
        <w:rPr/>
        <w:t>Calgary, Alberta  T2P 3J4</w:t>
      </w:r>
    </w:p>
    <w:p>
      <w:pPr>
        <w:pStyle w:val="Normal"/>
        <w:suppressAutoHyphens w:val="true"/>
        <w:rPr/>
      </w:pPr>
      <w:r>
        <w:rPr/>
      </w:r>
    </w:p>
    <w:p>
      <w:pPr>
        <w:pStyle w:val="Normal"/>
        <w:suppressAutoHyphens w:val="true"/>
        <w:rPr/>
      </w:pPr>
      <w:r>
        <w:rPr/>
        <w:t>Attention:</w:t>
        <w:tab/>
        <w:t>Maury Parsons</w:t>
      </w:r>
    </w:p>
    <w:p>
      <w:pPr>
        <w:pStyle w:val="Normal"/>
        <w:suppressAutoHyphens w:val="true"/>
        <w:ind w:firstLine="720" w:start="720" w:end="0"/>
        <w:rPr/>
      </w:pPr>
      <w:r>
        <w:rPr/>
        <w:t>Council Chairman</w:t>
      </w:r>
    </w:p>
    <w:p>
      <w:pPr>
        <w:pStyle w:val="Normal"/>
        <w:rPr/>
      </w:pPr>
      <w:r>
        <w:rPr/>
      </w:r>
    </w:p>
    <w:p>
      <w:pPr>
        <w:pStyle w:val="Normal"/>
        <w:rPr/>
      </w:pPr>
      <w:bookmarkStart w:id="9" w:name="salutation"/>
      <w:bookmarkEnd w:id="9"/>
      <w:r>
        <w:rPr/>
        <w:t>Dear Sir:</w:t>
      </w:r>
    </w:p>
    <w:p>
      <w:pPr>
        <w:pStyle w:val="Normal"/>
        <w:rPr/>
      </w:pPr>
      <w:r>
        <w:rPr/>
      </w:r>
    </w:p>
    <w:p>
      <w:pPr>
        <w:pStyle w:val="Normal"/>
        <w:rPr>
          <w:b/>
        </w:rPr>
      </w:pPr>
      <w:bookmarkStart w:id="10" w:name="beginning"/>
      <w:bookmarkEnd w:id="10"/>
      <w:r>
        <w:rPr>
          <w:b/>
        </w:rPr>
        <w:t>Re:</w:t>
        <w:tab/>
        <w:t>Rules of the Power Pool</w:t>
      </w:r>
    </w:p>
    <w:p>
      <w:pPr>
        <w:pStyle w:val="Normal"/>
        <w:suppressAutoHyphens w:val="true"/>
        <w:rPr>
          <w:b/>
        </w:rPr>
      </w:pPr>
      <w:r>
        <w:rPr>
          <w:b/>
        </w:rPr>
      </w:r>
    </w:p>
    <w:p>
      <w:pPr>
        <w:pStyle w:val="BodyTextFirstIndent"/>
        <w:rPr/>
      </w:pPr>
      <w:r>
        <w:rPr/>
        <w:t>We represent Enron Canada Power Corp. and its parent, Enron Canada Corp. (together, “Enron”).</w:t>
      </w:r>
    </w:p>
    <w:p>
      <w:pPr>
        <w:pStyle w:val="BodyTextFirstIndent"/>
        <w:rPr/>
      </w:pPr>
      <w:r>
        <w:rPr/>
        <w:t>As you are aware, Enron purchased and is the holder of the Sundance “B” PPA, the operation and economic value of which is affected by the captioned rules.</w:t>
      </w:r>
    </w:p>
    <w:p>
      <w:pPr>
        <w:pStyle w:val="BodyTextFirstIndent"/>
        <w:rPr/>
      </w:pPr>
      <w:r>
        <w:rPr/>
        <w:t>Late in the day Friday, November 10, 2000, Enron became aware that substantial (and draconian) changes to the captioned rules would be considered by the Council of the Power Pool of Alberta (the “PPC”) at its meeting on Wednesday, November 15, 2000, at 11:00 a.m.  As you are aware, Monday, November 13, 2000 was a holiday for many in Alberta, including the Power Pool offices.</w:t>
      </w:r>
    </w:p>
    <w:p>
      <w:pPr>
        <w:pStyle w:val="BodyTextFirstIndent"/>
        <w:rPr/>
      </w:pPr>
      <w:r>
        <w:rPr/>
        <w:t>The effect of the proposed rules, entitled</w:t>
      </w:r>
    </w:p>
    <w:p>
      <w:pPr>
        <w:pStyle w:val="StandardL1"/>
        <w:numPr>
          <w:ilvl w:val="0"/>
          <w:numId w:val="2"/>
        </w:numPr>
        <w:ind w:hanging="0" w:start="0"/>
        <w:jc w:val="both"/>
        <w:rPr/>
      </w:pPr>
      <w:r>
        <w:rPr/>
        <w:t>Interconnection Rules; and</w:t>
      </w:r>
    </w:p>
    <w:p>
      <w:pPr>
        <w:pStyle w:val="StandardL1"/>
        <w:numPr>
          <w:ilvl w:val="0"/>
          <w:numId w:val="2"/>
        </w:numPr>
        <w:ind w:hanging="0" w:start="0"/>
        <w:jc w:val="both"/>
        <w:rPr/>
      </w:pPr>
      <w:r>
        <w:rPr/>
        <w:t>Dispatch Risk [Rules],</w:t>
      </w:r>
    </w:p>
    <w:p>
      <w:pPr>
        <w:pStyle w:val="BodyTextFirstIndent"/>
        <w:ind w:hanging="0" w:end="0"/>
        <w:rPr/>
      </w:pPr>
      <w:r>
        <w:rPr/>
        <w:t>would remove suppliers on the interconnections between Alberta and British Columbia, and Alberta and Saskatchewan, from the Real Time market operated by the Power Pool, and, secondly, would remove the ability of Alberta power generators to accept the Pool price for volumes of energy for which they had posted a bid that was initially priced above the market clearing price, except in unclear circumstances dictated by the System Controller.  The actual arrangements by which this would be achieved are unclear; all Enron has been provided with is a “preliminary draft” which does not contain sufficient detail to entirely understand the proposed rule changes.  However, the practical effect of the proposed rule changes is clear - they remove the basis of a competitive power pool where interconnect suppliers compete with Alberta based generators on a level playing field, and distort the market by allowing the System Controller to pick and choose between power bids for other than market reasons.</w:t>
      </w:r>
    </w:p>
    <w:p>
      <w:pPr>
        <w:pStyle w:val="BodyTextFirstIndent"/>
        <w:rPr/>
      </w:pPr>
      <w:r>
        <w:rPr/>
        <w:t>The effect of these proposed rule changes, which are tantamount to re-regulation of supply in the deregulating Alberta power market, on Enron and the other Alberta PPA owners, Alberta power generators, and development of future generation supply in Alberta will be drastic.  We note that, in advance of the PPA auction under which Enron acquired its Sundance “B” PPA for an initial investment of approximately $300 million and ongoing obligations of approximately $2.1 billion, the Government of Alberta gave a “no harm commitment” regarding its “market achievement plan” as it affects those who purchased a PPA.</w:t>
      </w:r>
    </w:p>
    <w:p>
      <w:pPr>
        <w:pStyle w:val="BodyTextFirstIndent"/>
        <w:rPr/>
      </w:pPr>
      <w:r>
        <w:rPr/>
        <w:t xml:space="preserve">We have advised Enron that the draft rule changes are not in accordance with the authority granted by the </w:t>
      </w:r>
      <w:r>
        <w:rPr>
          <w:i/>
        </w:rPr>
        <w:t>Electrical Utilities Act</w:t>
      </w:r>
      <w:r>
        <w:rPr/>
        <w:t xml:space="preserve"> (the “EUA”), in that they:</w:t>
      </w:r>
    </w:p>
    <w:p>
      <w:pPr>
        <w:pStyle w:val="StandardL2"/>
        <w:numPr>
          <w:ilvl w:val="1"/>
          <w:numId w:val="2"/>
        </w:numPr>
        <w:ind w:hanging="0" w:start="0"/>
        <w:jc w:val="both"/>
        <w:rPr/>
      </w:pPr>
      <w:r>
        <w:rPr/>
        <w:t>violate the purposes of the EUA as set out in Section 6, particularly those provisions requiring fair and open competition for the exchange of electrical energy on non-discriminatory terms, and in accordance with competitive market forces;</w:t>
      </w:r>
    </w:p>
    <w:p>
      <w:pPr>
        <w:pStyle w:val="StandardL2"/>
        <w:numPr>
          <w:ilvl w:val="1"/>
          <w:numId w:val="2"/>
        </w:numPr>
        <w:ind w:hanging="0" w:start="0"/>
        <w:rPr/>
      </w:pPr>
      <w:r>
        <w:rPr/>
        <w:t>violate Section 9(1)(d) as the proposed rule changes will not promote an efficient, fair, and openly competitive market for electricity;</w:t>
      </w:r>
    </w:p>
    <w:p>
      <w:pPr>
        <w:pStyle w:val="StandardL2"/>
        <w:numPr>
          <w:ilvl w:val="1"/>
          <w:numId w:val="2"/>
        </w:numPr>
        <w:ind w:hanging="0" w:start="0"/>
        <w:jc w:val="both"/>
        <w:rPr/>
      </w:pPr>
      <w:r>
        <w:rPr/>
        <w:t>violate Section 9(3) (a) and (b) as they are inconsistent with the EUA and are unjust, unreasonable, unduly preferential or arbitrary or unjustly discriminatory;</w:t>
      </w:r>
    </w:p>
    <w:p>
      <w:pPr>
        <w:pStyle w:val="StandardL2"/>
        <w:numPr>
          <w:ilvl w:val="1"/>
          <w:numId w:val="2"/>
        </w:numPr>
        <w:ind w:hanging="0" w:start="0"/>
        <w:jc w:val="both"/>
        <w:rPr/>
      </w:pPr>
      <w:r>
        <w:rPr/>
        <w:t>violate the requirement of Section 9(2) that the PPC must be operated, both in enacting rules and carrying them out, in such a way as to give all eligible persons wishing to exchange electrical energy through the Power Pool a reasonable opportunity to do so, in a way that is fair to those persons; and</w:t>
      </w:r>
    </w:p>
    <w:p>
      <w:pPr>
        <w:pStyle w:val="StandardL2"/>
        <w:numPr>
          <w:ilvl w:val="1"/>
          <w:numId w:val="2"/>
        </w:numPr>
        <w:ind w:hanging="0" w:start="0"/>
        <w:jc w:val="both"/>
        <w:rPr/>
      </w:pPr>
      <w:r>
        <w:rPr/>
        <w:t>would, if enacted, require the System Coordinator to violate Section 11 requiring him to select power bids in accordance with relative economic merit rather than other, non-market factors.</w:t>
      </w:r>
    </w:p>
    <w:p>
      <w:pPr>
        <w:pStyle w:val="BodyTextFirstIndent"/>
        <w:rPr/>
      </w:pPr>
      <w:r>
        <w:rPr/>
        <w:t>We have further advised Enron that the method of attempting to implement these rule changes is not in accordance with the standards required of the PPC as an administrative tribunal operating within the Province of Alberta.  Particularly, having regard to the timing of these proposed changes, there has been no realistic opportunity to analyze them prior to the meeting of the PPC at which they are to be considered and possibly enacted.  As you are aware, the meetings of the PPC are not open, and any input from industry is to be made in advance of meetings.  The practice adopted in the past by the PPC has been to give substantial advance notice of proposed rule changes (none of which have been as draconian as these to stakeholders), to provide proper draft rules to be considered by the stakeholders, and to seek the input of those stakeholders with enough time in this process to make that input meaningful.  While those past processes may not be sufficient to satisfy the legal requirements of the PPC for drastic changes such as these, not even that level of consultation has been provided for.  The timing of the communication to Enron really means that no consultation at all is being allowed.</w:t>
      </w:r>
    </w:p>
    <w:p>
      <w:pPr>
        <w:pStyle w:val="BodyTextFirstIndent"/>
        <w:rPr/>
      </w:pPr>
      <w:r>
        <w:rPr/>
        <w:t>Under the circumstances, if the PPC proceeds to enact the type of rules that it apparently is considering at its meeting of Wednesday, November 15</w:t>
      </w:r>
      <w:r>
        <w:rPr>
          <w:vertAlign w:val="superscript"/>
        </w:rPr>
        <w:t>th</w:t>
      </w:r>
      <w:r>
        <w:rPr/>
        <w:t>, Enron will instruct us to commence action for an Order or Declaration that the rules so enacted are null and void for the reasons set out above, or will instruct us to make a written complaint to the AEUB under Section 16(1)(d) of the EUA to disallow the rules on the basis that the rules are unjust, unreasonable, unduly preferential, arbitrary or unjustly discriminatory or otherwise inconsistent with or in contravention of the EUA, or both, together with any other remedy that may be available to them.</w:t>
      </w:r>
    </w:p>
    <w:p>
      <w:pPr>
        <w:pStyle w:val="BodyTextFirstIndent"/>
        <w:rPr/>
      </w:pPr>
      <w:r>
        <w:rPr/>
        <w:t>We look forward to your early confirmation that these proposed rule changes will not proceed as threatened, and the PPC will be prepared to consult with Enron and other power generators to discuss these matters prior to any rule changes of this nature being considered.  Particularly, Enron (based on its experience in the markets throughout the world) is willing to work with the Power Pool to ensure future rule changes are consistent with fair and open competition within the deregulated Alberta for the ultimate benefit of all market participants.</w:t>
      </w:r>
    </w:p>
    <w:p>
      <w:pPr>
        <w:pStyle w:val="BodyTextFirstIndent"/>
        <w:rPr/>
      </w:pPr>
      <w:r>
        <w:rPr/>
        <w:t>We look forward to hearing from you.</w:t>
      </w:r>
    </w:p>
    <w:p>
      <w:pPr>
        <w:pStyle w:val="BodyTextFirstIndent"/>
        <w:rPr/>
      </w:pPr>
      <w:r>
        <w:rPr/>
        <w:tab/>
        <w:tab/>
        <w:tab/>
        <w:tab/>
        <w:tab/>
        <w:t>Yours very truly,</w:t>
      </w:r>
    </w:p>
    <w:p>
      <w:pPr>
        <w:pStyle w:val="BodyTextFirstIndent"/>
        <w:rPr/>
      </w:pPr>
      <w:r>
        <w:rPr/>
      </w:r>
    </w:p>
    <w:p>
      <w:pPr>
        <w:pStyle w:val="BodyTextFirstIndent"/>
        <w:rPr/>
      </w:pPr>
      <w:r>
        <w:rPr/>
        <w:tab/>
        <w:tab/>
        <w:tab/>
        <w:tab/>
        <w:tab/>
        <w:t>ALECK H. TRAWICK</w:t>
      </w:r>
    </w:p>
    <w:p>
      <w:pPr>
        <w:pStyle w:val="BodyTextFirstIndent"/>
        <w:ind w:hanging="0" w:end="0"/>
        <w:rPr/>
      </w:pPr>
      <w:r>
        <w:rPr/>
        <w:t>AHTvf</w:t>
      </w:r>
    </w:p>
    <w:tbl>
      <w:tblPr>
        <w:tblW w:w="10050" w:type="dxa"/>
        <w:jc w:val="start"/>
        <w:tblInd w:w="18" w:type="dxa"/>
        <w:tblLayout w:type="fixed"/>
        <w:tblCellMar>
          <w:top w:w="0" w:type="dxa"/>
          <w:start w:w="108" w:type="dxa"/>
          <w:bottom w:w="0" w:type="dxa"/>
          <w:end w:w="108" w:type="dxa"/>
        </w:tblCellMar>
      </w:tblPr>
      <w:tblGrid>
        <w:gridCol w:w="510"/>
        <w:gridCol w:w="9540"/>
      </w:tblGrid>
      <w:tr>
        <w:trPr>
          <w:trHeight w:val="282" w:hRule="atLeast"/>
        </w:trPr>
        <w:tc>
          <w:tcPr>
            <w:tcW w:w="510" w:type="dxa"/>
            <w:tcBorders/>
          </w:tcPr>
          <w:p>
            <w:pPr>
              <w:pStyle w:val="Normal"/>
              <w:rPr>
                <w:sz w:val="18"/>
              </w:rPr>
            </w:pPr>
            <w:r>
              <w:rPr>
                <w:sz w:val="18"/>
              </w:rPr>
              <w:t>c:</w:t>
            </w:r>
          </w:p>
        </w:tc>
        <w:tc>
          <w:tcPr>
            <w:tcW w:w="9540" w:type="dxa"/>
            <w:tcBorders/>
          </w:tcPr>
          <w:p>
            <w:pPr>
              <w:pStyle w:val="Normal"/>
              <w:suppressAutoHyphens w:val="true"/>
              <w:rPr>
                <w:sz w:val="20"/>
              </w:rPr>
            </w:pPr>
            <w:bookmarkStart w:id="11" w:name="cc"/>
            <w:bookmarkEnd w:id="11"/>
            <w:r>
              <w:rPr>
                <w:sz w:val="20"/>
              </w:rPr>
              <w:t>Dale McMaster, Power Pool of Alberta</w:t>
            </w:r>
          </w:p>
          <w:p>
            <w:pPr>
              <w:pStyle w:val="Normal"/>
              <w:rPr>
                <w:sz w:val="20"/>
              </w:rPr>
            </w:pPr>
            <w:r>
              <w:rPr>
                <w:sz w:val="20"/>
              </w:rPr>
              <w:t>The Honourable Mike Cardinal, Minister of Resource Development</w:t>
            </w:r>
          </w:p>
          <w:p>
            <w:pPr>
              <w:pStyle w:val="Normal"/>
              <w:rPr>
                <w:sz w:val="20"/>
              </w:rPr>
            </w:pPr>
            <w:r>
              <w:rPr>
                <w:sz w:val="20"/>
              </w:rPr>
              <w:t>Ken Smith, Deputy Minister of Resource Development</w:t>
            </w:r>
          </w:p>
          <w:p>
            <w:pPr>
              <w:pStyle w:val="Normal"/>
              <w:rPr>
                <w:sz w:val="20"/>
              </w:rPr>
            </w:pPr>
            <w:r>
              <w:rPr>
                <w:sz w:val="20"/>
              </w:rPr>
              <w:t>P. Robson Milnthorp, President and CEO, Enron Canada Corp./Enron Canada Power Corp.</w:t>
            </w:r>
          </w:p>
          <w:p>
            <w:pPr>
              <w:pStyle w:val="Normal"/>
              <w:rPr>
                <w:sz w:val="18"/>
              </w:rPr>
            </w:pPr>
            <w:r>
              <w:rPr>
                <w:sz w:val="18"/>
              </w:rPr>
            </w:r>
          </w:p>
        </w:tc>
      </w:tr>
    </w:tbl>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73" w:top="475"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30342356.1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30342356.1</w:t>
    </w:r>
    <w:r>
      <w:rPr/>
      <w:fldChar w:fldCharType="end"/>
    </w:r>
  </w:p>
  <w:p>
    <w:pPr>
      <w:pStyle w:val="Normal"/>
      <w:tabs>
        <w:tab w:val="clear" w:pos="720"/>
        <w:tab w:val="left" w:pos="900" w:leader="none"/>
        <w:tab w:val="center" w:pos="5400" w:leader="none"/>
      </w:tabs>
      <w:jc w:val="center"/>
      <w:rPr>
        <w:sz w:val="16"/>
      </w:rPr>
    </w:pPr>
    <w:r>
      <w:rPr>
        <w:sz w:val="16"/>
      </w:rPr>
      <w:t>Blake, Cassels &amp; Graydon LLP is a limited liability partnership under the laws of Ontario</w:t>
    </w:r>
  </w:p>
  <w:p>
    <w:pPr>
      <w:pStyle w:val="Normal"/>
      <w:tabs>
        <w:tab w:val="clear" w:pos="720"/>
        <w:tab w:val="left" w:pos="900" w:leader="none"/>
        <w:tab w:val="center" w:pos="5400" w:leader="none"/>
      </w:tabs>
      <w:rPr>
        <w:sz w:val="16"/>
      </w:rPr>
    </w:pPr>
    <w:r>
      <w:rPr>
        <w:sz w:val="16"/>
      </w:rPr>
    </w:r>
  </w:p>
  <w:p>
    <w:pPr>
      <w:pStyle w:val="Normal"/>
      <w:tabs>
        <w:tab w:val="clear" w:pos="720"/>
        <w:tab w:val="left" w:pos="900" w:leader="none"/>
        <w:tab w:val="center" w:pos="5400" w:leader="none"/>
      </w:tabs>
      <w:jc w:val="center"/>
      <w:rPr/>
    </w:pPr>
    <w:r>
      <w:rPr>
        <w:sz w:val="16"/>
      </w:rPr>
      <w:t>Toronto</w:t>
    </w:r>
    <w:r>
      <w:rPr>
        <w:sz w:val="12"/>
      </w:rPr>
      <w:t xml:space="preserve">        </w:t>
    </w:r>
    <w:r>
      <w:rPr>
        <w:sz w:val="16"/>
      </w:rPr>
      <w:t xml:space="preserve">• </w:t>
    </w:r>
    <w:r>
      <w:rPr>
        <w:sz w:val="12"/>
      </w:rPr>
      <w:t xml:space="preserve">       </w:t>
    </w:r>
    <w:r>
      <w:rPr>
        <w:sz w:val="16"/>
      </w:rPr>
      <w:t>Ottawa</w:t>
    </w:r>
    <w:r>
      <w:rPr>
        <w:sz w:val="12"/>
      </w:rPr>
      <w:t xml:space="preserve">        </w:t>
    </w:r>
    <w:r>
      <w:rPr>
        <w:sz w:val="16"/>
      </w:rPr>
      <w:t>•</w:t>
    </w:r>
    <w:r>
      <w:rPr>
        <w:sz w:val="12"/>
      </w:rPr>
      <w:t xml:space="preserve">        </w:t>
    </w:r>
    <w:r>
      <w:rPr>
        <w:sz w:val="16"/>
      </w:rPr>
      <w:t>Montreal</w:t>
    </w:r>
    <w:r>
      <w:rPr>
        <w:sz w:val="12"/>
      </w:rPr>
      <w:t xml:space="preserve">* </w:t>
    </w:r>
    <w:r>
      <w:rPr>
        <w:sz w:val="16"/>
      </w:rPr>
      <w:t xml:space="preserve">     •</w:t>
    </w:r>
    <w:r>
      <w:rPr>
        <w:sz w:val="14"/>
      </w:rPr>
      <w:t xml:space="preserve"> </w:t>
    </w:r>
    <w:r>
      <w:rPr>
        <w:sz w:val="12"/>
      </w:rPr>
      <w:t xml:space="preserve">       </w:t>
    </w:r>
    <w:r>
      <w:rPr>
        <w:sz w:val="16"/>
      </w:rPr>
      <w:t>Quebec City</w:t>
    </w:r>
    <w:r>
      <w:rPr>
        <w:sz w:val="12"/>
      </w:rPr>
      <w:t xml:space="preserve">*        </w:t>
    </w:r>
    <w:r>
      <w:rPr>
        <w:sz w:val="16"/>
      </w:rPr>
      <w:t xml:space="preserve">• </w:t>
    </w:r>
    <w:r>
      <w:rPr>
        <w:sz w:val="12"/>
      </w:rPr>
      <w:t xml:space="preserve">       </w:t>
    </w:r>
    <w:r>
      <w:rPr>
        <w:sz w:val="16"/>
      </w:rPr>
      <w:t>Calgary      •</w:t>
    </w:r>
    <w:r>
      <w:rPr>
        <w:sz w:val="12"/>
      </w:rPr>
      <w:t xml:space="preserve">        </w:t>
    </w:r>
    <w:r>
      <w:rPr>
        <w:sz w:val="16"/>
      </w:rPr>
      <w:t>Vancouver</w:t>
    </w:r>
    <w:r>
      <w:rPr>
        <w:sz w:val="12"/>
      </w:rPr>
      <w:t xml:space="preserve">        </w:t>
    </w:r>
    <w:r>
      <w:rPr>
        <w:sz w:val="16"/>
      </w:rPr>
      <w:t xml:space="preserve">• </w:t>
    </w:r>
    <w:r>
      <w:rPr>
        <w:sz w:val="12"/>
      </w:rPr>
      <w:t xml:space="preserve">       </w:t>
    </w:r>
    <w:r>
      <w:rPr>
        <w:sz w:val="16"/>
      </w:rPr>
      <w:t>London, U.K.</w:t>
    </w:r>
    <w:r>
      <w:rPr>
        <w:sz w:val="12"/>
      </w:rPr>
      <w:t xml:space="preserve">        </w:t>
    </w:r>
    <w:r>
      <w:rPr>
        <w:sz w:val="16"/>
      </w:rPr>
      <w:t xml:space="preserve">• </w:t>
    </w:r>
    <w:r>
      <w:rPr>
        <w:sz w:val="12"/>
      </w:rPr>
      <w:t xml:space="preserve">       </w:t>
    </w:r>
    <w:r>
      <w:rPr>
        <w:sz w:val="16"/>
      </w:rPr>
      <w:t>Beijing</w:t>
    </w:r>
  </w:p>
  <w:p>
    <w:pPr>
      <w:pStyle w:val="Normal"/>
      <w:tabs>
        <w:tab w:val="clear" w:pos="720"/>
        <w:tab w:val="left" w:pos="900" w:leader="none"/>
        <w:tab w:val="center" w:pos="5400" w:leader="none"/>
      </w:tabs>
      <w:ind w:end="-36"/>
      <w:jc w:val="center"/>
      <w:rPr/>
    </w:pPr>
    <w:r>
      <w:rPr>
        <w:sz w:val="12"/>
      </w:rPr>
      <w:t>*</w:t>
    </w:r>
    <w:r>
      <w:rPr>
        <w:sz w:val="16"/>
      </w:rPr>
      <w:t xml:space="preserve">Associated firm: Lavery, de Billy    </w:t>
    </w:r>
    <w:r>
      <w:rPr>
        <w:sz w:val="12"/>
      </w:rPr>
      <w:t xml:space="preserve">  </w:t>
    </w:r>
    <w:r>
      <w:rPr>
        <w:sz w:val="16"/>
      </w:rPr>
      <w:t xml:space="preserve">  </w:t>
    </w:r>
    <w:r>
      <w:rPr>
        <w:color w:val="FFFFFF"/>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r>
      <mc:AlternateContent>
        <mc:Choice Requires="wps">
          <w:drawing>
            <wp:anchor behindDoc="0" distT="0" distB="0" distL="0" distR="0" simplePos="0" locked="0" layoutInCell="0" allowOverlap="1" relativeHeight="3">
              <wp:simplePos x="0" y="0"/>
              <wp:positionH relativeFrom="page">
                <wp:posOffset>6456045</wp:posOffset>
              </wp:positionH>
              <wp:positionV relativeFrom="page">
                <wp:posOffset>1097915</wp:posOffset>
              </wp:positionV>
              <wp:extent cx="494030"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494030"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9pt;height:13.8pt;mso-wrap-distance-left:0pt;mso-wrap-distance-right:0pt;mso-wrap-distance-top:0pt;mso-wrap-distance-bottom:0pt;margin-top:86.4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lang w:val="en-CA"/>
      </w:rPr>
    </w:pPr>
    <w:r>
      <w:rPr>
        <w:lang w:val="en-CA"/>
      </w:rPr>
    </w:r>
    <w:r>
      <mc:AlternateContent>
        <mc:Choice Requires="wps">
          <w:drawing>
            <wp:anchor behindDoc="0" distT="0" distB="0" distL="114935" distR="114935" simplePos="0" locked="0" layoutInCell="0" allowOverlap="1" relativeHeight="5">
              <wp:simplePos x="0" y="0"/>
              <wp:positionH relativeFrom="column">
                <wp:posOffset>0</wp:posOffset>
              </wp:positionH>
              <wp:positionV relativeFrom="page">
                <wp:posOffset>791845</wp:posOffset>
              </wp:positionV>
              <wp:extent cx="3749040" cy="488315"/>
              <wp:effectExtent l="0" t="0" r="0" b="0"/>
              <wp:wrapTopAndBottom/>
              <wp:docPr id="5" name="Frame5"/>
              <a:graphic xmlns:a="http://schemas.openxmlformats.org/drawingml/2006/main">
                <a:graphicData uri="http://schemas.microsoft.com/office/word/2010/wordprocessingShape">
                  <wps:wsp>
                    <wps:cNvSpPr txBox="1"/>
                    <wps:spPr>
                      <a:xfrm>
                        <a:off x="0" y="0"/>
                        <a:ext cx="3749040" cy="48831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38.45pt;mso-wrap-distance-left:9.05pt;mso-wrap-distance-right:9.05pt;mso-wrap-distance-top:0pt;mso-wrap-distance-bottom:0pt;margin-top:62.35pt;mso-position-vertical-relative:page;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end"/>
      <w:pPr>
        <w:tabs>
          <w:tab w:val="num" w:pos="3888"/>
        </w:tabs>
        <w:ind w:start="3888"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end"/>
      <w:pPr>
        <w:tabs>
          <w:tab w:val="num" w:pos="4752"/>
        </w:tabs>
        <w:ind w:start="4752" w:hanging="432"/>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72"/>
        </w:tabs>
        <w:ind w:start="5472"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92"/>
        </w:tabs>
        <w:ind w:start="6192"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end"/>
      <w:pPr>
        <w:tabs>
          <w:tab w:val="num" w:pos="7056"/>
        </w:tabs>
        <w:ind w:start="7056" w:hanging="432"/>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lang w:val="en-CA"/>
    </w:rPr>
  </w:style>
  <w:style w:type="paragraph" w:styleId="Heading2">
    <w:name w:val="heading 2"/>
    <w:basedOn w:val="Normal"/>
    <w:next w:val="BodyText"/>
    <w:qFormat/>
    <w:pPr>
      <w:keepNext w:val="true"/>
      <w:numPr>
        <w:ilvl w:val="1"/>
        <w:numId w:val="1"/>
      </w:numPr>
      <w:spacing w:before="240" w:after="60"/>
      <w:outlineLvl w:val="1"/>
    </w:pPr>
    <w:rPr>
      <w:b/>
      <w:i/>
      <w:lang w:val="en-CA"/>
    </w:rPr>
  </w:style>
  <w:style w:type="paragraph" w:styleId="Heading3">
    <w:name w:val="heading 3"/>
    <w:basedOn w:val="Normal"/>
    <w:next w:val="BodyText"/>
    <w:qFormat/>
    <w:pPr>
      <w:numPr>
        <w:ilvl w:val="2"/>
        <w:numId w:val="1"/>
      </w:numPr>
      <w:spacing w:before="240" w:after="60"/>
      <w:outlineLvl w:val="2"/>
    </w:pPr>
    <w:rPr>
      <w:lang w:val="en-CA"/>
    </w:rPr>
  </w:style>
  <w:style w:type="paragraph" w:styleId="Heading4">
    <w:name w:val="heading 4"/>
    <w:basedOn w:val="Normal"/>
    <w:next w:val="BodyText"/>
    <w:qFormat/>
    <w:pPr>
      <w:numPr>
        <w:ilvl w:val="3"/>
        <w:numId w:val="1"/>
      </w:numPr>
      <w:spacing w:before="240" w:after="60"/>
      <w:outlineLvl w:val="3"/>
    </w:pPr>
    <w:rPr>
      <w:b/>
      <w:lang w:val="en-CA"/>
    </w:rPr>
  </w:style>
  <w:style w:type="paragraph" w:styleId="Heading5">
    <w:name w:val="heading 5"/>
    <w:basedOn w:val="Normal"/>
    <w:next w:val="BodyText"/>
    <w:qFormat/>
    <w:pPr>
      <w:numPr>
        <w:ilvl w:val="4"/>
        <w:numId w:val="1"/>
      </w:numPr>
      <w:spacing w:before="240" w:after="60"/>
      <w:outlineLvl w:val="4"/>
    </w:pPr>
    <w:rPr>
      <w:sz w:val="22"/>
      <w:lang w:val="en-CA"/>
    </w:rPr>
  </w:style>
  <w:style w:type="paragraph" w:styleId="Heading6">
    <w:name w:val="heading 6"/>
    <w:basedOn w:val="Normal"/>
    <w:next w:val="BodyText"/>
    <w:qFormat/>
    <w:pPr>
      <w:numPr>
        <w:ilvl w:val="5"/>
        <w:numId w:val="1"/>
      </w:numPr>
      <w:spacing w:before="240" w:after="60"/>
      <w:outlineLvl w:val="5"/>
    </w:pPr>
    <w:rPr>
      <w:i/>
      <w:sz w:val="22"/>
      <w:lang w:val="en-CA"/>
    </w:rPr>
  </w:style>
  <w:style w:type="paragraph" w:styleId="Heading7">
    <w:name w:val="heading 7"/>
    <w:basedOn w:val="Normal"/>
    <w:next w:val="BodyText"/>
    <w:qFormat/>
    <w:pPr>
      <w:numPr>
        <w:ilvl w:val="6"/>
        <w:numId w:val="1"/>
      </w:numPr>
      <w:spacing w:before="240" w:after="60"/>
      <w:outlineLvl w:val="6"/>
    </w:pPr>
    <w:rPr>
      <w:lang w:val="en-CA"/>
    </w:rPr>
  </w:style>
  <w:style w:type="paragraph" w:styleId="Heading8">
    <w:name w:val="heading 8"/>
    <w:basedOn w:val="Normal"/>
    <w:next w:val="BodyText"/>
    <w:qFormat/>
    <w:pPr>
      <w:numPr>
        <w:ilvl w:val="7"/>
        <w:numId w:val="1"/>
      </w:numPr>
      <w:spacing w:before="240" w:after="60"/>
      <w:outlineLvl w:val="7"/>
    </w:pPr>
    <w:rPr>
      <w:i/>
      <w:lang w:val="en-CA"/>
    </w:rPr>
  </w:style>
  <w:style w:type="paragraph" w:styleId="Heading9">
    <w:name w:val="heading 9"/>
    <w:basedOn w:val="Normal"/>
    <w:next w:val="BodyText"/>
    <w:qFormat/>
    <w:pPr>
      <w:numPr>
        <w:ilvl w:val="8"/>
        <w:numId w:val="1"/>
      </w:numPr>
      <w:spacing w:before="240" w:after="60"/>
      <w:outlineLvl w:val="8"/>
    </w:pPr>
    <w:rPr>
      <w:b/>
      <w:i/>
      <w:sz w:val="18"/>
      <w:lang w:val="en-CA"/>
    </w:rPr>
  </w:style>
  <w:style w:type="character" w:styleId="WW8Num1z0">
    <w:name w:val="WW8Num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Date">
    <w:name w:val="Date"/>
    <w:basedOn w:val="BodyText"/>
    <w:next w:val="BodyText"/>
    <w:qFormat/>
    <w:pPr/>
    <w:rPr/>
  </w:style>
  <w:style w:type="paragraph" w:styleId="Closing">
    <w:name w:val="Closing"/>
    <w:basedOn w:val="Normal"/>
    <w:qFormat/>
    <w:pPr>
      <w:ind w:hanging="0" w:start="4320" w:end="0"/>
    </w:pPr>
    <w:rPr>
      <w:lang w:val="en-CA"/>
    </w:rPr>
  </w:style>
  <w:style w:type="paragraph" w:styleId="CommentText">
    <w:name w:val="Comment Text"/>
    <w:qFormat/>
    <w:pPr>
      <w:widowControl/>
      <w:bidi w:val="0"/>
    </w:pPr>
    <w:rPr>
      <w:rFonts w:ascii="Times New Roman" w:hAnsi="Times New Roman" w:eastAsia="Times New Roman" w:cs="Times New Roman"/>
      <w:color w:val="auto"/>
      <w:sz w:val="20"/>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NumContinue">
    <w:name w:val="Num Continue"/>
    <w:basedOn w:val="BodyText"/>
    <w:qFormat/>
    <w:pPr>
      <w:jc w:val="start"/>
    </w:pPr>
    <w:rPr/>
  </w:style>
  <w:style w:type="paragraph" w:styleId="Signature">
    <w:name w:val="Signature"/>
    <w:basedOn w:val="Normal"/>
    <w:pPr>
      <w:ind w:hanging="0" w:start="4320" w:end="0"/>
    </w:pPr>
    <w:rPr/>
  </w:style>
  <w:style w:type="paragraph" w:styleId="TOC2">
    <w:name w:val="toc 2"/>
    <w:basedOn w:val="Normal"/>
    <w:next w:val="Normal"/>
    <w:pPr>
      <w:ind w:hanging="0" w:start="240" w:end="0"/>
    </w:pPr>
    <w:rPr/>
  </w:style>
  <w:style w:type="paragraph" w:styleId="StandardL1">
    <w:name w:val="Standard_L1"/>
    <w:basedOn w:val="Normal"/>
    <w:next w:val="NumContinue"/>
    <w:qFormat/>
    <w:pPr>
      <w:numPr>
        <w:ilvl w:val="0"/>
        <w:numId w:val="2"/>
      </w:numPr>
      <w:spacing w:before="0" w:after="240"/>
      <w:jc w:val="start"/>
      <w:outlineLvl w:val="0"/>
    </w:pPr>
    <w:rPr>
      <w:lang w:val="en-US"/>
    </w:rPr>
  </w:style>
  <w:style w:type="paragraph" w:styleId="StandardL2">
    <w:name w:val="Standard_L2"/>
    <w:basedOn w:val="StandardL1"/>
    <w:next w:val="NumContinue"/>
    <w:qFormat/>
    <w:pPr>
      <w:numPr>
        <w:ilvl w:val="0"/>
        <w:numId w:val="2"/>
      </w:numPr>
      <w:outlineLvl w:val="1"/>
    </w:pPr>
    <w:rPr/>
  </w:style>
  <w:style w:type="paragraph" w:styleId="StandardL3">
    <w:name w:val="Standard_L3"/>
    <w:basedOn w:val="StandardL2"/>
    <w:next w:val="NumContinue"/>
    <w:qFormat/>
    <w:pPr>
      <w:numPr>
        <w:ilvl w:val="0"/>
        <w:numId w:val="2"/>
      </w:numPr>
      <w:outlineLvl w:val="2"/>
    </w:pPr>
    <w:rPr/>
  </w:style>
  <w:style w:type="paragraph" w:styleId="StandardL4">
    <w:name w:val="Standard_L4"/>
    <w:basedOn w:val="StandardL3"/>
    <w:next w:val="NumContinue"/>
    <w:qFormat/>
    <w:pPr>
      <w:numPr>
        <w:ilvl w:val="0"/>
        <w:numId w:val="2"/>
      </w:numPr>
      <w:outlineLvl w:val="3"/>
    </w:pPr>
    <w:rPr/>
  </w:style>
  <w:style w:type="paragraph" w:styleId="StandardL5">
    <w:name w:val="Standard_L5"/>
    <w:basedOn w:val="StandardL4"/>
    <w:next w:val="NumContinue"/>
    <w:qFormat/>
    <w:pPr>
      <w:numPr>
        <w:ilvl w:val="0"/>
        <w:numId w:val="2"/>
      </w:numPr>
      <w:outlineLvl w:val="4"/>
    </w:pPr>
    <w:rPr/>
  </w:style>
  <w:style w:type="paragraph" w:styleId="StandardL6">
    <w:name w:val="Standard_L6"/>
    <w:basedOn w:val="StandardL5"/>
    <w:next w:val="NumContinue"/>
    <w:qFormat/>
    <w:pPr>
      <w:numPr>
        <w:ilvl w:val="0"/>
        <w:numId w:val="2"/>
      </w:numPr>
      <w:outlineLvl w:val="5"/>
    </w:pPr>
    <w:rPr/>
  </w:style>
  <w:style w:type="paragraph" w:styleId="StandardL7">
    <w:name w:val="Standard_L7"/>
    <w:basedOn w:val="StandardL6"/>
    <w:next w:val="NumContinue"/>
    <w:qFormat/>
    <w:pPr>
      <w:numPr>
        <w:ilvl w:val="0"/>
        <w:numId w:val="2"/>
      </w:numPr>
      <w:outlineLvl w:val="6"/>
    </w:pPr>
    <w:rPr/>
  </w:style>
  <w:style w:type="paragraph" w:styleId="StandardL8">
    <w:name w:val="Standard_L8"/>
    <w:basedOn w:val="StandardL7"/>
    <w:next w:val="NumContinue"/>
    <w:qFormat/>
    <w:pPr>
      <w:numPr>
        <w:ilvl w:val="0"/>
        <w:numId w:val="2"/>
      </w:numPr>
      <w:outlineLvl w:val="7"/>
    </w:pPr>
    <w:rPr/>
  </w:style>
  <w:style w:type="paragraph" w:styleId="StandardL9">
    <w:name w:val="Standard_L9"/>
    <w:basedOn w:val="StandardL8"/>
    <w:next w:val="NumContinue"/>
    <w:qFormat/>
    <w:pPr>
      <w:numPr>
        <w:ilvl w:val="0"/>
        <w:numId w:val="2"/>
      </w:numPr>
      <w:outlineLvl w:val="8"/>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2000-11-14T16:38:00Z</dcterms:created>
  <dc:creator>jes</dc:creator>
  <dc:description/>
  <dc:language>en-CA</dc:language>
  <cp:lastModifiedBy>jes</cp:lastModifiedBy>
  <cp:lastPrinted>2000-11-14T15:50:00Z</cp:lastPrinted>
  <dcterms:modified xsi:type="dcterms:W3CDTF">2000-11-14T20:22:00Z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30342356.1</vt:lpwstr>
  </property>
</Properties>
</file>