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8" w:type="dxa"/>
        <w:jc w:val="start"/>
        <w:tblInd w:w="0" w:type="dxa"/>
        <w:tblLayout w:type="fixed"/>
        <w:tblCellMar>
          <w:top w:w="0" w:type="dxa"/>
          <w:start w:w="108" w:type="dxa"/>
          <w:bottom w:w="0" w:type="dxa"/>
          <w:end w:w="108" w:type="dxa"/>
        </w:tblCellMar>
      </w:tblPr>
      <w:tblGrid>
        <w:gridCol w:w="3073"/>
        <w:gridCol w:w="275"/>
        <w:gridCol w:w="253"/>
        <w:gridCol w:w="1187"/>
        <w:gridCol w:w="117"/>
        <w:gridCol w:w="1017"/>
        <w:gridCol w:w="1026"/>
        <w:gridCol w:w="279"/>
        <w:gridCol w:w="981"/>
        <w:gridCol w:w="225"/>
        <w:gridCol w:w="1215"/>
      </w:tblGrid>
      <w:tr>
        <w:trPr/>
        <w:tc>
          <w:tcPr>
            <w:tcW w:w="9648" w:type="dxa"/>
            <w:gridSpan w:val="11"/>
            <w:tcBorders/>
          </w:tcPr>
          <w:p>
            <w:pPr>
              <w:pStyle w:val="Heading1"/>
              <w:ind w:hanging="0" w:start="0"/>
              <w:rPr/>
            </w:pPr>
            <w:r>
              <w:rPr/>
              <w:t>LTIP</w:t>
            </w:r>
          </w:p>
          <w:p>
            <w:pPr>
              <w:pStyle w:val="Normal"/>
              <w:jc w:val="center"/>
              <w:rPr>
                <w:rFonts w:ascii="Arial Narrow" w:hAnsi="Arial Narrow" w:cs="Arial Narrow"/>
                <w:b/>
                <w:bCs/>
              </w:rPr>
            </w:pPr>
            <w:r>
              <w:rPr>
                <w:rFonts w:cs="Arial Narrow" w:ascii="Arial Narrow" w:hAnsi="Arial Narrow"/>
                <w:b/>
                <w:bCs/>
              </w:rPr>
              <w:t>Summary of Terms</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Term:</w:t>
            </w:r>
          </w:p>
        </w:tc>
        <w:tc>
          <w:tcPr>
            <w:tcW w:w="6575" w:type="dxa"/>
            <w:gridSpan w:val="10"/>
            <w:tcBorders/>
          </w:tcPr>
          <w:p>
            <w:pPr>
              <w:pStyle w:val="Normal"/>
              <w:rPr>
                <w:rFonts w:ascii="Arial Narrow" w:hAnsi="Arial Narrow" w:cs="Arial Narrow"/>
                <w:sz w:val="18"/>
              </w:rPr>
            </w:pPr>
            <w:r>
              <w:rPr>
                <w:rFonts w:cs="Arial Narrow" w:ascii="Arial Narrow" w:hAnsi="Arial Narrow"/>
                <w:sz w:val="18"/>
              </w:rPr>
              <w:t>From Signing to December 31, 2006</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Participants, Participation, Vesting:</w:t>
            </w:r>
          </w:p>
        </w:tc>
        <w:tc>
          <w:tcPr>
            <w:tcW w:w="6575" w:type="dxa"/>
            <w:gridSpan w:val="10"/>
            <w:tcBorders/>
          </w:tcPr>
          <w:p>
            <w:pPr>
              <w:pStyle w:val="Normal"/>
              <w:rPr>
                <w:rFonts w:ascii="Arial Narrow" w:hAnsi="Arial Narrow" w:cs="Arial Narrow"/>
                <w:sz w:val="18"/>
              </w:rPr>
            </w:pPr>
            <w:r>
              <w:rPr>
                <w:rFonts w:cs="Arial Narrow" w:ascii="Arial Narrow" w:hAnsi="Arial Narrow"/>
                <w:sz w:val="18"/>
              </w:rPr>
              <w:t>Schedule A</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Base Equity Value:</w:t>
            </w:r>
          </w:p>
        </w:tc>
        <w:tc>
          <w:tcPr>
            <w:tcW w:w="6575" w:type="dxa"/>
            <w:gridSpan w:val="10"/>
            <w:tcBorders/>
          </w:tcPr>
          <w:p>
            <w:pPr>
              <w:pStyle w:val="Normal"/>
              <w:rPr>
                <w:rFonts w:ascii="Arial Narrow" w:hAnsi="Arial Narrow" w:cs="Arial Narrow"/>
                <w:sz w:val="18"/>
              </w:rPr>
            </w:pPr>
            <w:r>
              <w:rPr>
                <w:rFonts w:cs="Arial Narrow" w:ascii="Arial Narrow" w:hAnsi="Arial Narrow"/>
                <w:sz w:val="18"/>
              </w:rPr>
              <w:t>$115 million</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Threshold Annual Rate of Return on Equity (“Threshold Return”):</w:t>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0%</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Start Date:</w:t>
            </w:r>
          </w:p>
        </w:tc>
        <w:tc>
          <w:tcPr>
            <w:tcW w:w="6575" w:type="dxa"/>
            <w:gridSpan w:val="10"/>
            <w:tcBorders/>
          </w:tcPr>
          <w:p>
            <w:pPr>
              <w:pStyle w:val="Normal"/>
              <w:rPr>
                <w:rFonts w:ascii="Arial Narrow" w:hAnsi="Arial Narrow" w:cs="Arial Narrow"/>
                <w:sz w:val="18"/>
              </w:rPr>
            </w:pPr>
            <w:r>
              <w:rPr>
                <w:rFonts w:cs="Arial Narrow" w:ascii="Arial Narrow" w:hAnsi="Arial Narrow"/>
                <w:sz w:val="18"/>
              </w:rPr>
              <w:t>September 30, 2001</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Excess Return:</w:t>
            </w:r>
          </w:p>
        </w:tc>
        <w:tc>
          <w:tcPr>
            <w:tcW w:w="6575" w:type="dxa"/>
            <w:gridSpan w:val="10"/>
            <w:tcBorders/>
          </w:tcPr>
          <w:p>
            <w:pPr>
              <w:pStyle w:val="Normal"/>
              <w:jc w:val="both"/>
              <w:rPr>
                <w:rFonts w:ascii="Arial Narrow" w:hAnsi="Arial Narrow" w:cs="Arial Narrow"/>
                <w:sz w:val="18"/>
              </w:rPr>
            </w:pPr>
            <w:r>
              <w:rPr>
                <w:rFonts w:cs="Arial Narrow" w:ascii="Arial Narrow" w:hAnsi="Arial Narrow"/>
                <w:sz w:val="18"/>
              </w:rPr>
              <w:t>The amount of any realized gain resulting from a Qualifying Sale or a Qualifying Event that exceeds the Threshold Return, subject to the Cap.</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Participants’ Share of Excess Return (“Pool”):</w:t>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10%</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Cap:</w:t>
            </w:r>
          </w:p>
        </w:tc>
        <w:tc>
          <w:tcPr>
            <w:tcW w:w="1715" w:type="dxa"/>
            <w:gridSpan w:val="3"/>
            <w:tcBorders/>
          </w:tcPr>
          <w:p>
            <w:pPr>
              <w:pStyle w:val="Normal"/>
              <w:rPr>
                <w:rFonts w:ascii="Arial Narrow" w:hAnsi="Arial Narrow" w:cs="Arial Narrow"/>
                <w:sz w:val="18"/>
              </w:rPr>
            </w:pPr>
            <w:r>
              <w:rPr>
                <w:rFonts w:cs="Arial Narrow" w:ascii="Arial Narrow" w:hAnsi="Arial Narrow"/>
                <w:sz w:val="18"/>
              </w:rPr>
              <w:t>Limit on size of Pool:</w:t>
            </w:r>
          </w:p>
        </w:tc>
        <w:tc>
          <w:tcPr>
            <w:tcW w:w="2160" w:type="dxa"/>
            <w:gridSpan w:val="3"/>
            <w:tcBorders/>
          </w:tcPr>
          <w:p>
            <w:pPr>
              <w:pStyle w:val="Normal"/>
              <w:jc w:val="center"/>
              <w:rPr>
                <w:rFonts w:ascii="Arial Narrow" w:hAnsi="Arial Narrow" w:cs="Arial Narrow"/>
                <w:sz w:val="18"/>
              </w:rPr>
            </w:pPr>
            <w:r>
              <w:rPr>
                <w:rFonts w:cs="Arial Narrow" w:ascii="Arial Narrow" w:hAnsi="Arial Narrow"/>
                <w:sz w:val="18"/>
              </w:rPr>
              <w:t>Period</w:t>
            </w:r>
          </w:p>
        </w:tc>
        <w:tc>
          <w:tcPr>
            <w:tcW w:w="1260" w:type="dxa"/>
            <w:gridSpan w:val="2"/>
            <w:tcBorders/>
          </w:tcPr>
          <w:p>
            <w:pPr>
              <w:pStyle w:val="Normal"/>
              <w:jc w:val="center"/>
              <w:rPr>
                <w:rFonts w:ascii="Arial Narrow" w:hAnsi="Arial Narrow" w:cs="Arial Narrow"/>
                <w:sz w:val="18"/>
              </w:rPr>
            </w:pPr>
            <w:r>
              <w:rPr>
                <w:rFonts w:cs="Arial Narrow" w:ascii="Arial Narrow" w:hAnsi="Arial Narrow"/>
                <w:sz w:val="18"/>
              </w:rPr>
              <w:t>Cap</w:t>
            </w:r>
          </w:p>
        </w:tc>
        <w:tc>
          <w:tcPr>
            <w:tcW w:w="1440" w:type="dxa"/>
            <w:gridSpan w:val="2"/>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spacing w:before="60" w:after="0"/>
              <w:rPr>
                <w:rFonts w:ascii="Arial Narrow" w:hAnsi="Arial Narrow" w:cs="Arial Narrow"/>
                <w:sz w:val="18"/>
                <w:lang w:val="en-CA" w:eastAsia="en-CA"/>
              </w:rPr>
            </w:pPr>
            <w:r>
              <w:rPr>
                <w:rFonts w:cs="Arial Narrow" w:ascii="Arial Narrow" w:hAnsi="Arial Narrow"/>
                <w:sz w:val="18"/>
                <w:lang w:val="en-CA" w:eastAsia="en-CA"/>
              </w:rPr>
              <mc:AlternateContent>
                <mc:Choice Requires="wps">
                  <w:drawing>
                    <wp:anchor behindDoc="0" distT="0" distB="0" distL="114935" distR="114935" simplePos="0" locked="0" layoutInCell="0" allowOverlap="1" relativeHeight="8">
                      <wp:simplePos x="0" y="0"/>
                      <wp:positionH relativeFrom="margin">
                        <wp:posOffset>3067050</wp:posOffset>
                      </wp:positionH>
                      <wp:positionV relativeFrom="paragraph">
                        <wp:posOffset>-3175</wp:posOffset>
                      </wp:positionV>
                      <wp:extent cx="1162050" cy="0"/>
                      <wp:effectExtent l="0" t="5080" r="0" b="5080"/>
                      <wp:wrapNone/>
                      <wp:docPr id="1" name=""/>
                      <a:graphic xmlns:a="http://schemas.openxmlformats.org/drawingml/2006/main">
                        <a:graphicData uri="http://schemas.microsoft.com/office/word/2010/wordprocessingShape">
                          <wps:wsp>
                            <wps:cNvSpPr/>
                            <wps:spPr>
                              <a:xfrm>
                                <a:off x="0" y="0"/>
                                <a:ext cx="116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1.5pt,-0.25pt" to="332.95pt,-0.2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9">
                      <wp:simplePos x="0" y="0"/>
                      <wp:positionH relativeFrom="margin">
                        <wp:posOffset>4457700</wp:posOffset>
                      </wp:positionH>
                      <wp:positionV relativeFrom="paragraph">
                        <wp:posOffset>-3175</wp:posOffset>
                      </wp:positionV>
                      <wp:extent cx="571500" cy="0"/>
                      <wp:effectExtent l="0" t="5080" r="0" b="5080"/>
                      <wp:wrapNone/>
                      <wp:docPr id="2"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1pt,-0.25pt" to="395.95pt,-0.25pt" stroked="t" o:allowincell="f" style="position:absolute;mso-position-horizontal-relative:margin">
                      <v:stroke color="black" weight="9360" joinstyle="miter" endcap="flat"/>
                      <v:fill o:detectmouseclick="t" on="false"/>
                      <w10:wrap type="none"/>
                    </v:line>
                  </w:pict>
                </mc:Fallback>
              </mc:AlternateContent>
            </w:r>
          </w:p>
        </w:tc>
        <w:tc>
          <w:tcPr>
            <w:tcW w:w="1715" w:type="dxa"/>
            <w:gridSpan w:val="3"/>
            <w:tcBorders/>
          </w:tcPr>
          <w:p>
            <w:pPr>
              <w:pStyle w:val="Normal"/>
              <w:snapToGrid w:val="false"/>
              <w:spacing w:before="60" w:after="0"/>
              <w:rPr>
                <w:rFonts w:ascii="Arial Narrow" w:hAnsi="Arial Narrow" w:cs="Arial Narrow"/>
                <w:sz w:val="18"/>
              </w:rPr>
            </w:pPr>
            <w:r>
              <w:rPr>
                <w:rFonts w:cs="Arial Narrow" w:ascii="Arial Narrow" w:hAnsi="Arial Narrow"/>
                <w:sz w:val="18"/>
              </w:rPr>
            </w:r>
          </w:p>
        </w:tc>
        <w:tc>
          <w:tcPr>
            <w:tcW w:w="2160" w:type="dxa"/>
            <w:gridSpan w:val="3"/>
            <w:tcBorders/>
          </w:tcPr>
          <w:p>
            <w:pPr>
              <w:pStyle w:val="Normal"/>
              <w:spacing w:before="60" w:after="0"/>
              <w:rPr>
                <w:rFonts w:ascii="Arial Narrow" w:hAnsi="Arial Narrow" w:cs="Arial Narrow"/>
                <w:sz w:val="18"/>
              </w:rPr>
            </w:pPr>
            <w:r>
              <w:rPr>
                <w:rFonts w:cs="Arial Narrow" w:ascii="Arial Narrow" w:hAnsi="Arial Narrow"/>
                <w:sz w:val="18"/>
              </w:rPr>
              <w:t>Up to June 30, 2002</w:t>
            </w:r>
          </w:p>
        </w:tc>
        <w:tc>
          <w:tcPr>
            <w:tcW w:w="1260" w:type="dxa"/>
            <w:gridSpan w:val="2"/>
            <w:tcBorders/>
          </w:tcPr>
          <w:p>
            <w:pPr>
              <w:pStyle w:val="Normal"/>
              <w:spacing w:before="60" w:after="0"/>
              <w:jc w:val="center"/>
              <w:rPr>
                <w:rFonts w:ascii="Arial Narrow" w:hAnsi="Arial Narrow" w:cs="Arial Narrow"/>
                <w:sz w:val="18"/>
              </w:rPr>
            </w:pPr>
            <w:r>
              <w:rPr>
                <w:rFonts w:cs="Arial Narrow" w:ascii="Arial Narrow" w:hAnsi="Arial Narrow"/>
                <w:sz w:val="18"/>
              </w:rPr>
              <w:t>$5 mm</w:t>
            </w:r>
          </w:p>
        </w:tc>
        <w:tc>
          <w:tcPr>
            <w:tcW w:w="1440" w:type="dxa"/>
            <w:gridSpan w:val="2"/>
            <w:tcBorders/>
          </w:tcPr>
          <w:p>
            <w:pPr>
              <w:pStyle w:val="Normal"/>
              <w:snapToGrid w:val="false"/>
              <w:spacing w:before="60" w:after="0"/>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1715" w:type="dxa"/>
            <w:gridSpan w:val="3"/>
            <w:tcBorders/>
          </w:tcPr>
          <w:p>
            <w:pPr>
              <w:pStyle w:val="Normal"/>
              <w:snapToGrid w:val="false"/>
              <w:rPr>
                <w:rFonts w:ascii="Arial Narrow" w:hAnsi="Arial Narrow" w:cs="Arial Narrow"/>
                <w:sz w:val="18"/>
              </w:rPr>
            </w:pPr>
            <w:r>
              <w:rPr>
                <w:rFonts w:cs="Arial Narrow" w:ascii="Arial Narrow" w:hAnsi="Arial Narrow"/>
                <w:sz w:val="18"/>
              </w:rPr>
            </w:r>
          </w:p>
        </w:tc>
        <w:tc>
          <w:tcPr>
            <w:tcW w:w="2160" w:type="dxa"/>
            <w:gridSpan w:val="3"/>
            <w:tcBorders/>
          </w:tcPr>
          <w:p>
            <w:pPr>
              <w:pStyle w:val="Normal"/>
              <w:rPr>
                <w:rFonts w:ascii="Arial Narrow" w:hAnsi="Arial Narrow" w:cs="Arial Narrow"/>
                <w:sz w:val="18"/>
              </w:rPr>
            </w:pPr>
            <w:r>
              <w:rPr>
                <w:rFonts w:cs="Arial Narrow" w:ascii="Arial Narrow" w:hAnsi="Arial Narrow"/>
                <w:sz w:val="18"/>
              </w:rPr>
              <w:t>July 1 to December 31, 2002</w:t>
            </w:r>
          </w:p>
        </w:tc>
        <w:tc>
          <w:tcPr>
            <w:tcW w:w="1260" w:type="dxa"/>
            <w:gridSpan w:val="2"/>
            <w:tcBorders/>
          </w:tcPr>
          <w:p>
            <w:pPr>
              <w:pStyle w:val="Normal"/>
              <w:jc w:val="center"/>
              <w:rPr>
                <w:rFonts w:ascii="Arial Narrow" w:hAnsi="Arial Narrow" w:cs="Arial Narrow"/>
                <w:sz w:val="18"/>
              </w:rPr>
            </w:pPr>
            <w:r>
              <w:rPr>
                <w:rFonts w:cs="Arial Narrow" w:ascii="Arial Narrow" w:hAnsi="Arial Narrow"/>
                <w:sz w:val="18"/>
              </w:rPr>
              <w:t>$15 mm</w:t>
            </w:r>
          </w:p>
        </w:tc>
        <w:tc>
          <w:tcPr>
            <w:tcW w:w="1440" w:type="dxa"/>
            <w:gridSpan w:val="2"/>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1715" w:type="dxa"/>
            <w:gridSpan w:val="3"/>
            <w:tcBorders/>
          </w:tcPr>
          <w:p>
            <w:pPr>
              <w:pStyle w:val="Normal"/>
              <w:snapToGrid w:val="false"/>
              <w:rPr>
                <w:rFonts w:ascii="Arial Narrow" w:hAnsi="Arial Narrow" w:cs="Arial Narrow"/>
                <w:sz w:val="18"/>
              </w:rPr>
            </w:pPr>
            <w:r>
              <w:rPr>
                <w:rFonts w:cs="Arial Narrow" w:ascii="Arial Narrow" w:hAnsi="Arial Narrow"/>
                <w:sz w:val="18"/>
              </w:rPr>
            </w:r>
          </w:p>
        </w:tc>
        <w:tc>
          <w:tcPr>
            <w:tcW w:w="2160" w:type="dxa"/>
            <w:gridSpan w:val="3"/>
            <w:tcBorders/>
          </w:tcPr>
          <w:p>
            <w:pPr>
              <w:pStyle w:val="Normal"/>
              <w:rPr>
                <w:rFonts w:ascii="Arial Narrow" w:hAnsi="Arial Narrow" w:cs="Arial Narrow"/>
                <w:sz w:val="18"/>
              </w:rPr>
            </w:pPr>
            <w:r>
              <w:rPr>
                <w:rFonts w:cs="Arial Narrow" w:ascii="Arial Narrow" w:hAnsi="Arial Narrow"/>
                <w:sz w:val="18"/>
              </w:rPr>
              <w:t>January 1 to June 30, 2003</w:t>
            </w:r>
          </w:p>
        </w:tc>
        <w:tc>
          <w:tcPr>
            <w:tcW w:w="1260" w:type="dxa"/>
            <w:gridSpan w:val="2"/>
            <w:tcBorders/>
          </w:tcPr>
          <w:p>
            <w:pPr>
              <w:pStyle w:val="Normal"/>
              <w:jc w:val="center"/>
              <w:rPr>
                <w:rFonts w:ascii="Arial Narrow" w:hAnsi="Arial Narrow" w:cs="Arial Narrow"/>
                <w:sz w:val="18"/>
              </w:rPr>
            </w:pPr>
            <w:r>
              <w:rPr>
                <w:rFonts w:cs="Arial Narrow" w:ascii="Arial Narrow" w:hAnsi="Arial Narrow"/>
                <w:sz w:val="18"/>
              </w:rPr>
              <w:t>$35 mm</w:t>
            </w:r>
          </w:p>
        </w:tc>
        <w:tc>
          <w:tcPr>
            <w:tcW w:w="1440" w:type="dxa"/>
            <w:gridSpan w:val="2"/>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1715" w:type="dxa"/>
            <w:gridSpan w:val="3"/>
            <w:tcBorders/>
          </w:tcPr>
          <w:p>
            <w:pPr>
              <w:pStyle w:val="Normal"/>
              <w:snapToGrid w:val="false"/>
              <w:rPr>
                <w:rFonts w:ascii="Arial Narrow" w:hAnsi="Arial Narrow" w:cs="Arial Narrow"/>
                <w:sz w:val="18"/>
              </w:rPr>
            </w:pPr>
            <w:r>
              <w:rPr>
                <w:rFonts w:cs="Arial Narrow" w:ascii="Arial Narrow" w:hAnsi="Arial Narrow"/>
                <w:sz w:val="18"/>
              </w:rPr>
            </w:r>
          </w:p>
        </w:tc>
        <w:tc>
          <w:tcPr>
            <w:tcW w:w="2160" w:type="dxa"/>
            <w:gridSpan w:val="3"/>
            <w:tcBorders/>
          </w:tcPr>
          <w:p>
            <w:pPr>
              <w:pStyle w:val="Normal"/>
              <w:rPr>
                <w:rFonts w:ascii="Arial Narrow" w:hAnsi="Arial Narrow" w:cs="Arial Narrow"/>
                <w:sz w:val="18"/>
              </w:rPr>
            </w:pPr>
            <w:r>
              <w:rPr>
                <w:rFonts w:cs="Arial Narrow" w:ascii="Arial Narrow" w:hAnsi="Arial Narrow"/>
                <w:sz w:val="18"/>
              </w:rPr>
              <w:t>Thereafter</w:t>
            </w:r>
          </w:p>
        </w:tc>
        <w:tc>
          <w:tcPr>
            <w:tcW w:w="1260" w:type="dxa"/>
            <w:gridSpan w:val="2"/>
            <w:tcBorders/>
          </w:tcPr>
          <w:p>
            <w:pPr>
              <w:pStyle w:val="Normal"/>
              <w:jc w:val="center"/>
              <w:rPr>
                <w:rFonts w:ascii="Arial Narrow" w:hAnsi="Arial Narrow" w:cs="Arial Narrow"/>
                <w:sz w:val="18"/>
              </w:rPr>
            </w:pPr>
            <w:r>
              <w:rPr>
                <w:rFonts w:cs="Arial Narrow" w:ascii="Arial Narrow" w:hAnsi="Arial Narrow"/>
                <w:sz w:val="18"/>
              </w:rPr>
              <w:t>$75 mm</w:t>
            </w:r>
          </w:p>
        </w:tc>
        <w:tc>
          <w:tcPr>
            <w:tcW w:w="1440" w:type="dxa"/>
            <w:gridSpan w:val="2"/>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1715" w:type="dxa"/>
            <w:gridSpan w:val="3"/>
            <w:tcBorders/>
          </w:tcPr>
          <w:p>
            <w:pPr>
              <w:pStyle w:val="Normal"/>
              <w:snapToGrid w:val="false"/>
              <w:rPr>
                <w:rFonts w:ascii="Arial Narrow" w:hAnsi="Arial Narrow" w:cs="Arial Narrow"/>
                <w:sz w:val="18"/>
              </w:rPr>
            </w:pPr>
            <w:r>
              <w:rPr>
                <w:rFonts w:cs="Arial Narrow" w:ascii="Arial Narrow" w:hAnsi="Arial Narrow"/>
                <w:sz w:val="18"/>
              </w:rPr>
            </w:r>
          </w:p>
        </w:tc>
        <w:tc>
          <w:tcPr>
            <w:tcW w:w="2160" w:type="dxa"/>
            <w:gridSpan w:val="3"/>
            <w:tcBorders/>
          </w:tcPr>
          <w:p>
            <w:pPr>
              <w:pStyle w:val="Normal"/>
              <w:snapToGrid w:val="false"/>
              <w:rPr>
                <w:rFonts w:ascii="Arial Narrow" w:hAnsi="Arial Narrow" w:cs="Arial Narrow"/>
                <w:sz w:val="18"/>
              </w:rPr>
            </w:pPr>
            <w:r>
              <w:rPr>
                <w:rFonts w:cs="Arial Narrow" w:ascii="Arial Narrow" w:hAnsi="Arial Narrow"/>
                <w:sz w:val="18"/>
              </w:rPr>
            </w:r>
          </w:p>
        </w:tc>
        <w:tc>
          <w:tcPr>
            <w:tcW w:w="1260" w:type="dxa"/>
            <w:gridSpan w:val="2"/>
            <w:tcBorders/>
          </w:tcPr>
          <w:p>
            <w:pPr>
              <w:pStyle w:val="Normal"/>
              <w:snapToGrid w:val="false"/>
              <w:rPr>
                <w:rFonts w:ascii="Arial Narrow" w:hAnsi="Arial Narrow" w:cs="Arial Narrow"/>
                <w:sz w:val="18"/>
              </w:rPr>
            </w:pPr>
            <w:r>
              <w:rPr>
                <w:rFonts w:cs="Arial Narrow" w:ascii="Arial Narrow" w:hAnsi="Arial Narrow"/>
                <w:sz w:val="18"/>
              </w:rPr>
            </w:r>
          </w:p>
        </w:tc>
        <w:tc>
          <w:tcPr>
            <w:tcW w:w="1440" w:type="dxa"/>
            <w:gridSpan w:val="2"/>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Qualifying Sale:</w:t>
            </w:r>
          </w:p>
        </w:tc>
        <w:tc>
          <w:tcPr>
            <w:tcW w:w="6575" w:type="dxa"/>
            <w:gridSpan w:val="10"/>
            <w:tcBorders/>
          </w:tcPr>
          <w:p>
            <w:pPr>
              <w:pStyle w:val="Normal"/>
              <w:jc w:val="both"/>
              <w:rPr>
                <w:rFonts w:ascii="Arial Narrow" w:hAnsi="Arial Narrow" w:cs="Arial Narrow"/>
                <w:sz w:val="18"/>
              </w:rPr>
            </w:pPr>
            <w:r>
              <w:rPr>
                <w:rFonts w:cs="Arial Narrow" w:ascii="Arial Narrow" w:hAnsi="Arial Narrow"/>
                <w:sz w:val="18"/>
              </w:rPr>
              <w:t>[Closing of sale by Enron of 100% of its interests in Mariner in an arms-length transaction with customary definitive documents incorporating customary representations, warranties, indemnities and covenants acceptable to Enron.]  More work needed.</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6575" w:type="dxa"/>
            <w:gridSpan w:val="10"/>
            <w:tcBorders/>
          </w:tcPr>
          <w:p>
            <w:pPr>
              <w:pStyle w:val="Normal"/>
              <w:snapToGrid w:val="false"/>
              <w:jc w:val="both"/>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Qualifying Event:</w:t>
            </w:r>
          </w:p>
        </w:tc>
        <w:tc>
          <w:tcPr>
            <w:tcW w:w="6575" w:type="dxa"/>
            <w:gridSpan w:val="10"/>
            <w:tcBorders/>
          </w:tcPr>
          <w:p>
            <w:pPr>
              <w:pStyle w:val="Normal"/>
              <w:jc w:val="both"/>
              <w:rPr>
                <w:rFonts w:ascii="Arial Narrow" w:hAnsi="Arial Narrow" w:cs="Arial Narrow"/>
                <w:sz w:val="18"/>
              </w:rPr>
            </w:pPr>
            <w:r>
              <w:rPr>
                <w:rFonts w:cs="Arial Narrow" w:ascii="Arial Narrow" w:hAnsi="Arial Narrow"/>
                <w:sz w:val="18"/>
              </w:rPr>
              <w:t>If Enron declines, in its sole discretion, to sell its interests in a Qualifying Sale and the following conditions are met, then it will be deemed a Qualifying Event:</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528" w:type="dxa"/>
            <w:gridSpan w:val="2"/>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047" w:type="dxa"/>
            <w:gridSpan w:val="8"/>
            <w:tcBorders/>
          </w:tcPr>
          <w:p>
            <w:pPr>
              <w:pStyle w:val="Normal"/>
              <w:snapToGrid w:val="false"/>
              <w:jc w:val="both"/>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528" w:type="dxa"/>
            <w:gridSpan w:val="2"/>
            <w:tcBorders/>
          </w:tcPr>
          <w:p>
            <w:pPr>
              <w:pStyle w:val="Normal"/>
              <w:jc w:val="both"/>
              <w:rPr>
                <w:rFonts w:ascii="Arial Narrow" w:hAnsi="Arial Narrow" w:cs="Arial Narrow"/>
                <w:sz w:val="18"/>
              </w:rPr>
            </w:pPr>
            <w:r>
              <w:rPr>
                <w:rFonts w:cs="Arial Narrow" w:ascii="Arial Narrow" w:hAnsi="Arial Narrow"/>
                <w:sz w:val="18"/>
              </w:rPr>
              <w:t>1.</w:t>
            </w:r>
          </w:p>
        </w:tc>
        <w:tc>
          <w:tcPr>
            <w:tcW w:w="6047" w:type="dxa"/>
            <w:gridSpan w:val="8"/>
            <w:tcBorders/>
          </w:tcPr>
          <w:p>
            <w:pPr>
              <w:pStyle w:val="Normal"/>
              <w:jc w:val="both"/>
              <w:rPr>
                <w:rFonts w:ascii="Arial Narrow" w:hAnsi="Arial Narrow" w:cs="Arial Narrow"/>
                <w:sz w:val="18"/>
              </w:rPr>
            </w:pPr>
            <w:r>
              <w:rPr>
                <w:rFonts w:cs="Arial Narrow" w:ascii="Arial Narrow" w:hAnsi="Arial Narrow"/>
                <w:sz w:val="18"/>
              </w:rPr>
              <w:t>A bona fide offer has been made by an unaffiliated third party to Enron to consummate a Qualifying Sale.</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528" w:type="dxa"/>
            <w:gridSpan w:val="2"/>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047" w:type="dxa"/>
            <w:gridSpan w:val="8"/>
            <w:tcBorders/>
          </w:tcPr>
          <w:p>
            <w:pPr>
              <w:pStyle w:val="Normal"/>
              <w:snapToGrid w:val="false"/>
              <w:jc w:val="both"/>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528" w:type="dxa"/>
            <w:gridSpan w:val="2"/>
            <w:tcBorders/>
          </w:tcPr>
          <w:p>
            <w:pPr>
              <w:pStyle w:val="Normal"/>
              <w:jc w:val="both"/>
              <w:rPr>
                <w:rFonts w:ascii="Arial Narrow" w:hAnsi="Arial Narrow" w:cs="Arial Narrow"/>
                <w:sz w:val="18"/>
              </w:rPr>
            </w:pPr>
            <w:r>
              <w:rPr>
                <w:rFonts w:cs="Arial Narrow" w:ascii="Arial Narrow" w:hAnsi="Arial Narrow"/>
                <w:sz w:val="18"/>
              </w:rPr>
              <w:t>2.</w:t>
            </w:r>
          </w:p>
        </w:tc>
        <w:tc>
          <w:tcPr>
            <w:tcW w:w="6047" w:type="dxa"/>
            <w:gridSpan w:val="8"/>
            <w:tcBorders/>
          </w:tcPr>
          <w:p>
            <w:pPr>
              <w:pStyle w:val="Normal"/>
              <w:jc w:val="both"/>
              <w:rPr>
                <w:rFonts w:ascii="Arial Narrow" w:hAnsi="Arial Narrow" w:cs="Arial Narrow"/>
                <w:sz w:val="18"/>
              </w:rPr>
            </w:pPr>
            <w:r>
              <w:rPr>
                <w:rFonts w:cs="Arial Narrow" w:ascii="Arial Narrow" w:hAnsi="Arial Narrow"/>
                <w:sz w:val="18"/>
              </w:rPr>
              <w:t>Enron can reasonably be certain that, but for Enron’s decision not to sell, a Qualifying Sale would occur within 3 months.</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528" w:type="dxa"/>
            <w:gridSpan w:val="2"/>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6047" w:type="dxa"/>
            <w:gridSpan w:val="8"/>
            <w:tcBorders/>
          </w:tcPr>
          <w:p>
            <w:pPr>
              <w:pStyle w:val="Normal"/>
              <w:snapToGrid w:val="false"/>
              <w:jc w:val="both"/>
              <w:rPr>
                <w:rFonts w:ascii="Arial Narrow" w:hAnsi="Arial Narrow" w:cs="Arial Narrow"/>
                <w:sz w:val="18"/>
              </w:rPr>
            </w:pPr>
            <w:r>
              <w:rPr>
                <w:rFonts w:cs="Arial Narrow" w:ascii="Arial Narrow" w:hAnsi="Arial Narrow"/>
                <w:sz w:val="18"/>
              </w:rPr>
            </w:r>
          </w:p>
        </w:tc>
      </w:tr>
      <w:tr>
        <w:trPr/>
        <w:tc>
          <w:tcPr>
            <w:tcW w:w="3073" w:type="dxa"/>
            <w:tcBorders/>
          </w:tcPr>
          <w:p>
            <w:pPr>
              <w:pStyle w:val="Normal"/>
              <w:rPr>
                <w:rFonts w:ascii="Arial Narrow" w:hAnsi="Arial Narrow" w:cs="Arial Narrow"/>
                <w:sz w:val="18"/>
              </w:rPr>
            </w:pPr>
            <w:r>
              <w:rPr>
                <w:rFonts w:cs="Arial Narrow" w:ascii="Arial Narrow" w:hAnsi="Arial Narrow"/>
                <w:sz w:val="18"/>
              </w:rPr>
              <w:t>Portability:</w:t>
            </w:r>
          </w:p>
        </w:tc>
        <w:tc>
          <w:tcPr>
            <w:tcW w:w="6575" w:type="dxa"/>
            <w:gridSpan w:val="10"/>
            <w:tcBorders/>
          </w:tcPr>
          <w:p>
            <w:pPr>
              <w:pStyle w:val="Normal"/>
              <w:jc w:val="both"/>
              <w:rPr>
                <w:rFonts w:ascii="Arial Narrow" w:hAnsi="Arial Narrow" w:cs="Arial Narrow"/>
                <w:sz w:val="18"/>
              </w:rPr>
            </w:pPr>
            <w:r>
              <w:rPr>
                <w:rFonts w:cs="Arial Narrow" w:ascii="Arial Narrow" w:hAnsi="Arial Narrow"/>
                <w:sz w:val="18"/>
              </w:rPr>
              <w:t>Non transferable.</w:t>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tc>
        <w:tc>
          <w:tcPr>
            <w:tcW w:w="1832" w:type="dxa"/>
            <w:gridSpan w:val="4"/>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1017" w:type="dxa"/>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1305" w:type="dxa"/>
            <w:gridSpan w:val="2"/>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1206" w:type="dxa"/>
            <w:gridSpan w:val="2"/>
            <w:tcBorders/>
          </w:tcPr>
          <w:p>
            <w:pPr>
              <w:pStyle w:val="Normal"/>
              <w:snapToGrid w:val="false"/>
              <w:jc w:val="both"/>
              <w:rPr>
                <w:rFonts w:ascii="Arial Narrow" w:hAnsi="Arial Narrow" w:cs="Arial Narrow"/>
                <w:sz w:val="18"/>
              </w:rPr>
            </w:pPr>
            <w:r>
              <w:rPr>
                <w:rFonts w:cs="Arial Narrow" w:ascii="Arial Narrow" w:hAnsi="Arial Narrow"/>
                <w:sz w:val="18"/>
              </w:rPr>
            </w:r>
          </w:p>
        </w:tc>
        <w:tc>
          <w:tcPr>
            <w:tcW w:w="1215" w:type="dxa"/>
            <w:tcBorders/>
          </w:tcPr>
          <w:p>
            <w:pPr>
              <w:pStyle w:val="Normal"/>
              <w:snapToGrid w:val="false"/>
              <w:jc w:val="both"/>
              <w:rPr>
                <w:rFonts w:ascii="Arial Narrow" w:hAnsi="Arial Narrow" w:cs="Arial Narrow"/>
                <w:sz w:val="18"/>
              </w:rPr>
            </w:pPr>
            <w:r>
              <w:rPr>
                <w:rFonts w:cs="Arial Narrow" w:ascii="Arial Narrow" w:hAnsi="Arial Narrow"/>
                <w:sz w:val="18"/>
              </w:rPr>
            </w:r>
          </w:p>
        </w:tc>
      </w:tr>
      <w:tr>
        <w:trPr/>
        <w:tc>
          <w:tcPr>
            <w:tcW w:w="3073" w:type="dxa"/>
            <w:tcBorders/>
          </w:tcPr>
          <w:p>
            <w:pPr>
              <w:pStyle w:val="Normal"/>
              <w:snapToGrid w:val="false"/>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Early Separation:</w:t>
            </w:r>
          </w:p>
        </w:tc>
        <w:tc>
          <w:tcPr>
            <w:tcW w:w="1832" w:type="dxa"/>
            <w:gridSpan w:val="4"/>
            <w:tcBorders/>
          </w:tcPr>
          <w:p>
            <w:pPr>
              <w:pStyle w:val="Normal"/>
              <w:snapToGrid w:val="false"/>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Event</w:t>
            </w:r>
          </w:p>
        </w:tc>
        <w:tc>
          <w:tcPr>
            <w:tcW w:w="1017" w:type="dxa"/>
            <w:tcBorders/>
          </w:tcPr>
          <w:p>
            <w:pPr>
              <w:pStyle w:val="Normal"/>
              <w:jc w:val="center"/>
              <w:rPr>
                <w:rFonts w:ascii="Arial Narrow" w:hAnsi="Arial Narrow" w:cs="Arial Narrow"/>
                <w:sz w:val="18"/>
              </w:rPr>
            </w:pPr>
            <w:r>
              <w:rPr>
                <w:rFonts w:cs="Arial Narrow" w:ascii="Arial Narrow" w:hAnsi="Arial Narrow"/>
                <w:sz w:val="18"/>
              </w:rPr>
              <w:t>Vested</w:t>
            </w:r>
          </w:p>
          <w:p>
            <w:pPr>
              <w:pStyle w:val="Normal"/>
              <w:jc w:val="center"/>
              <w:rPr>
                <w:rFonts w:ascii="Arial Narrow" w:hAnsi="Arial Narrow" w:cs="Arial Narrow"/>
                <w:sz w:val="18"/>
              </w:rPr>
            </w:pPr>
            <w:r>
              <w:rPr>
                <w:rFonts w:cs="Arial Narrow" w:ascii="Arial Narrow" w:hAnsi="Arial Narrow"/>
                <w:sz w:val="18"/>
              </w:rPr>
              <w:t>Share</w:t>
            </w:r>
          </w:p>
        </w:tc>
        <w:tc>
          <w:tcPr>
            <w:tcW w:w="1305" w:type="dxa"/>
            <w:gridSpan w:val="2"/>
            <w:tcBorders/>
          </w:tcPr>
          <w:p>
            <w:pPr>
              <w:pStyle w:val="Normal"/>
              <w:snapToGrid w:val="false"/>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Unvested Share</w:t>
            </w:r>
          </w:p>
        </w:tc>
        <w:tc>
          <w:tcPr>
            <w:tcW w:w="1206" w:type="dxa"/>
            <w:gridSpan w:val="2"/>
            <w:tcBorders/>
          </w:tcPr>
          <w:p>
            <w:pPr>
              <w:pStyle w:val="Normal"/>
              <w:snapToGrid w:val="false"/>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Mariner Call</w:t>
            </w:r>
            <w:r>
              <w:rPr>
                <w:rFonts w:cs="Arial Narrow" w:ascii="Arial Narrow" w:hAnsi="Arial Narrow"/>
                <w:sz w:val="18"/>
                <w:vertAlign w:val="superscript"/>
              </w:rPr>
              <w:t>2</w:t>
            </w:r>
          </w:p>
        </w:tc>
        <w:tc>
          <w:tcPr>
            <w:tcW w:w="1215" w:type="dxa"/>
            <w:tcBorders/>
          </w:tcPr>
          <w:p>
            <w:pPr>
              <w:pStyle w:val="Normal"/>
              <w:snapToGrid w:val="false"/>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Participant Put</w:t>
            </w:r>
          </w:p>
        </w:tc>
      </w:tr>
      <w:tr>
        <w:trPr/>
        <w:tc>
          <w:tcPr>
            <w:tcW w:w="3073" w:type="dxa"/>
            <w:tcBorders/>
          </w:tcPr>
          <w:p>
            <w:pPr>
              <w:pStyle w:val="Normal"/>
              <w:snapToGrid w:val="false"/>
              <w:spacing w:before="120" w:after="0"/>
              <w:rPr>
                <w:rFonts w:ascii="Arial Narrow" w:hAnsi="Arial Narrow" w:cs="Arial Narrow"/>
                <w:sz w:val="18"/>
                <w:lang w:val="en-CA" w:eastAsia="en-CA"/>
              </w:rPr>
            </w:pPr>
            <w:r>
              <w:rPr>
                <w:rFonts w:cs="Arial Narrow" w:ascii="Arial Narrow" w:hAnsi="Arial Narrow"/>
                <w:sz w:val="18"/>
                <w:lang w:val="en-CA" w:eastAsia="en-CA"/>
              </w:rPr>
              <mc:AlternateContent>
                <mc:Choice Requires="wps">
                  <w:drawing>
                    <wp:anchor behindDoc="0" distT="0" distB="0" distL="114935" distR="114935" simplePos="0" locked="0" layoutInCell="0" allowOverlap="1" relativeHeight="2">
                      <wp:simplePos x="0" y="0"/>
                      <wp:positionH relativeFrom="margin">
                        <wp:posOffset>2021840</wp:posOffset>
                      </wp:positionH>
                      <wp:positionV relativeFrom="paragraph">
                        <wp:posOffset>-635</wp:posOffset>
                      </wp:positionV>
                      <wp:extent cx="874395" cy="0"/>
                      <wp:effectExtent l="0" t="5080" r="0" b="5080"/>
                      <wp:wrapNone/>
                      <wp:docPr id="3" name=""/>
                      <a:graphic xmlns:a="http://schemas.openxmlformats.org/drawingml/2006/main">
                        <a:graphicData uri="http://schemas.microsoft.com/office/word/2010/wordprocessingShape">
                          <wps:wsp>
                            <wps:cNvSpPr/>
                            <wps:spPr>
                              <a:xfrm>
                                <a:off x="0" y="0"/>
                                <a:ext cx="874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9.2pt,-0.05pt" to="228pt,-0.0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
                      <wp:simplePos x="0" y="0"/>
                      <wp:positionH relativeFrom="margin">
                        <wp:posOffset>3046095</wp:posOffset>
                      </wp:positionH>
                      <wp:positionV relativeFrom="paragraph">
                        <wp:posOffset>-7620</wp:posOffset>
                      </wp:positionV>
                      <wp:extent cx="603250" cy="0"/>
                      <wp:effectExtent l="0" t="5080" r="0" b="5080"/>
                      <wp:wrapNone/>
                      <wp:docPr id="4" name=""/>
                      <a:graphic xmlns:a="http://schemas.openxmlformats.org/drawingml/2006/main">
                        <a:graphicData uri="http://schemas.microsoft.com/office/word/2010/wordprocessingShape">
                          <wps:wsp>
                            <wps:cNvSpPr/>
                            <wps:spPr>
                              <a:xfrm>
                                <a:off x="0" y="0"/>
                                <a:ext cx="603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9.85pt,-0.6pt" to="287.3pt,-0.6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3748405</wp:posOffset>
                      </wp:positionH>
                      <wp:positionV relativeFrom="paragraph">
                        <wp:posOffset>-2540</wp:posOffset>
                      </wp:positionV>
                      <wp:extent cx="685800" cy="0"/>
                      <wp:effectExtent l="0" t="5080" r="0" b="5080"/>
                      <wp:wrapNone/>
                      <wp:docPr id="5"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15pt,-0.2pt" to="349.1pt,-0.2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5">
                      <wp:simplePos x="0" y="0"/>
                      <wp:positionH relativeFrom="margin">
                        <wp:posOffset>4561840</wp:posOffset>
                      </wp:positionH>
                      <wp:positionV relativeFrom="paragraph">
                        <wp:posOffset>-6985</wp:posOffset>
                      </wp:positionV>
                      <wp:extent cx="685800" cy="0"/>
                      <wp:effectExtent l="0" t="5080" r="0" b="5080"/>
                      <wp:wrapNone/>
                      <wp:docPr id="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9.2pt,-0.55pt" to="413.15pt,-0.5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6">
                      <wp:simplePos x="0" y="0"/>
                      <wp:positionH relativeFrom="margin">
                        <wp:posOffset>5316855</wp:posOffset>
                      </wp:positionH>
                      <wp:positionV relativeFrom="paragraph">
                        <wp:posOffset>-6985</wp:posOffset>
                      </wp:positionV>
                      <wp:extent cx="685800" cy="0"/>
                      <wp:effectExtent l="0" t="5080" r="0" b="5080"/>
                      <wp:wrapNone/>
                      <wp:docPr id="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8.65pt,-0.55pt" to="472.6pt,-0.55pt" stroked="t" o:allowincell="f" style="position:absolute;mso-position-horizontal-relative:margin">
                      <v:stroke color="black" weight="9360" joinstyle="miter" endcap="flat"/>
                      <v:fill o:detectmouseclick="t" on="false"/>
                      <w10:wrap type="none"/>
                    </v:line>
                  </w:pict>
                </mc:Fallback>
              </mc:AlternateContent>
            </w:r>
          </w:p>
        </w:tc>
        <w:tc>
          <w:tcPr>
            <w:tcW w:w="1832" w:type="dxa"/>
            <w:gridSpan w:val="4"/>
            <w:tcBorders/>
          </w:tcPr>
          <w:p>
            <w:pPr>
              <w:pStyle w:val="Normal"/>
              <w:spacing w:before="120" w:after="0"/>
              <w:jc w:val="center"/>
              <w:rPr>
                <w:rFonts w:ascii="Arial Narrow" w:hAnsi="Arial Narrow" w:cs="Arial Narrow"/>
                <w:sz w:val="18"/>
              </w:rPr>
            </w:pPr>
            <w:r>
              <w:rPr>
                <w:rFonts w:cs="Arial Narrow" w:ascii="Arial Narrow" w:hAnsi="Arial Narrow"/>
                <w:sz w:val="18"/>
              </w:rPr>
              <w:t>Involuntary Termination</w:t>
            </w:r>
          </w:p>
        </w:tc>
        <w:tc>
          <w:tcPr>
            <w:tcW w:w="1017" w:type="dxa"/>
            <w:tcBorders/>
          </w:tcPr>
          <w:p>
            <w:pPr>
              <w:pStyle w:val="Normal"/>
              <w:spacing w:before="120" w:after="0"/>
              <w:jc w:val="center"/>
              <w:rPr>
                <w:rFonts w:ascii="Arial Narrow" w:hAnsi="Arial Narrow" w:cs="Arial Narrow"/>
                <w:sz w:val="18"/>
              </w:rPr>
            </w:pPr>
            <w:r>
              <w:rPr>
                <w:rFonts w:cs="Arial Narrow" w:ascii="Arial Narrow" w:hAnsi="Arial Narrow"/>
                <w:sz w:val="18"/>
              </w:rPr>
              <w:t>Keep</w:t>
            </w:r>
          </w:p>
        </w:tc>
        <w:tc>
          <w:tcPr>
            <w:tcW w:w="1305" w:type="dxa"/>
            <w:gridSpan w:val="2"/>
            <w:tcBorders/>
          </w:tcPr>
          <w:p>
            <w:pPr>
              <w:pStyle w:val="Normal"/>
              <w:spacing w:before="120" w:after="0"/>
              <w:jc w:val="center"/>
              <w:rPr>
                <w:rFonts w:ascii="Arial Narrow" w:hAnsi="Arial Narrow" w:cs="Arial Narrow"/>
                <w:sz w:val="18"/>
              </w:rPr>
            </w:pPr>
            <w:r>
              <w:rPr>
                <w:rFonts w:cs="Arial Narrow" w:ascii="Arial Narrow" w:hAnsi="Arial Narrow"/>
                <w:sz w:val="18"/>
              </w:rPr>
              <w:t>Lose</w:t>
            </w:r>
          </w:p>
        </w:tc>
        <w:tc>
          <w:tcPr>
            <w:tcW w:w="1206" w:type="dxa"/>
            <w:gridSpan w:val="2"/>
            <w:tcBorders/>
          </w:tcPr>
          <w:p>
            <w:pPr>
              <w:pStyle w:val="Normal"/>
              <w:spacing w:before="120" w:after="0"/>
              <w:jc w:val="center"/>
              <w:rPr>
                <w:rFonts w:ascii="Arial Narrow" w:hAnsi="Arial Narrow" w:cs="Arial Narrow"/>
                <w:sz w:val="18"/>
              </w:rPr>
            </w:pPr>
            <w:r>
              <w:rPr>
                <w:rFonts w:cs="Arial Narrow" w:ascii="Arial Narrow" w:hAnsi="Arial Narrow"/>
                <w:sz w:val="18"/>
              </w:rPr>
              <w:t>Yes</w:t>
            </w:r>
          </w:p>
        </w:tc>
        <w:tc>
          <w:tcPr>
            <w:tcW w:w="1215" w:type="dxa"/>
            <w:tcBorders/>
          </w:tcPr>
          <w:p>
            <w:pPr>
              <w:pStyle w:val="Normal"/>
              <w:spacing w:before="120" w:after="0"/>
              <w:jc w:val="center"/>
              <w:rPr>
                <w:rFonts w:ascii="Arial Narrow" w:hAnsi="Arial Narrow" w:cs="Arial Narrow"/>
                <w:sz w:val="18"/>
              </w:rPr>
            </w:pPr>
            <w:r>
              <w:rPr>
                <w:rFonts w:cs="Arial Narrow" w:ascii="Arial Narrow" w:hAnsi="Arial Narrow"/>
                <w:sz w:val="18"/>
              </w:rPr>
              <w:t>Yes</w:t>
            </w:r>
            <w:r>
              <w:rPr>
                <w:rFonts w:cs="Arial Narrow" w:ascii="Arial Narrow" w:hAnsi="Arial Narrow"/>
                <w:sz w:val="18"/>
                <w:vertAlign w:val="superscript"/>
              </w:rPr>
              <w:t>3</w:t>
            </w:r>
          </w:p>
        </w:tc>
      </w:tr>
      <w:tr>
        <w:trPr/>
        <w:tc>
          <w:tcPr>
            <w:tcW w:w="3073" w:type="dxa"/>
            <w:tcBorders/>
          </w:tcPr>
          <w:p>
            <w:pPr>
              <w:pStyle w:val="Normal"/>
              <w:snapToGrid w:val="false"/>
              <w:spacing w:before="120" w:after="0"/>
              <w:rPr>
                <w:rFonts w:ascii="Arial Narrow" w:hAnsi="Arial Narrow" w:cs="Arial Narrow"/>
                <w:sz w:val="18"/>
                <w:lang w:val="en-CA" w:eastAsia="en-CA"/>
              </w:rPr>
            </w:pPr>
            <w:r>
              <w:rPr>
                <w:rFonts w:cs="Arial Narrow" w:ascii="Arial Narrow" w:hAnsi="Arial Narrow"/>
                <w:sz w:val="18"/>
                <w:lang w:val="en-CA" w:eastAsia="en-CA"/>
              </w:rPr>
            </w:r>
          </w:p>
        </w:tc>
        <w:tc>
          <w:tcPr>
            <w:tcW w:w="1832" w:type="dxa"/>
            <w:gridSpan w:val="4"/>
            <w:tcBorders/>
          </w:tcPr>
          <w:p>
            <w:pPr>
              <w:pStyle w:val="Normal"/>
              <w:spacing w:before="120" w:after="0"/>
              <w:jc w:val="center"/>
              <w:rPr>
                <w:rFonts w:ascii="Arial Narrow" w:hAnsi="Arial Narrow" w:cs="Arial Narrow"/>
                <w:sz w:val="18"/>
              </w:rPr>
            </w:pPr>
            <w:r>
              <w:rPr>
                <w:rFonts w:cs="Arial Narrow" w:ascii="Arial Narrow" w:hAnsi="Arial Narrow"/>
                <w:sz w:val="18"/>
              </w:rPr>
              <w:t>Termination for Cause</w:t>
            </w:r>
            <w:r>
              <w:rPr>
                <w:rFonts w:cs="Arial Narrow" w:ascii="Arial Narrow" w:hAnsi="Arial Narrow"/>
                <w:sz w:val="18"/>
                <w:vertAlign w:val="superscript"/>
              </w:rPr>
              <w:t>1</w:t>
            </w:r>
          </w:p>
        </w:tc>
        <w:tc>
          <w:tcPr>
            <w:tcW w:w="1017" w:type="dxa"/>
            <w:tcBorders/>
          </w:tcPr>
          <w:p>
            <w:pPr>
              <w:pStyle w:val="Normal"/>
              <w:spacing w:before="120" w:after="0"/>
              <w:jc w:val="center"/>
              <w:rPr>
                <w:rFonts w:ascii="Arial Narrow" w:hAnsi="Arial Narrow" w:cs="Arial Narrow"/>
                <w:sz w:val="18"/>
              </w:rPr>
            </w:pPr>
            <w:r>
              <w:rPr>
                <w:rFonts w:cs="Arial Narrow" w:ascii="Arial Narrow" w:hAnsi="Arial Narrow"/>
                <w:sz w:val="18"/>
              </w:rPr>
              <w:t>Lose</w:t>
            </w:r>
          </w:p>
        </w:tc>
        <w:tc>
          <w:tcPr>
            <w:tcW w:w="1305" w:type="dxa"/>
            <w:gridSpan w:val="2"/>
            <w:tcBorders/>
          </w:tcPr>
          <w:p>
            <w:pPr>
              <w:pStyle w:val="Normal"/>
              <w:spacing w:before="120" w:after="0"/>
              <w:jc w:val="center"/>
              <w:rPr>
                <w:rFonts w:ascii="Arial Narrow" w:hAnsi="Arial Narrow" w:cs="Arial Narrow"/>
                <w:sz w:val="18"/>
              </w:rPr>
            </w:pPr>
            <w:r>
              <w:rPr>
                <w:rFonts w:cs="Arial Narrow" w:ascii="Arial Narrow" w:hAnsi="Arial Narrow"/>
                <w:sz w:val="18"/>
              </w:rPr>
              <w:t>Lose</w:t>
            </w:r>
          </w:p>
        </w:tc>
        <w:tc>
          <w:tcPr>
            <w:tcW w:w="1206" w:type="dxa"/>
            <w:gridSpan w:val="2"/>
            <w:tcBorders/>
          </w:tcPr>
          <w:p>
            <w:pPr>
              <w:pStyle w:val="Normal"/>
              <w:spacing w:before="120" w:after="0"/>
              <w:jc w:val="center"/>
              <w:rPr>
                <w:rFonts w:ascii="Arial Narrow" w:hAnsi="Arial Narrow" w:cs="Arial Narrow"/>
                <w:sz w:val="18"/>
              </w:rPr>
            </w:pPr>
            <w:r>
              <w:rPr>
                <w:rFonts w:cs="Arial Narrow" w:ascii="Arial Narrow" w:hAnsi="Arial Narrow"/>
                <w:sz w:val="18"/>
              </w:rPr>
              <w:t>N/A</w:t>
            </w:r>
          </w:p>
        </w:tc>
        <w:tc>
          <w:tcPr>
            <w:tcW w:w="1215" w:type="dxa"/>
            <w:tcBorders/>
          </w:tcPr>
          <w:p>
            <w:pPr>
              <w:pStyle w:val="Normal"/>
              <w:spacing w:before="120" w:after="0"/>
              <w:jc w:val="center"/>
              <w:rPr>
                <w:rFonts w:ascii="Arial Narrow" w:hAnsi="Arial Narrow" w:cs="Arial Narrow"/>
                <w:sz w:val="18"/>
              </w:rPr>
            </w:pPr>
            <w:r>
              <w:rPr>
                <w:rFonts w:cs="Arial Narrow" w:ascii="Arial Narrow" w:hAnsi="Arial Narrow"/>
                <w:sz w:val="18"/>
              </w:rPr>
              <w:t>N/A</w:t>
            </w:r>
          </w:p>
        </w:tc>
      </w:tr>
      <w:tr>
        <w:trPr/>
        <w:tc>
          <w:tcPr>
            <w:tcW w:w="3073" w:type="dxa"/>
            <w:tcBorders/>
          </w:tcPr>
          <w:p>
            <w:pPr>
              <w:pStyle w:val="Normal"/>
              <w:snapToGrid w:val="false"/>
              <w:spacing w:before="120" w:after="120"/>
              <w:rPr>
                <w:rFonts w:ascii="Arial Narrow" w:hAnsi="Arial Narrow" w:cs="Arial Narrow"/>
                <w:sz w:val="18"/>
                <w:lang w:val="en-CA" w:eastAsia="en-CA"/>
              </w:rPr>
            </w:pPr>
            <w:r>
              <w:rPr>
                <w:rFonts w:cs="Arial Narrow" w:ascii="Arial Narrow" w:hAnsi="Arial Narrow"/>
                <w:sz w:val="18"/>
                <w:lang w:val="en-CA" w:eastAsia="en-CA"/>
              </w:rPr>
            </w:r>
          </w:p>
        </w:tc>
        <w:tc>
          <w:tcPr>
            <w:tcW w:w="1832" w:type="dxa"/>
            <w:gridSpan w:val="4"/>
            <w:tcBorders/>
          </w:tcPr>
          <w:p>
            <w:pPr>
              <w:pStyle w:val="Normal"/>
              <w:spacing w:before="120" w:after="120"/>
              <w:jc w:val="center"/>
              <w:rPr>
                <w:rFonts w:ascii="Arial Narrow" w:hAnsi="Arial Narrow" w:cs="Arial Narrow"/>
                <w:sz w:val="18"/>
              </w:rPr>
            </w:pPr>
            <w:r>
              <w:rPr>
                <w:rFonts w:cs="Arial Narrow" w:ascii="Arial Narrow" w:hAnsi="Arial Narrow"/>
                <w:sz w:val="18"/>
              </w:rPr>
              <w:t>Voluntary Termination</w:t>
            </w:r>
          </w:p>
        </w:tc>
        <w:tc>
          <w:tcPr>
            <w:tcW w:w="1017" w:type="dxa"/>
            <w:tcBorders/>
          </w:tcPr>
          <w:p>
            <w:pPr>
              <w:pStyle w:val="Normal"/>
              <w:spacing w:before="120" w:after="120"/>
              <w:jc w:val="center"/>
              <w:rPr>
                <w:rFonts w:ascii="Arial Narrow" w:hAnsi="Arial Narrow" w:cs="Arial Narrow"/>
                <w:sz w:val="18"/>
              </w:rPr>
            </w:pPr>
            <w:r>
              <w:rPr>
                <w:rFonts w:cs="Arial Narrow" w:ascii="Arial Narrow" w:hAnsi="Arial Narrow"/>
                <w:sz w:val="18"/>
              </w:rPr>
              <w:t>Lose</w:t>
            </w:r>
          </w:p>
        </w:tc>
        <w:tc>
          <w:tcPr>
            <w:tcW w:w="1305" w:type="dxa"/>
            <w:gridSpan w:val="2"/>
            <w:tcBorders/>
          </w:tcPr>
          <w:p>
            <w:pPr>
              <w:pStyle w:val="Normal"/>
              <w:spacing w:before="120" w:after="120"/>
              <w:jc w:val="center"/>
              <w:rPr>
                <w:rFonts w:ascii="Arial Narrow" w:hAnsi="Arial Narrow" w:cs="Arial Narrow"/>
                <w:sz w:val="18"/>
              </w:rPr>
            </w:pPr>
            <w:r>
              <w:rPr>
                <w:rFonts w:cs="Arial Narrow" w:ascii="Arial Narrow" w:hAnsi="Arial Narrow"/>
                <w:sz w:val="18"/>
              </w:rPr>
              <w:t>Lose</w:t>
            </w:r>
          </w:p>
        </w:tc>
        <w:tc>
          <w:tcPr>
            <w:tcW w:w="1206" w:type="dxa"/>
            <w:gridSpan w:val="2"/>
            <w:tcBorders/>
          </w:tcPr>
          <w:p>
            <w:pPr>
              <w:pStyle w:val="Normal"/>
              <w:spacing w:before="120" w:after="120"/>
              <w:jc w:val="center"/>
              <w:rPr>
                <w:rFonts w:ascii="Arial Narrow" w:hAnsi="Arial Narrow" w:cs="Arial Narrow"/>
                <w:sz w:val="18"/>
              </w:rPr>
            </w:pPr>
            <w:r>
              <w:rPr>
                <w:rFonts w:cs="Arial Narrow" w:ascii="Arial Narrow" w:hAnsi="Arial Narrow"/>
                <w:sz w:val="18"/>
              </w:rPr>
              <w:t>N/A</w:t>
            </w:r>
          </w:p>
        </w:tc>
        <w:tc>
          <w:tcPr>
            <w:tcW w:w="1215" w:type="dxa"/>
            <w:tcBorders/>
          </w:tcPr>
          <w:p>
            <w:pPr>
              <w:pStyle w:val="Normal"/>
              <w:spacing w:before="120" w:after="120"/>
              <w:jc w:val="center"/>
              <w:rPr>
                <w:rFonts w:ascii="Arial Narrow" w:hAnsi="Arial Narrow" w:cs="Arial Narrow"/>
                <w:sz w:val="18"/>
              </w:rPr>
            </w:pPr>
            <w:r>
              <w:rPr>
                <w:rFonts w:cs="Arial Narrow" w:ascii="Arial Narrow" w:hAnsi="Arial Narrow"/>
                <w:sz w:val="18"/>
              </w:rPr>
              <w:t>N/A</w:t>
            </w:r>
          </w:p>
        </w:tc>
      </w:tr>
      <w:tr>
        <w:trPr/>
        <w:tc>
          <w:tcPr>
            <w:tcW w:w="3073" w:type="dxa"/>
            <w:tcBorders/>
          </w:tcPr>
          <w:p>
            <w:pPr>
              <w:pStyle w:val="Normal"/>
              <w:snapToGrid w:val="false"/>
              <w:rPr>
                <w:rFonts w:ascii="Arial Narrow" w:hAnsi="Arial Narrow" w:cs="Arial Narrow"/>
                <w:sz w:val="18"/>
                <w:lang w:val="en-CA" w:eastAsia="en-CA"/>
              </w:rPr>
            </w:pPr>
            <w:r>
              <w:rPr>
                <w:rFonts w:cs="Arial Narrow" w:ascii="Arial Narrow" w:hAnsi="Arial Narrow"/>
                <w:sz w:val="18"/>
                <w:lang w:val="en-CA" w:eastAsia="en-CA"/>
              </w:rPr>
            </w:r>
          </w:p>
        </w:tc>
        <w:tc>
          <w:tcPr>
            <w:tcW w:w="1832" w:type="dxa"/>
            <w:gridSpan w:val="4"/>
            <w:tcBorders/>
          </w:tcPr>
          <w:p>
            <w:pPr>
              <w:pStyle w:val="Normal"/>
              <w:jc w:val="center"/>
              <w:rPr>
                <w:rFonts w:ascii="Arial Narrow" w:hAnsi="Arial Narrow" w:cs="Arial Narrow"/>
                <w:sz w:val="18"/>
              </w:rPr>
            </w:pPr>
            <w:r>
              <w:rPr>
                <w:rFonts w:cs="Arial Narrow" w:ascii="Arial Narrow" w:hAnsi="Arial Narrow"/>
                <w:sz w:val="18"/>
              </w:rPr>
              <w:t>Death or Disability</w:t>
            </w:r>
          </w:p>
        </w:tc>
        <w:tc>
          <w:tcPr>
            <w:tcW w:w="1017" w:type="dxa"/>
            <w:tcBorders/>
          </w:tcPr>
          <w:p>
            <w:pPr>
              <w:pStyle w:val="Normal"/>
              <w:jc w:val="center"/>
              <w:rPr>
                <w:rFonts w:ascii="Arial Narrow" w:hAnsi="Arial Narrow" w:cs="Arial Narrow"/>
                <w:sz w:val="18"/>
              </w:rPr>
            </w:pPr>
            <w:r>
              <w:rPr>
                <w:rFonts w:cs="Arial Narrow" w:ascii="Arial Narrow" w:hAnsi="Arial Narrow"/>
                <w:sz w:val="18"/>
              </w:rPr>
              <w:t>Keep</w:t>
            </w:r>
          </w:p>
        </w:tc>
        <w:tc>
          <w:tcPr>
            <w:tcW w:w="1305" w:type="dxa"/>
            <w:gridSpan w:val="2"/>
            <w:tcBorders/>
          </w:tcPr>
          <w:p>
            <w:pPr>
              <w:pStyle w:val="Normal"/>
              <w:jc w:val="center"/>
              <w:rPr>
                <w:rFonts w:ascii="Arial Narrow" w:hAnsi="Arial Narrow" w:cs="Arial Narrow"/>
                <w:sz w:val="18"/>
              </w:rPr>
            </w:pPr>
            <w:r>
              <w:rPr>
                <w:rFonts w:cs="Arial Narrow" w:ascii="Arial Narrow" w:hAnsi="Arial Narrow"/>
                <w:sz w:val="18"/>
              </w:rPr>
              <w:t>Lose</w:t>
            </w:r>
          </w:p>
        </w:tc>
        <w:tc>
          <w:tcPr>
            <w:tcW w:w="1206" w:type="dxa"/>
            <w:gridSpan w:val="2"/>
            <w:tcBorders/>
          </w:tcPr>
          <w:p>
            <w:pPr>
              <w:pStyle w:val="Normal"/>
              <w:jc w:val="center"/>
              <w:rPr>
                <w:rFonts w:ascii="Arial Narrow" w:hAnsi="Arial Narrow" w:cs="Arial Narrow"/>
                <w:sz w:val="18"/>
              </w:rPr>
            </w:pPr>
            <w:r>
              <w:rPr>
                <w:rFonts w:cs="Arial Narrow" w:ascii="Arial Narrow" w:hAnsi="Arial Narrow"/>
                <w:sz w:val="18"/>
              </w:rPr>
              <w:t>Yes</w:t>
            </w:r>
          </w:p>
        </w:tc>
        <w:tc>
          <w:tcPr>
            <w:tcW w:w="1215" w:type="dxa"/>
            <w:tcBorders/>
          </w:tcPr>
          <w:p>
            <w:pPr>
              <w:pStyle w:val="Normal"/>
              <w:jc w:val="center"/>
              <w:rPr>
                <w:rFonts w:ascii="Arial Narrow" w:hAnsi="Arial Narrow" w:cs="Arial Narrow"/>
                <w:sz w:val="18"/>
              </w:rPr>
            </w:pPr>
            <w:r>
              <w:rPr>
                <w:rFonts w:cs="Arial Narrow" w:ascii="Arial Narrow" w:hAnsi="Arial Narrow"/>
                <w:sz w:val="18"/>
              </w:rPr>
              <w:t>No</w:t>
            </w:r>
          </w:p>
        </w:tc>
      </w:tr>
      <w:tr>
        <w:trPr/>
        <w:tc>
          <w:tcPr>
            <w:tcW w:w="3073" w:type="dxa"/>
            <w:tcBorders/>
          </w:tcPr>
          <w:p>
            <w:pPr>
              <w:pStyle w:val="Normal"/>
              <w:snapToGrid w:val="false"/>
              <w:spacing w:before="60" w:after="0"/>
              <w:rPr>
                <w:rFonts w:ascii="Arial Narrow" w:hAnsi="Arial Narrow" w:cs="Arial Narrow"/>
                <w:sz w:val="18"/>
                <w:lang w:val="en-CA" w:eastAsia="en-CA"/>
              </w:rPr>
            </w:pPr>
            <w:r>
              <w:rPr>
                <w:rFonts w:cs="Arial Narrow" w:ascii="Arial Narrow" w:hAnsi="Arial Narrow"/>
                <w:sz w:val="18"/>
                <w:lang w:val="en-CA" w:eastAsia="en-CA"/>
              </w:rPr>
              <mc:AlternateContent>
                <mc:Choice Requires="wps">
                  <w:drawing>
                    <wp:anchor behindDoc="0" distT="0" distB="0" distL="114935" distR="114935" simplePos="0" locked="0" layoutInCell="0" allowOverlap="1" relativeHeight="7">
                      <wp:simplePos x="0" y="0"/>
                      <wp:positionH relativeFrom="margin">
                        <wp:posOffset>1933575</wp:posOffset>
                      </wp:positionH>
                      <wp:positionV relativeFrom="paragraph">
                        <wp:posOffset>3810</wp:posOffset>
                      </wp:positionV>
                      <wp:extent cx="1085850" cy="0"/>
                      <wp:effectExtent l="0" t="5080" r="0" b="5080"/>
                      <wp:wrapNone/>
                      <wp:docPr id="8" name=""/>
                      <a:graphic xmlns:a="http://schemas.openxmlformats.org/drawingml/2006/main">
                        <a:graphicData uri="http://schemas.microsoft.com/office/word/2010/wordprocessingShape">
                          <wps:wsp>
                            <wps:cNvSpPr/>
                            <wps:spPr>
                              <a:xfrm>
                                <a:off x="0" y="0"/>
                                <a:ext cx="1085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25pt,0.3pt" to="237.7pt,0.3pt" stroked="t" o:allowincell="f" style="position:absolute;mso-position-horizontal-relative:margin">
                      <v:stroke color="black" weight="9360" joinstyle="miter" endcap="flat"/>
                      <v:fill o:detectmouseclick="t" on="false"/>
                      <w10:wrap type="none"/>
                    </v:line>
                  </w:pict>
                </mc:Fallback>
              </mc:AlternateContent>
            </w:r>
          </w:p>
        </w:tc>
        <w:tc>
          <w:tcPr>
            <w:tcW w:w="275" w:type="dxa"/>
            <w:tcBorders/>
          </w:tcPr>
          <w:p>
            <w:pPr>
              <w:pStyle w:val="Normal"/>
              <w:spacing w:before="60" w:after="0"/>
              <w:jc w:val="center"/>
              <w:rPr>
                <w:rFonts w:ascii="Arial Narrow" w:hAnsi="Arial Narrow" w:cs="Arial Narrow"/>
                <w:sz w:val="18"/>
                <w:vertAlign w:val="superscript"/>
              </w:rPr>
            </w:pPr>
            <w:r>
              <w:rPr>
                <w:rFonts w:cs="Arial Narrow" w:ascii="Arial Narrow" w:hAnsi="Arial Narrow"/>
                <w:sz w:val="18"/>
                <w:vertAlign w:val="superscript"/>
              </w:rPr>
              <w:t>1</w:t>
            </w:r>
          </w:p>
        </w:tc>
        <w:tc>
          <w:tcPr>
            <w:tcW w:w="6300" w:type="dxa"/>
            <w:gridSpan w:val="9"/>
            <w:tcBorders/>
          </w:tcPr>
          <w:p>
            <w:pPr>
              <w:pStyle w:val="Normal"/>
              <w:spacing w:before="60" w:after="0"/>
              <w:rPr>
                <w:rFonts w:ascii="Arial Narrow" w:hAnsi="Arial Narrow" w:cs="Arial Narrow"/>
                <w:sz w:val="18"/>
              </w:rPr>
            </w:pPr>
            <w:r>
              <w:rPr>
                <w:rFonts w:cs="Arial Narrow" w:ascii="Arial Narrow" w:hAnsi="Arial Narrow"/>
                <w:sz w:val="18"/>
              </w:rPr>
              <w:t>Cause to include performance.</w:t>
            </w:r>
          </w:p>
        </w:tc>
      </w:tr>
      <w:tr>
        <w:trPr/>
        <w:tc>
          <w:tcPr>
            <w:tcW w:w="3073" w:type="dxa"/>
            <w:tcBorders/>
          </w:tcPr>
          <w:p>
            <w:pPr>
              <w:pStyle w:val="Normal"/>
              <w:snapToGrid w:val="false"/>
              <w:rPr>
                <w:rFonts w:ascii="Arial Narrow" w:hAnsi="Arial Narrow" w:cs="Arial Narrow"/>
                <w:sz w:val="18"/>
                <w:lang w:val="en-CA" w:eastAsia="en-CA"/>
              </w:rPr>
            </w:pPr>
            <w:r>
              <w:rPr>
                <w:rFonts w:cs="Arial Narrow" w:ascii="Arial Narrow" w:hAnsi="Arial Narrow"/>
                <w:sz w:val="18"/>
                <w:lang w:val="en-CA" w:eastAsia="en-CA"/>
              </w:rPr>
            </w:r>
          </w:p>
        </w:tc>
        <w:tc>
          <w:tcPr>
            <w:tcW w:w="275" w:type="dxa"/>
            <w:tcBorders/>
          </w:tcPr>
          <w:p>
            <w:pPr>
              <w:pStyle w:val="Normal"/>
              <w:jc w:val="center"/>
              <w:rPr>
                <w:rFonts w:ascii="Arial Narrow" w:hAnsi="Arial Narrow" w:cs="Arial Narrow"/>
                <w:sz w:val="18"/>
                <w:vertAlign w:val="superscript"/>
              </w:rPr>
            </w:pPr>
            <w:r>
              <w:rPr>
                <w:rFonts w:cs="Arial Narrow" w:ascii="Arial Narrow" w:hAnsi="Arial Narrow"/>
                <w:sz w:val="18"/>
                <w:vertAlign w:val="superscript"/>
              </w:rPr>
              <w:t>2</w:t>
            </w:r>
          </w:p>
        </w:tc>
        <w:tc>
          <w:tcPr>
            <w:tcW w:w="6300" w:type="dxa"/>
            <w:gridSpan w:val="9"/>
            <w:tcBorders/>
          </w:tcPr>
          <w:p>
            <w:pPr>
              <w:pStyle w:val="Normal"/>
              <w:jc w:val="both"/>
              <w:rPr>
                <w:rFonts w:ascii="Arial Narrow" w:hAnsi="Arial Narrow" w:cs="Arial Narrow"/>
                <w:sz w:val="18"/>
              </w:rPr>
            </w:pPr>
            <w:r>
              <w:rPr>
                <w:rFonts w:cs="Arial Narrow" w:ascii="Arial Narrow" w:hAnsi="Arial Narrow"/>
                <w:sz w:val="18"/>
              </w:rPr>
              <w:t>Mariner may, in its sole discretion, call the Participant’s Share provided it is at the Fair Market Value and provided the Participants will receive additional consideration if within 6 months a Qualifying Sale or Event occurs which would have increased the Participant’s Share.</w:t>
            </w:r>
          </w:p>
        </w:tc>
      </w:tr>
      <w:tr>
        <w:trPr/>
        <w:tc>
          <w:tcPr>
            <w:tcW w:w="3073" w:type="dxa"/>
            <w:tcBorders/>
          </w:tcPr>
          <w:p>
            <w:pPr>
              <w:pStyle w:val="Normal"/>
              <w:snapToGrid w:val="false"/>
              <w:rPr>
                <w:rFonts w:ascii="Arial Narrow" w:hAnsi="Arial Narrow" w:cs="Arial Narrow"/>
                <w:sz w:val="18"/>
                <w:lang w:val="en-CA" w:eastAsia="en-CA"/>
              </w:rPr>
            </w:pPr>
            <w:r>
              <w:rPr>
                <w:rFonts w:cs="Arial Narrow" w:ascii="Arial Narrow" w:hAnsi="Arial Narrow"/>
                <w:sz w:val="18"/>
                <w:lang w:val="en-CA" w:eastAsia="en-CA"/>
              </w:rPr>
            </w:r>
          </w:p>
        </w:tc>
        <w:tc>
          <w:tcPr>
            <w:tcW w:w="275" w:type="dxa"/>
            <w:tcBorders/>
          </w:tcPr>
          <w:p>
            <w:pPr>
              <w:pStyle w:val="Normal"/>
              <w:jc w:val="center"/>
              <w:rPr>
                <w:rFonts w:ascii="Arial Narrow" w:hAnsi="Arial Narrow" w:cs="Arial Narrow"/>
                <w:sz w:val="18"/>
                <w:vertAlign w:val="superscript"/>
              </w:rPr>
            </w:pPr>
            <w:r>
              <w:rPr>
                <w:rFonts w:cs="Arial Narrow" w:ascii="Arial Narrow" w:hAnsi="Arial Narrow"/>
                <w:sz w:val="18"/>
                <w:vertAlign w:val="superscript"/>
              </w:rPr>
              <w:t>3</w:t>
            </w:r>
          </w:p>
        </w:tc>
        <w:tc>
          <w:tcPr>
            <w:tcW w:w="6300" w:type="dxa"/>
            <w:gridSpan w:val="9"/>
            <w:tcBorders/>
          </w:tcPr>
          <w:p>
            <w:pPr>
              <w:pStyle w:val="Normal"/>
              <w:jc w:val="both"/>
              <w:rPr>
                <w:rFonts w:ascii="Arial Narrow" w:hAnsi="Arial Narrow" w:cs="Arial Narrow"/>
                <w:sz w:val="18"/>
              </w:rPr>
            </w:pPr>
            <w:r>
              <w:rPr>
                <w:rFonts w:cs="Arial Narrow" w:ascii="Arial Narrow" w:hAnsi="Arial Narrow"/>
                <w:sz w:val="18"/>
              </w:rPr>
              <w:t>Josey, Keel and Melendrez may cause Mariner to purchase their vested Share based on the Fair Market Value within 3 months of their Involuntary Termination during the primary term of their employment agreement.  Mariner is not obligated to pay any additional consideration if a Qualifying Sale or Qualifying Event occurs at any time after the Put has been exercised.  An employee exercising this Put will sign a release (attach form) as a precondition to the Share being repurchased.  Mariner may grant this Put right to Putska after his first year of employment.</w:t>
            </w:r>
          </w:p>
        </w:tc>
      </w:tr>
      <w:tr>
        <w:trPr/>
        <w:tc>
          <w:tcPr>
            <w:tcW w:w="3073" w:type="dxa"/>
            <w:tcBorders/>
          </w:tcPr>
          <w:p>
            <w:pPr>
              <w:pStyle w:val="Normal"/>
              <w:snapToGrid w:val="false"/>
              <w:rPr>
                <w:rFonts w:ascii="Arial Narrow" w:hAnsi="Arial Narrow" w:cs="Arial Narrow"/>
                <w:sz w:val="18"/>
                <w:lang w:val="en-CA" w:eastAsia="en-CA"/>
              </w:rPr>
            </w:pPr>
            <w:r>
              <w:rPr>
                <w:rFonts w:cs="Arial Narrow" w:ascii="Arial Narrow" w:hAnsi="Arial Narrow"/>
                <w:sz w:val="18"/>
                <w:lang w:val="en-CA" w:eastAsia="en-CA"/>
              </w:rPr>
            </w:r>
          </w:p>
        </w:tc>
        <w:tc>
          <w:tcPr>
            <w:tcW w:w="6575" w:type="dxa"/>
            <w:gridSpan w:val="10"/>
            <w:tcBorders/>
          </w:tcPr>
          <w:p>
            <w:pPr>
              <w:pStyle w:val="Normal"/>
              <w:snapToGrid w:val="false"/>
              <w:jc w:val="center"/>
              <w:rPr>
                <w:rFonts w:ascii="Arial Narrow" w:hAnsi="Arial Narrow" w:cs="Arial Narrow"/>
                <w:sz w:val="18"/>
                <w:lang w:val="en-CA" w:eastAsia="en-CA"/>
              </w:rPr>
            </w:pPr>
            <w:r>
              <w:rPr>
                <w:rFonts w:cs="Arial Narrow" w:ascii="Arial Narrow" w:hAnsi="Arial Narrow"/>
                <w:sz w:val="18"/>
                <w:lang w:val="en-CA" w:eastAsia="en-CA"/>
              </w:rPr>
            </w:r>
          </w:p>
        </w:tc>
      </w:tr>
      <w:tr>
        <w:trPr/>
        <w:tc>
          <w:tcPr>
            <w:tcW w:w="3073" w:type="dxa"/>
            <w:tcBorders/>
          </w:tcPr>
          <w:p>
            <w:pPr>
              <w:pStyle w:val="Normal"/>
              <w:rPr>
                <w:rFonts w:ascii="Arial Narrow" w:hAnsi="Arial Narrow" w:cs="Arial Narrow"/>
                <w:sz w:val="18"/>
                <w:lang w:val="en-CA" w:eastAsia="en-CA"/>
              </w:rPr>
            </w:pPr>
            <w:r>
              <w:rPr>
                <w:rFonts w:cs="Arial Narrow" w:ascii="Arial Narrow" w:hAnsi="Arial Narrow"/>
                <w:sz w:val="18"/>
                <w:lang w:val="en-CA" w:eastAsia="en-CA"/>
              </w:rPr>
              <w:t>Fair Market Value:</w:t>
            </w:r>
          </w:p>
        </w:tc>
        <w:tc>
          <w:tcPr>
            <w:tcW w:w="6575" w:type="dxa"/>
            <w:gridSpan w:val="10"/>
            <w:tcBorders/>
          </w:tcPr>
          <w:p>
            <w:pPr>
              <w:pStyle w:val="Normal"/>
              <w:jc w:val="both"/>
              <w:rPr>
                <w:rFonts w:ascii="Arial Narrow" w:hAnsi="Arial Narrow" w:cs="Arial Narrow"/>
                <w:sz w:val="18"/>
              </w:rPr>
            </w:pPr>
            <w:r>
              <w:rPr>
                <w:rFonts w:cs="Arial Narrow" w:ascii="Arial Narrow" w:hAnsi="Arial Narrow"/>
                <w:sz w:val="18"/>
              </w:rPr>
              <w:t>The value of the equity at which a willing buyer and a willing seller would transact for cash, with customary documentation and representations, warranties, covenants, indemnities.</w:t>
            </w:r>
          </w:p>
        </w:tc>
      </w:tr>
      <w:tr>
        <w:trPr/>
        <w:tc>
          <w:tcPr>
            <w:tcW w:w="3073" w:type="dxa"/>
            <w:tcBorders/>
          </w:tcPr>
          <w:p>
            <w:pPr>
              <w:pStyle w:val="Normal"/>
              <w:snapToGrid w:val="false"/>
              <w:rPr>
                <w:rFonts w:ascii="Arial Narrow" w:hAnsi="Arial Narrow" w:cs="Arial Narrow"/>
                <w:sz w:val="18"/>
                <w:lang w:val="en-CA" w:eastAsia="en-CA"/>
              </w:rPr>
            </w:pPr>
            <w:r>
              <w:rPr>
                <w:rFonts w:cs="Arial Narrow" w:ascii="Arial Narrow" w:hAnsi="Arial Narrow"/>
                <w:sz w:val="18"/>
                <w:lang w:val="en-CA" w:eastAsia="en-CA"/>
              </w:rPr>
            </w:r>
          </w:p>
        </w:tc>
        <w:tc>
          <w:tcPr>
            <w:tcW w:w="6575" w:type="dxa"/>
            <w:gridSpan w:val="10"/>
            <w:tcBorders/>
          </w:tcPr>
          <w:p>
            <w:pPr>
              <w:pStyle w:val="Normal"/>
              <w:snapToGrid w:val="false"/>
              <w:jc w:val="both"/>
              <w:rPr>
                <w:rFonts w:ascii="Arial Narrow" w:hAnsi="Arial Narrow" w:cs="Arial Narrow"/>
                <w:sz w:val="18"/>
                <w:lang w:val="en-CA" w:eastAsia="en-CA"/>
              </w:rPr>
            </w:pPr>
            <w:r>
              <w:rPr>
                <w:rFonts w:cs="Arial Narrow" w:ascii="Arial Narrow" w:hAnsi="Arial Narrow"/>
                <w:sz w:val="18"/>
                <w:lang w:val="en-CA" w:eastAsia="en-CA"/>
              </w:rPr>
            </w:r>
          </w:p>
        </w:tc>
      </w:tr>
      <w:tr>
        <w:trPr/>
        <w:tc>
          <w:tcPr>
            <w:tcW w:w="3073" w:type="dxa"/>
            <w:tcBorders/>
          </w:tcPr>
          <w:p>
            <w:pPr>
              <w:pStyle w:val="Normal"/>
              <w:rPr>
                <w:rFonts w:ascii="Arial Narrow" w:hAnsi="Arial Narrow" w:cs="Arial Narrow"/>
                <w:sz w:val="18"/>
                <w:lang w:val="en-CA" w:eastAsia="en-CA"/>
              </w:rPr>
            </w:pPr>
            <w:r>
              <w:rPr>
                <w:rFonts w:cs="Arial Narrow" w:ascii="Arial Narrow" w:hAnsi="Arial Narrow"/>
                <w:sz w:val="18"/>
                <w:lang w:val="en-CA" w:eastAsia="en-CA"/>
              </w:rPr>
              <w:t>Dispute Resolution:</w:t>
            </w:r>
          </w:p>
        </w:tc>
        <w:tc>
          <w:tcPr>
            <w:tcW w:w="6575" w:type="dxa"/>
            <w:gridSpan w:val="10"/>
            <w:tcBorders/>
          </w:tcPr>
          <w:p>
            <w:pPr>
              <w:pStyle w:val="Normal"/>
              <w:jc w:val="both"/>
              <w:rPr>
                <w:rFonts w:ascii="Arial Narrow" w:hAnsi="Arial Narrow" w:cs="Arial Narrow"/>
                <w:sz w:val="18"/>
              </w:rPr>
            </w:pPr>
            <w:r>
              <w:rPr>
                <w:rFonts w:cs="Arial Narrow" w:ascii="Arial Narrow" w:hAnsi="Arial Narrow"/>
                <w:sz w:val="18"/>
              </w:rPr>
              <w:t>As to Fair Market Value, the parties agree to use Baseball Arbitration, if Enron succeeds at arbitration, the cost of such arbitration will be deducted from the Participant’s Share.  If the Participant succeeds, Enron will reimburse the Participant’s cost of arbitration to the Participant.</w:t>
            </w:r>
          </w:p>
        </w:tc>
      </w:tr>
    </w:tbl>
    <w:p>
      <w:pPr>
        <w:pStyle w:val="Normal"/>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2001-10-23T15:03:00Z</dcterms:created>
  <dc:creator>sfallon</dc:creator>
  <dc:description/>
  <dc:language>en-CA</dc:language>
  <cp:lastModifiedBy>sfallon</cp:lastModifiedBy>
  <cp:lastPrinted>2001-10-24T12:12:00Z</cp:lastPrinted>
  <dcterms:modified xsi:type="dcterms:W3CDTF">2001-10-24T14:42:00Z</dcterms:modified>
  <cp:revision>8</cp:revision>
  <dc:subject/>
  <dc:title>LTIP</dc:title>
</cp:coreProperties>
</file>