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17"/>
          <w:u w:val="single"/>
        </w:rPr>
      </w:pPr>
      <w:r>
        <w:rPr>
          <w:b/>
          <w:sz w:val="17"/>
          <w:u w:val="single"/>
        </w:rPr>
        <w:t>MGAG/MGL ats Codelco: Case Summary</w:t>
      </w:r>
    </w:p>
    <w:p>
      <w:pPr>
        <w:pStyle w:val="Normal"/>
        <w:rPr>
          <w:sz w:val="17"/>
        </w:rPr>
      </w:pPr>
      <w:r>
        <w:rPr>
          <w:sz w:val="17"/>
        </w:rPr>
        <w:t>As requested by Paul Johnson as a matter of urgency earlier today, set out below is a preliminary note on the claim made by Codelco against Metallgesellschaft AG (“MGAG”), Metallgesellschaft Ltd (“MGL”) and Wolfgang Becker (formerly the MD of MG Commodity Corp (“MGCC”), a now defunct MGAG subsidiary) in the High Court in London.  This note assumes that the reader has no previous knowledge of the claim.</w:t>
      </w:r>
    </w:p>
    <w:p>
      <w:pPr>
        <w:pStyle w:val="Normal"/>
        <w:numPr>
          <w:ilvl w:val="0"/>
          <w:numId w:val="3"/>
        </w:numPr>
        <w:ind w:hanging="0" w:start="0" w:end="0"/>
        <w:rPr>
          <w:sz w:val="17"/>
        </w:rPr>
      </w:pPr>
      <w:r>
        <w:rPr>
          <w:sz w:val="17"/>
        </w:rPr>
        <w:t>Codelco, which is the national copper producer in Chile, suffered huge losses as a result of the actions of the former head of its futures department, Juan Pablo Davila during the late eighties and early nineties.  While criminal investigations against Davila in Chile are on</w:t>
        <w:noBreakHyphen/>
        <w:t>going, Codelco has made civil claims arising out of those investigations against traders and brokers with whom Davila dealt, including the claim now made in the High Court proceedings against MGAG and MGL.</w:t>
      </w:r>
    </w:p>
    <w:p>
      <w:pPr>
        <w:pStyle w:val="Normal"/>
        <w:numPr>
          <w:ilvl w:val="0"/>
          <w:numId w:val="3"/>
        </w:numPr>
        <w:ind w:hanging="0" w:start="0" w:end="0"/>
        <w:rPr>
          <w:sz w:val="17"/>
        </w:rPr>
      </w:pPr>
      <w:r>
        <w:rPr>
          <w:sz w:val="17"/>
        </w:rPr>
        <w:t>In those proceedings (no. CH2518 of 1996), Codelco claims that the defendants were party to a conspiracy to defraud and injure Codelco.  The conspiracy is said to have been orchestrated by Becker, who is alleged to have paid a bribe of US$1.5 million to Davila in return for Davila procuring Codelco to enter into futures and options transactions with MGAG and/or its subsidiaries, including MGL.  The allegation is that those transactions were either on unduly favourable terms and/or that the volume of that business increased as a result of the payment of the bribe.</w:t>
      </w:r>
    </w:p>
    <w:p>
      <w:pPr>
        <w:pStyle w:val="Normal"/>
        <w:numPr>
          <w:ilvl w:val="0"/>
          <w:numId w:val="3"/>
        </w:numPr>
        <w:ind w:hanging="0" w:start="0" w:end="0"/>
        <w:rPr>
          <w:sz w:val="17"/>
        </w:rPr>
      </w:pPr>
      <w:r>
        <w:rPr>
          <w:sz w:val="17"/>
        </w:rPr>
        <w:t>The US$1.5 million was generated by Becker increasing the options premiums payable in respect of a min-max options contract entered into between MGCC and Codelco in late 1989, early 1990.  The claim is made against MGAG, rather than MGCC, because MGCC’s contracts with Codelco were entered into using MGAG letterhead (this was because MGCC, unlike MGAG and MGL, was unable to register as a broker with the Central Bank in Chile).  Becker was authorised to operate in this way pursuant to a power of attorney granted to him by MGAG and did so through MGAG’s agent in Chile, Vorwerk SA.</w:t>
      </w:r>
    </w:p>
    <w:p>
      <w:pPr>
        <w:pStyle w:val="Normal"/>
        <w:numPr>
          <w:ilvl w:val="0"/>
          <w:numId w:val="3"/>
        </w:numPr>
        <w:ind w:hanging="0" w:start="0" w:end="0"/>
        <w:rPr>
          <w:sz w:val="17"/>
        </w:rPr>
      </w:pPr>
      <w:r>
        <w:rPr>
          <w:sz w:val="17"/>
        </w:rPr>
        <w:t>Following receipt of the US$1.5 million from Codelco, Becker caused it to be paid into a Cayman Island account details of which were given to him by Davila.  A paper trail, comprising three artificial futures transactions resulting in a net payment due to Codelco, was generated by Becker to justify the transfer.</w:t>
      </w:r>
    </w:p>
    <w:p>
      <w:pPr>
        <w:pStyle w:val="Normal"/>
        <w:numPr>
          <w:ilvl w:val="0"/>
          <w:numId w:val="3"/>
        </w:numPr>
        <w:ind w:hanging="0" w:start="0" w:end="0"/>
        <w:rPr>
          <w:sz w:val="17"/>
        </w:rPr>
      </w:pPr>
      <w:r>
        <w:rPr>
          <w:sz w:val="17"/>
        </w:rPr>
        <w:t>Codelco claims that both the min-max contract and all subsequent futures transactions with MGAG were induced by the alleged bribe.  Those transactions span the period April 1989 to January 1994, when Davila was dismissed from Codelco.</w:t>
      </w:r>
    </w:p>
    <w:p>
      <w:pPr>
        <w:pStyle w:val="Normal"/>
        <w:numPr>
          <w:ilvl w:val="0"/>
          <w:numId w:val="3"/>
        </w:numPr>
        <w:ind w:hanging="0" w:start="0" w:end="0"/>
        <w:rPr>
          <w:sz w:val="17"/>
        </w:rPr>
      </w:pPr>
      <w:r>
        <w:rPr>
          <w:sz w:val="17"/>
        </w:rPr>
        <w:t>MGL’s futures business transacted with Codelco during the same period is said to have been induced by the alleged bribe for two reasons.  First, Codelco claims that because MGL was MGAG’s subsidiary and had common directors and/or officers (ie, Dieter Worms), it can be inferred that MGL knew of the bribe and benefited from it.  Secondly, it is claimed that MGL knew of and benefited from the payment of the bribe because shortly after the min-max contract was entered into, MGL retained MGAG’s agent in Chile who had acted in connection with its entry into the min-max contract, namely, Vorwerk SA.  On the basis of the alleged joint agency of Vowerk SA, Codelco claims that Vorwerk SA’s knowledge of the bribe is to be imputed to MGL.</w:t>
      </w:r>
    </w:p>
    <w:p>
      <w:pPr>
        <w:pStyle w:val="Normal"/>
        <w:numPr>
          <w:ilvl w:val="0"/>
          <w:numId w:val="3"/>
        </w:numPr>
        <w:ind w:hanging="0" w:start="0" w:end="0"/>
        <w:rPr>
          <w:sz w:val="17"/>
        </w:rPr>
      </w:pPr>
      <w:r>
        <w:rPr>
          <w:sz w:val="17"/>
        </w:rPr>
        <w:t xml:space="preserve">The defence case is that no bribe was paid and that the transfer payment was simply an accommodation made to Codelco, at its request, to transfer funds abroad on the understanding that they were required to purchase medical equipment for a military hospital in Chile.  The defendants claim that Davila requested Becker to make the transfer for that purpose; that the transfer was authorised and approved by the then President of Codelco, Patricio Contesse, in a meeting called by Vorwerk for that purpose; that after the min-max contract had been agreed, Davila requested the increase in the premiums to facilitate the payment; and that it was always understood that the Cayman Island account into which the US$1.5 million was transferred was a Codelco account (it only subsequently became apparent that it was Davila’s personal account).  </w:t>
      </w:r>
      <w:r>
        <w:rPr>
          <w:b/>
          <w:sz w:val="17"/>
        </w:rPr>
        <w:t>In fact, US$500,000 of the transfer payment was used to purchase medical equipment for the Hospital Militar in Santiago costing US$1,060,000.  The balance of the purchase price, namely US$560,000, was paid by the Chilean Army.  We are currently investigating this matter in Chile.</w:t>
      </w:r>
    </w:p>
    <w:p>
      <w:pPr>
        <w:pStyle w:val="Normal"/>
        <w:numPr>
          <w:ilvl w:val="0"/>
          <w:numId w:val="3"/>
        </w:numPr>
        <w:ind w:hanging="0" w:start="0" w:end="0"/>
        <w:rPr>
          <w:sz w:val="17"/>
        </w:rPr>
      </w:pPr>
      <w:r>
        <w:rPr>
          <w:sz w:val="17"/>
        </w:rPr>
        <w:t>In support of the no-bribe defence based upon the purchase of the medical equipment, the defendants claim that the options and futures transactions entered into with Codelco during the period April 1989 to January 1990 were transacted on arms length commercial terms which militates against the transfer payment being a bribe and/or any of the transactions having been induced by any such bribe.  In addition, a number of technical and Chilean law defences have been pleaded, including the expiry of Chilean law limitation periods, the absence of malice (or “dolo”) under Chilean law and so on.</w:t>
      </w:r>
    </w:p>
    <w:p>
      <w:pPr>
        <w:pStyle w:val="Normal"/>
        <w:numPr>
          <w:ilvl w:val="0"/>
          <w:numId w:val="3"/>
        </w:numPr>
        <w:ind w:hanging="0" w:start="0" w:end="0"/>
        <w:rPr>
          <w:sz w:val="17"/>
        </w:rPr>
      </w:pPr>
      <w:r>
        <w:rPr>
          <w:sz w:val="17"/>
        </w:rPr>
        <w:t>To date, Codelco has been unable to quantify its claim precisely because it cannot say which transactions were induced by the alleged bribe.  Consequently, Codelco has reserved its position in this regard and has sought an enquiry at or following the trial.  In the meantime, Codelco relies upon a presumption under English law that once fraud is established, all contracts entered into in anticipation of a bribe and all contracts entered into subsequent to it, are vitiated (ie. contracts entered into between April 1989 and January 1994).  In the case of MGAG, that includes the min-max contract and futures transactions in respect of which Codelco claims it paid a net sum of approximately US$20 million to MGAG/MGCC.  In the case of MGL, Codelco claims it received approximately US$7.9 million from, and paid approximately US$3.3 million to, MGL in respect of futures transactions with it during that period.  Codelco claims recission of the contracts concerned, together with a range of other remedies including restitution, constructive trust, damages for breach of duty and for unlawful interference with Codelco’s business.  Given the time constraints, we would be pleased to discuss with you at your convenience the monetary consequences of this claim for MGL.  During our telephone conversation last evening, we reminded you of the fact that MGAG has given an indemnity to MGL in connection with the litigation.</w:t>
      </w:r>
    </w:p>
    <w:p>
      <w:pPr>
        <w:pStyle w:val="Normal"/>
        <w:numPr>
          <w:ilvl w:val="0"/>
          <w:numId w:val="3"/>
        </w:numPr>
        <w:spacing w:before="0" w:after="280"/>
        <w:ind w:hanging="0" w:start="0" w:end="0"/>
        <w:rPr>
          <w:sz w:val="17"/>
        </w:rPr>
      </w:pPr>
      <w:r>
        <w:rPr>
          <w:sz w:val="17"/>
        </w:rPr>
        <w:t>The trial is currently fixed for late October this year on an estimate of five to six weeks and we are currently in the process of preparing witness statements and experts reports.  Statements are due to be exchanged in mid-to-late April and experts reports on a staged basis from May through to September.</w:t>
      </w:r>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1"/>
      </w:rPr>
    </w:pPr>
    <w:r>
      <w:rPr>
        <w:sz w:val="11"/>
      </w:rPr>
      <w:fldChar w:fldCharType="begin"/>
    </w:r>
    <w:r>
      <w:rPr>
        <w:sz w:val="11"/>
      </w:rPr>
      <w:instrText xml:space="preserve"> DOCPROPERTY "udp_CMNumber"</w:instrText>
    </w:r>
    <w:r>
      <w:rPr>
        <w:sz w:val="11"/>
      </w:rPr>
      <w:fldChar w:fldCharType="separate"/>
    </w:r>
    <w:r>
      <w:rPr>
        <w:sz w:val="11"/>
      </w:rPr>
      <w:t>102199/10330</w:t>
    </w:r>
    <w:r>
      <w:rPr>
        <w:sz w:val="11"/>
      </w:rPr>
      <w:fldChar w:fldCharType="end"/>
    </w:r>
    <w:r>
      <w:rPr>
        <w:rFonts w:eastAsia="Charter BT"/>
        <w:sz w:val="11"/>
      </w:rPr>
      <w:t xml:space="preserve">  </w:t>
    </w:r>
    <w:r>
      <w:rPr>
        <w:sz w:val="11"/>
      </w:rPr>
      <w:fldChar w:fldCharType="begin"/>
    </w:r>
    <w:r>
      <w:rPr>
        <w:sz w:val="11"/>
      </w:rPr>
      <w:instrText xml:space="preserve"> DOCPROPERTY "udp_DocID"</w:instrText>
    </w:r>
    <w:r>
      <w:rPr>
        <w:sz w:val="11"/>
      </w:rPr>
      <w:fldChar w:fldCharType="separate"/>
    </w:r>
    <w:r>
      <w:rPr>
        <w:sz w:val="11"/>
      </w:rPr>
      <w:t>LT010810084</w:t>
    </w:r>
    <w:r>
      <w:rPr>
        <w:sz w:val="11"/>
      </w:rPr>
      <w:fldChar w:fldCharType="end"/>
    </w:r>
    <w:r>
      <w:rPr>
        <w:rFonts w:eastAsia="Charter BT"/>
        <w:sz w:val="11"/>
      </w:rPr>
      <w:t xml:space="preserve"> </w:t>
    </w:r>
    <w:r>
      <w:rPr>
        <w:sz w:val="11"/>
      </w:rPr>
      <w:fldChar w:fldCharType="begin"/>
    </w:r>
    <w:r>
      <w:rPr>
        <w:sz w:val="11"/>
      </w:rPr>
      <w:instrText xml:space="preserve"> DOCPROPERTY "udp_Author"</w:instrText>
    </w:r>
    <w:r>
      <w:rPr>
        <w:sz w:val="11"/>
      </w:rPr>
      <w:fldChar w:fldCharType="separate"/>
    </w:r>
    <w:r>
      <w:rPr>
        <w:sz w:val="11"/>
      </w:rPr>
      <w:t>JPGD</w:t>
    </w:r>
    <w:r>
      <w:rPr>
        <w:sz w:val="11"/>
      </w:rPr>
      <w:fldChar w:fldCharType="end"/>
    </w:r>
    <w:r>
      <w:rPr>
        <w:rFonts w:eastAsia="Charter BT"/>
        <w:sz w:val="11"/>
      </w:rPr>
      <w:t xml:space="preserve"> </w:t>
    </w:r>
    <w:r>
      <w:rPr>
        <w:sz w:val="11"/>
      </w:rPr>
      <w:fldChar w:fldCharType="begin"/>
    </w:r>
    <w:r>
      <w:rPr>
        <w:sz w:val="11"/>
      </w:rPr>
      <w:instrText xml:space="preserve"> DATE \@"ddMMyy\:HHmm" </w:instrText>
    </w:r>
    <w:r>
      <w:rPr>
        <w:sz w:val="11"/>
      </w:rPr>
      <w:fldChar w:fldCharType="separate"/>
    </w:r>
    <w:r>
      <w:rPr>
        <w:sz w:val="11"/>
      </w:rPr>
      <w:t>280925:0851</w:t>
    </w:r>
    <w:r>
      <w:rPr>
        <w:sz w:val="11"/>
      </w:rPr>
      <w:fldChar w:fldCharType="end"/>
    </w:r>
  </w:p>
  <w:p>
    <w:pPr>
      <w:pStyle w:val="Footer"/>
      <w:spacing w:before="0" w:after="280"/>
      <w:rPr>
        <w:sz w:val="11"/>
      </w:rPr>
    </w:pPr>
    <w:r>
      <w:rPr>
        <w:sz w:val="11"/>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1"/>
        <w:lang w:val="en-CA"/>
      </w:rPr>
    </w:pPr>
    <w:r>
      <w:rPr>
        <w:sz w:val="11"/>
        <w:lang w:val="en-CA"/>
      </w:rPr>
      <w:fldChar w:fldCharType="begin"/>
    </w:r>
    <w:r>
      <w:rPr>
        <w:sz w:val="11"/>
        <w:lang w:val="en-CA"/>
      </w:rPr>
      <w:instrText xml:space="preserve"> DOCPROPERTY "udp_CMNumber"</w:instrText>
    </w:r>
    <w:r>
      <w:rPr>
        <w:sz w:val="11"/>
        <w:lang w:val="en-CA"/>
      </w:rPr>
      <w:fldChar w:fldCharType="separate"/>
    </w:r>
    <w:r>
      <w:rPr>
        <w:sz w:val="11"/>
        <w:lang w:val="en-CA"/>
      </w:rPr>
      <w:t>102199/10330</w:t>
    </w:r>
    <w:r>
      <w:rPr>
        <w:sz w:val="11"/>
        <w:lang w:val="en-CA"/>
      </w:rPr>
      <w:fldChar w:fldCharType="end"/>
    </w:r>
    <w:r>
      <w:rPr>
        <w:rFonts w:eastAsia="Charter BT"/>
        <w:sz w:val="11"/>
        <w:lang w:val="en-CA"/>
      </w:rPr>
      <w:t xml:space="preserve">  </w:t>
    </w:r>
    <w:r>
      <w:rPr>
        <w:sz w:val="11"/>
        <w:lang w:val="en-CA"/>
      </w:rPr>
      <w:fldChar w:fldCharType="begin"/>
    </w:r>
    <w:r>
      <w:rPr>
        <w:sz w:val="11"/>
        <w:lang w:val="en-CA"/>
      </w:rPr>
      <w:instrText xml:space="preserve"> DOCPROPERTY "udp_DocID"</w:instrText>
    </w:r>
    <w:r>
      <w:rPr>
        <w:sz w:val="11"/>
        <w:lang w:val="en-CA"/>
      </w:rPr>
      <w:fldChar w:fldCharType="separate"/>
    </w:r>
    <w:r>
      <w:rPr>
        <w:sz w:val="11"/>
        <w:lang w:val="en-CA"/>
      </w:rPr>
      <w:t>LT010810084</w:t>
    </w:r>
    <w:r>
      <w:rPr>
        <w:sz w:val="11"/>
        <w:lang w:val="en-CA"/>
      </w:rPr>
      <w:fldChar w:fldCharType="end"/>
    </w:r>
    <w:r>
      <w:rPr>
        <w:rFonts w:eastAsia="Charter BT"/>
        <w:sz w:val="11"/>
        <w:lang w:val="en-CA"/>
      </w:rPr>
      <w:t xml:space="preserve">  </w:t>
    </w:r>
    <w:r>
      <w:rPr>
        <w:sz w:val="11"/>
        <w:lang w:val="en-CA"/>
      </w:rPr>
      <w:fldChar w:fldCharType="begin"/>
    </w:r>
    <w:r>
      <w:rPr>
        <w:sz w:val="11"/>
        <w:lang w:val="en-CA"/>
      </w:rPr>
      <w:instrText xml:space="preserve"> DOCPROPERTY "udp_Author"</w:instrText>
    </w:r>
    <w:r>
      <w:rPr>
        <w:sz w:val="11"/>
        <w:lang w:val="en-CA"/>
      </w:rPr>
      <w:fldChar w:fldCharType="separate"/>
    </w:r>
    <w:r>
      <w:rPr>
        <w:sz w:val="11"/>
        <w:lang w:val="en-CA"/>
      </w:rPr>
      <w:t>JPGD</w:t>
    </w:r>
    <w:r>
      <w:rPr>
        <w:sz w:val="11"/>
        <w:lang w:val="en-CA"/>
      </w:rPr>
      <w:fldChar w:fldCharType="end"/>
    </w:r>
    <w:r>
      <w:rPr>
        <w:rFonts w:eastAsia="Charter BT"/>
        <w:sz w:val="11"/>
        <w:lang w:val="en-CA"/>
      </w:rPr>
      <w:t xml:space="preserve">  </w:t>
    </w:r>
    <w:r>
      <w:rPr>
        <w:sz w:val="11"/>
        <w:lang w:val="en-CA"/>
      </w:rPr>
      <w:fldChar w:fldCharType="begin"/>
    </w:r>
    <w:r>
      <w:rPr>
        <w:sz w:val="11"/>
        <w:lang w:val="en-CA"/>
      </w:rPr>
      <w:instrText xml:space="preserve"> DATE \@"ddMMyy\:HHmm" </w:instrText>
    </w:r>
    <w:r>
      <w:rPr>
        <w:sz w:val="11"/>
        <w:lang w:val="en-CA"/>
      </w:rPr>
      <w:fldChar w:fldCharType="separate"/>
    </w:r>
    <w:r>
      <w:rPr>
        <w:sz w:val="11"/>
        <w:lang w:val="en-CA"/>
      </w:rPr>
      <w:t>280925:0851</w:t>
    </w:r>
    <w:r>
      <w:rPr>
        <w:sz w:val="11"/>
        <w:lang w:val="en-CA"/>
      </w:rPr>
      <w:fldChar w:fldCharType="end"/>
    </w:r>
  </w:p>
  <w:p>
    <w:pPr>
      <w:pStyle w:val="Footer"/>
      <w:spacing w:before="0" w:after="280"/>
      <w:rPr>
        <w:sz w:val="11"/>
        <w:lang w:val="en-CA"/>
      </w:rPr>
    </w:pPr>
    <w:r>
      <w:rPr>
        <w:sz w:val="11"/>
        <w:lang w:val="en-C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sz w:val="17"/>
      </w:rPr>
    </w:pPr>
    <w:r>
      <w:rPr>
        <w:rStyle w:val="PageNumber"/>
        <w:sz w:val="17"/>
      </w:rPr>
      <w:fldChar w:fldCharType="begin"/>
    </w:r>
    <w:r>
      <w:rPr>
        <w:rStyle w:val="PageNumber"/>
        <w:sz w:val="17"/>
      </w:rPr>
      <w:instrText xml:space="preserve"> PAGE </w:instrText>
    </w:r>
    <w:r>
      <w:rPr>
        <w:rStyle w:val="PageNumber"/>
        <w:sz w:val="17"/>
      </w:rPr>
      <w:fldChar w:fldCharType="separate"/>
    </w:r>
    <w:r>
      <w:rPr>
        <w:rStyle w:val="PageNumber"/>
        <w:sz w:val="17"/>
      </w:rPr>
      <w:t>2</w:t>
    </w:r>
    <w:r>
      <w:rPr>
        <w:rStyle w:val="PageNumber"/>
        <w:sz w:val="17"/>
      </w:rPr>
      <w:fldChar w:fldCharType="end"/>
    </w:r>
  </w:p>
  <w:p>
    <w:pPr>
      <w:pStyle w:val="Header"/>
      <w:jc w:val="center"/>
      <w:rPr>
        <w:rStyle w:val="PageNumber"/>
        <w:sz w:val="17"/>
      </w:rPr>
    </w:pPr>
    <w:r>
      <w:rPr/>
    </w:r>
  </w:p>
  <w:p>
    <w:pPr>
      <w:pStyle w:val="Normal"/>
      <w:spacing w:before="0" w:after="280"/>
      <w:rPr>
        <w:sz w:val="17"/>
      </w:rPr>
    </w:pPr>
    <w:r>
      <w:rPr>
        <w:sz w:val="17"/>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sz w:val="17"/>
      </w:rPr>
    </w:pPr>
    <w:r>
      <w:rPr>
        <w:sz w:val="17"/>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righ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4"/>
      </w:numPr>
      <w:ind w:hanging="283" w:start="283" w:end="0"/>
    </w:pPr>
    <w:rPr/>
  </w:style>
  <w:style w:type="paragraph" w:styleId="ListNumber2">
    <w:name w:val="List Number 2"/>
    <w:basedOn w:val="Normal"/>
    <w:qFormat/>
    <w:pPr>
      <w:numPr>
        <w:ilvl w:val="0"/>
        <w:numId w:val="5"/>
      </w:numPr>
      <w:ind w:hanging="283" w:start="566" w:end="0"/>
    </w:pPr>
    <w:rPr/>
  </w:style>
  <w:style w:type="paragraph" w:styleId="ListNumber3">
    <w:name w:val="List Number 3"/>
    <w:basedOn w:val="Normal"/>
    <w:qFormat/>
    <w:pPr>
      <w:numPr>
        <w:ilvl w:val="0"/>
        <w:numId w:val="6"/>
      </w:numPr>
      <w:ind w:hanging="283" w:start="849" w:end="0"/>
    </w:pPr>
    <w:rPr/>
  </w:style>
  <w:style w:type="paragraph" w:styleId="ListNumber4">
    <w:name w:val="List Number 4"/>
    <w:basedOn w:val="Normal"/>
    <w:qFormat/>
    <w:pPr>
      <w:numPr>
        <w:ilvl w:val="0"/>
        <w:numId w:val="7"/>
      </w:numPr>
      <w:ind w:hanging="283" w:start="1132" w:end="0"/>
    </w:pPr>
    <w:rPr/>
  </w:style>
  <w:style w:type="paragraph" w:styleId="ListNumber5">
    <w:name w:val="List Number 5"/>
    <w:basedOn w:val="Normal"/>
    <w:qFormat/>
    <w:pPr>
      <w:numPr>
        <w:ilvl w:val="0"/>
        <w:numId w:val="8"/>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9"/>
      </w:numPr>
      <w:ind w:hanging="283" w:start="283" w:end="0"/>
    </w:pPr>
    <w:rPr/>
  </w:style>
  <w:style w:type="paragraph" w:styleId="ListBullet21">
    <w:name w:val="List Bullet 21"/>
    <w:basedOn w:val="Normal"/>
    <w:qFormat/>
    <w:pPr>
      <w:numPr>
        <w:ilvl w:val="0"/>
        <w:numId w:val="10"/>
      </w:numPr>
      <w:ind w:hanging="283" w:start="566" w:end="0"/>
    </w:pPr>
    <w:rPr/>
  </w:style>
  <w:style w:type="paragraph" w:styleId="ListBullet31">
    <w:name w:val="List Bullet 31"/>
    <w:basedOn w:val="Normal"/>
    <w:qFormat/>
    <w:pPr>
      <w:numPr>
        <w:ilvl w:val="0"/>
        <w:numId w:val="11"/>
      </w:numPr>
      <w:ind w:hanging="283" w:start="849" w:end="0"/>
    </w:pPr>
    <w:rPr/>
  </w:style>
  <w:style w:type="paragraph" w:styleId="ListBullet41">
    <w:name w:val="List Bullet 41"/>
    <w:basedOn w:val="Normal"/>
    <w:qFormat/>
    <w:pPr>
      <w:numPr>
        <w:ilvl w:val="0"/>
        <w:numId w:val="12"/>
      </w:numPr>
      <w:ind w:hanging="283" w:start="1132" w:end="0"/>
    </w:pPr>
    <w:rPr/>
  </w:style>
  <w:style w:type="paragraph" w:styleId="ListBullet51">
    <w:name w:val="List Bullet 51"/>
    <w:basedOn w:val="Normal"/>
    <w:qFormat/>
    <w:pPr>
      <w:numPr>
        <w:ilvl w:val="0"/>
        <w:numId w:val="13"/>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2001-03-22T08:23:00Z</dcterms:created>
  <dc:creator>JPGDሀ矶㕠矺ቊ矶p_x0002_</dc:creator>
  <dc:description/>
  <dc:language>en-CA</dc:language>
  <cp:lastModifiedBy>JPGDሀ矶㕠矺ቊ矶p_x0002_</cp:lastModifiedBy>
  <cp:lastPrinted>2001-03-22T14:37:00Z</cp:lastPrinted>
  <dcterms:modified xsi:type="dcterms:W3CDTF">2001-03-22T12:09:00Z</dcterms:modified>
  <cp:revision>14</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JPGD</vt:lpwstr>
  </property>
  <property fmtid="{D5CDD505-2E9C-101B-9397-08002B2CF9AE}" pid="3" name="udp_BorderStyle">
    <vt:lpwstr>None</vt:lpwstr>
  </property>
  <property fmtid="{D5CDD505-2E9C-101B-9397-08002B2CF9AE}" pid="4" name="udp_CMNumber">
    <vt:lpwstr>102199/10330</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METALLGESELLSCHAFT A.G.</vt:lpwstr>
  </property>
  <property fmtid="{D5CDD505-2E9C-101B-9397-08002B2CF9AE}" pid="8" name="udp_Department">
    <vt:lpwstr> </vt:lpwstr>
  </property>
  <property fmtid="{D5CDD505-2E9C-101B-9397-08002B2CF9AE}" pid="9" name="udp_DocID">
    <vt:lpwstr>LT010810084</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CODELCO</vt:lpwstr>
  </property>
  <property fmtid="{D5CDD505-2E9C-101B-9397-08002B2CF9AE}" pid="14" name="udp_Renumber">
    <vt:bool>0</vt:bool>
  </property>
  <property fmtid="{D5CDD505-2E9C-101B-9397-08002B2CF9AE}" pid="15" name="udp_TemplateVersion">
    <vt:lpwstr>1.03.0001</vt:lpwstr>
  </property>
  <property fmtid="{D5CDD505-2E9C-101B-9397-08002B2CF9AE}" pid="16" name="udp_Typist">
    <vt:lpwstr>Douglas-Henry, Jean-Pierre</vt:lpwstr>
  </property>
  <property fmtid="{D5CDD505-2E9C-101B-9397-08002B2CF9AE}" pid="17" name="udp_Version">
    <vt:lpwstr>2</vt:lpwstr>
  </property>
</Properties>
</file>