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2"/>
          <w:u w:val="single"/>
        </w:rPr>
      </w:pPr>
      <w:r>
        <w:rPr>
          <w:b/>
          <w:sz w:val="22"/>
          <w:u w:val="single"/>
        </w:rPr>
        <w:t xml:space="preserve"> </w:t>
      </w:r>
      <w:r>
        <w:rPr>
          <w:b/>
          <w:sz w:val="22"/>
          <w:u w:val="single"/>
        </w:rPr>
        <w:t>GRANT OF SERVITUDE OF RIGHT OF USE FOR PIPELINE 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pPr>
      <w:r>
        <w:rPr>
          <w:sz w:val="22"/>
        </w:rPr>
        <w:t>THE STATE OF LOUISIANA</w:t>
      </w:r>
      <w:r>
        <w:rPr>
          <w:b/>
          <w:sz w:val="22"/>
        </w:rPr>
        <w:tab/>
        <w:tab/>
      </w:r>
    </w:p>
    <w:p>
      <w:pPr>
        <w:pStyle w:val="BodyText"/>
        <w:tabs>
          <w:tab w:val="clear" w:pos="7200"/>
          <w:tab w:val="left" w:pos="720" w:leader="none"/>
          <w:tab w:val="left" w:pos="2880" w:leader="none"/>
          <w:tab w:val="left" w:pos="6806" w:leader="none"/>
        </w:tabs>
        <w:jc w:val="start"/>
        <w:rPr>
          <w:sz w:val="22"/>
        </w:rPr>
      </w:pPr>
      <w:r>
        <w:rPr>
          <w:sz w:val="22"/>
        </w:rPr>
        <w:t xml:space="preserve">PARISH OF ASSUMPTION                   </w:t>
        <w:tab/>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r>
      <w:r>
        <w:rPr>
          <w:b/>
          <w:sz w:val="22"/>
        </w:rPr>
        <w:t>BEFORE ME</w:t>
      </w:r>
      <w:r>
        <w:rPr>
          <w:sz w:val="22"/>
        </w:rPr>
        <w:t xml:space="preserve">, the undersigned Notary and in the presence of the undersigned competent witnesses, personally came and appeared, </w:t>
      </w:r>
    </w:p>
    <w:p>
      <w:pPr>
        <w:pStyle w:val="Normal"/>
        <w:widowControl/>
        <w:tabs>
          <w:tab w:val="left" w:pos="720" w:leader="none"/>
          <w:tab w:val="left" w:pos="2880" w:leader="none"/>
          <w:tab w:val="left" w:pos="7200" w:leader="none"/>
        </w:tabs>
        <w:spacing w:lineRule="atLeast" w:line="480"/>
        <w:ind w:firstLine="720" w:end="-806"/>
        <w:jc w:val="both"/>
        <w:rPr/>
      </w:pPr>
      <w:r>
        <w:rPr>
          <w:b/>
          <w:sz w:val="22"/>
        </w:rPr>
        <w:t xml:space="preserve"> </w:t>
      </w:r>
      <w:r>
        <w:rPr>
          <w:b/>
          <w:sz w:val="22"/>
        </w:rPr>
        <w:t>LRCI, Inc.</w:t>
      </w:r>
      <w:r>
        <w:rPr>
          <w:sz w:val="22"/>
        </w:rPr>
        <w:t xml:space="preserve">, ("Grantor"), whose address is P.O. Box 1188, Houston, Texas 77251-1188, through its undersigned duly authorized representative; and, </w:t>
      </w:r>
    </w:p>
    <w:p>
      <w:pPr>
        <w:pStyle w:val="Normal"/>
        <w:widowControl/>
        <w:tabs>
          <w:tab w:val="left" w:pos="720" w:leader="none"/>
          <w:tab w:val="left" w:pos="2880" w:leader="none"/>
          <w:tab w:val="left" w:pos="7200" w:leader="none"/>
        </w:tabs>
        <w:spacing w:lineRule="atLeast" w:line="480"/>
        <w:ind w:firstLine="720" w:end="-806"/>
        <w:jc w:val="both"/>
        <w:rPr/>
      </w:pPr>
      <w:r>
        <w:rPr>
          <w:b/>
          <w:sz w:val="22"/>
        </w:rPr>
        <w:t>SORRENTO PIPELINE COMPANY, LLC</w:t>
      </w:r>
      <w:r>
        <w:rPr>
          <w:sz w:val="22"/>
        </w:rPr>
        <w:t>, a Texas Limited Liability Company ("Grantee") whose address is P. O. Box 4324, Houston, TX 77210-4324 through its undersigned duly authorized representative.</w:t>
      </w:r>
    </w:p>
    <w:p>
      <w:pPr>
        <w:pStyle w:val="Normal"/>
        <w:widowControl/>
        <w:tabs>
          <w:tab w:val="left" w:pos="720" w:leader="none"/>
          <w:tab w:val="left" w:pos="2880" w:leader="none"/>
          <w:tab w:val="left" w:pos="7200" w:leader="none"/>
        </w:tabs>
        <w:spacing w:lineRule="atLeast" w:line="480"/>
        <w:ind w:firstLine="720" w:end="-806"/>
        <w:jc w:val="both"/>
        <w:rPr>
          <w:sz w:val="22"/>
        </w:rPr>
      </w:pPr>
      <w:r>
        <w:rPr>
          <w:sz w:val="22"/>
        </w:rPr>
        <w:tab/>
      </w:r>
    </w:p>
    <w:p>
      <w:pPr>
        <w:pStyle w:val="WW-BodyText2"/>
        <w:spacing w:lineRule="auto" w:line="480"/>
        <w:ind w:firstLine="720" w:end="-806"/>
        <w:rPr>
          <w:b/>
          <w:sz w:val="22"/>
        </w:rPr>
      </w:pPr>
      <w:r>
        <w:rPr>
          <w:sz w:val="22"/>
        </w:rPr>
        <w:t>Grantor declares that under the covenants, terms, conditions, provisions and stipulations hereinafter recited, it does by these presents hereby grant, transfer, convey and deliver unto Grantee, here present and accepting this Grant, and possession and delivery of a certain servitude of right of use under and across the following described property owned by Grantor</w:t>
      </w:r>
      <w:r>
        <w:rPr/>
        <w:t xml:space="preserve"> </w:t>
      </w:r>
      <w:r>
        <w:rPr>
          <w:sz w:val="22"/>
        </w:rPr>
        <w:t>situated in Assumption Parish, Louisiana, to-wit:</w:t>
      </w:r>
    </w:p>
    <w:p>
      <w:pPr>
        <w:pStyle w:val="Heading5"/>
        <w:ind w:hanging="0" w:start="720" w:end="720"/>
        <w:rPr>
          <w:b w:val="false"/>
        </w:rPr>
      </w:pPr>
      <w:r>
        <w:rPr>
          <w:b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rPr>
          <w:b/>
        </w:rPr>
      </w:pPr>
      <w:r>
        <w:rPr>
          <w:b/>
        </w:rPr>
      </w:r>
    </w:p>
    <w:p>
      <w:pPr>
        <w:pStyle w:val="WW-BodyText2"/>
        <w:spacing w:lineRule="auto" w:line="480"/>
        <w:rPr>
          <w:sz w:val="22"/>
        </w:rPr>
      </w:pPr>
      <w:r>
        <w:rPr>
          <w:sz w:val="22"/>
        </w:rPr>
        <w:t xml:space="preserve">Except for the purposes and during the periods set forth below, the servitude herein granted shall have a permanent width of  30 feet with the location of the centerline of said permanent servitude being shown and identified as “C/L Proposed R/W” on the drawing marked as Exhibit “A” attached hereto and made a part hereof.  (Hereinafter, the “Servitude Property”).  During and for construction and/or removal operations Grantee shall have the right to use an additional 30 feet in width for a total servitude width of  60 feet with the additional 30 feet of width beyond the limits of the permanent servitude herein granted being apportioned on each side of said permanent servitude herein granted in such manner as Grantee may desire.  The side line boundaries of said  30 foot wide permanent servitude and said  60 foot wide total working servitude shall be extended or shortened as the case may be to meet at angle points and to meet all of Grantor’s boundary lines.  </w:t>
      </w:r>
    </w:p>
    <w:p>
      <w:pPr>
        <w:pStyle w:val="WW-BodyText2"/>
        <w:spacing w:lineRule="auto" w:line="480"/>
        <w:rPr/>
      </w:pPr>
      <w:r>
        <w:rPr>
          <w:sz w:val="22"/>
        </w:rPr>
        <w:tab/>
        <w:t xml:space="preserve">This Grant of Servitude is made for and in consideration of the payment by Grantee to Grantor of the sum of </w:t>
      </w:r>
      <w:r>
        <w:rPr>
          <w:b/>
          <w:sz w:val="22"/>
        </w:rPr>
        <w:t>Ten and no/100 ($10.00) Dollars,</w:t>
      </w:r>
      <w:r>
        <w:rPr>
          <w:sz w:val="22"/>
        </w:rPr>
        <w:t xml:space="preserve"> and other good  and valuable consideration the sufficiency and payment thereof is acknowledged by Grantor, and Grantee’s assumption of and faithful compliance with all covenants, terms, conditions, provisions and stipulations of this Grant as hereinafter recited.</w:t>
        <w:tab/>
      </w:r>
    </w:p>
    <w:p>
      <w:pPr>
        <w:pStyle w:val="WW-BodyText2"/>
        <w:spacing w:lineRule="auto" w:line="480"/>
        <w:rPr>
          <w:sz w:val="22"/>
        </w:rPr>
      </w:pPr>
      <w:r>
        <w:rPr>
          <w:sz w:val="22"/>
        </w:rPr>
        <w:tab/>
        <w:t>The Servitude Property is accepted “as is” and, all improvements made by, or on behalf of Grantee shall be maintained in good repair at Grantee’s expense, and that Grantee shall cause all repairs necessary to so maintain the improvements to be made in a prompt and expeditious manner and in no event shall Grantee allow any disrepair or ruin to said improvements to continue for an unreasonable period of time.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The Grant of Servitude herein shall be used solely and specifically for the following purposes: to lay, construct, maintain, use, inspect, operate, repair, replace, and remove a twelve-inch (12”) diameter pipeline together with standard, reasonable appurtenances thereto, for the transportation of oil, gas, other liquid or gaseous hydrocarbons, including any products thereof. The pipeline to be constructed under this grant shall be buried to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r>
    </w:p>
    <w:p>
      <w:pPr>
        <w:pStyle w:val="BodyTextIndent2"/>
        <w:rPr/>
      </w:pPr>
      <w:r>
        <w:rPr/>
        <w:t>Grantor herein retains for itself, its successors and assigns, the right to fully use and enjoy said Premises the Servitude Property, except as the same may be necessary  or conflict with the purposes herein granted to Grantee including, but not limited to, Grantor's right to cross or to permit others to cross on, over and through the lands of Grantor Servitude Property.  In the event that it is necessary for Grantee  to lower, alter, replace, reinstall or protect any portion of its Pipeline within the Servitude Property due to the maintenance, operation, repair, construction or removal of Grantor's pipeline facilities,  associated with Grantor's pipeline , or roads within the Servitude Property , Grantee shall be responsible for the costs of lowering, altering, replacing, reinstalling or protecting the affected portion of Grantee's Pipeline.  Grantee shall, at its sole risk and expense, maintain all improvements and equipment placed by or for Grantee upon or under the Servitude Property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 xml:space="preserve"> Grantee shall have the right, from time-to-time, to cut and remove certain trees, undergrowth and other obstructions on the </w:t>
      </w:r>
      <w:r>
        <w:rPr/>
        <w:t xml:space="preserve">Servitude Property </w:t>
      </w:r>
      <w:r>
        <w:rPr>
          <w:sz w:val="22"/>
        </w:rPr>
        <w:t>that may injure said pipeline and appurtenances or interfere with the construction, operation, maintenance, repair, change, replacement or removal thereof.</w:t>
      </w:r>
    </w:p>
    <w:p>
      <w:pPr>
        <w:pStyle w:val="WW-BodyText2"/>
        <w:widowControl/>
        <w:rPr>
          <w:sz w:val="22"/>
        </w:rPr>
      </w:pPr>
      <w:r>
        <w:rPr>
          <w:sz w:val="22"/>
        </w:rPr>
        <w:tab/>
        <w:t>Grantee may not assign this grant or the Servitude in whole or in part without the prior written consent of Grantor, which consent shall not be unreasonably withheld, conditioned or delayed.  Any such assignment in contravention of this provision shall be deemed null and void.</w:t>
      </w:r>
    </w:p>
    <w:p>
      <w:pPr>
        <w:pStyle w:val="WW-BodyText2"/>
        <w:widowControl/>
        <w:rPr>
          <w:sz w:val="22"/>
        </w:rPr>
      </w:pPr>
      <w:r>
        <w:rPr>
          <w:sz w:val="22"/>
        </w:rPr>
        <w:tab/>
        <w:t>Grantee acknowledges and agrees that this Grant of Servitude is non-exclusive and that Grantor may make such use of the Servitude Property or grant such other servitudes or rights or interests in the Servitude Property as it may see fit, provided however that no such subsequent grant shall materially interfere with the use of the Servitude Property and improvements thereon by the Grantee consistent with the terms of this Grant.  Grantor may sell, convey, transfer, or lease all or any portion of the Servitude Property without the consent of the Grantee subject to rights of the Grantee hereinabove.</w:t>
      </w:r>
    </w:p>
    <w:p>
      <w:pPr>
        <w:pStyle w:val="WW-BodyText2"/>
        <w:widowControl/>
        <w:rPr>
          <w:sz w:val="22"/>
        </w:rPr>
      </w:pPr>
      <w:r>
        <w:rPr>
          <w:sz w:val="22"/>
        </w:rPr>
        <w:tab/>
        <w:t>Grantee acknowledges and agrees that this Grant of Servitude shall in no way imply an agreement or intent by Grantor to grant any future such rights for the same purpose over any other property owned by Grantor or to extend any such rights beyond the strict limits of the Servitude Property as defined herein.  Any such additional rights shall only be granted pursuant to a separate agreement or by written amendment to this Grant negotiated, agreed to, and signed by both parties.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to the Servitude Property for normal operation and maintenance shall be determined by Grantor's on-site supervisor and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surface facilities.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The servitude herein granted shall cease and terminate and be of no further force and effect upon     the happening of any of the following (the, “Termination Date”): </w:t>
      </w:r>
    </w:p>
    <w:p>
      <w:pPr>
        <w:pStyle w:val="BodyTextIndent3"/>
        <w:numPr>
          <w:ilvl w:val="0"/>
          <w:numId w:val="2"/>
        </w:numPr>
        <w:rPr/>
      </w:pPr>
      <w:r>
        <w:rPr/>
        <w:t xml:space="preserve">If Grantee, its successors or assigns, ceases, for any uninterrupted period of  365 consecutive days, to use the Pipeline within the Servitude Property for the transportation of  oil, gas or other liquid or gaseous hydrocarbons, including any products thereof.  In such case termination shall be effective immediately upon the expiration of said 365-day period.  </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Grantee fails to comply in any way with the terms, conditions, covenants, or obligations of Grantee herein, which termination shall become effective thirty (30) days after notification by Grantor to Grantee of its failure to so comply.  However, should Grantee cure said noncompliant condition to Grantor’s satisfaction within said thirty (30) day period, termination shall not take effect.</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the Servitude Property and/or improvements constructed by or on behalf of the Grantee on or under the Servitude Property should be damaged or destroyed by flood, fire, wind, earthquake, or other casualty, or in the event that the condition of the Servitude Property or the improvements thereon are altered for any reason such that Grantee may no longer reasonably use the Servitude Property in the manner consistent with this Grant.  In such event, Grantee has the option, at its costs, to repair or replace the damaged or destroyed property in lieu of suffering termination of this Grant.  In such case termination shall be effective thirty (30) days after the happening of the casualty unless Grantee has within that time undertaken to repair or replace the damaged or destroyed property and continues to perform such repairs or replacement until the pipeline is repaired and put back into use.</w:t>
      </w:r>
    </w:p>
    <w:p>
      <w:pPr>
        <w:pStyle w:val="Normal"/>
        <w:spacing w:lineRule="auto" w:line="480"/>
        <w:jc w:val="both"/>
        <w:rPr>
          <w:sz w:val="22"/>
        </w:rPr>
      </w:pPr>
      <w:r>
        <w:rPr>
          <w:sz w:val="22"/>
        </w:rPr>
      </w:r>
    </w:p>
    <w:p>
      <w:pPr>
        <w:pStyle w:val="Normal"/>
        <w:spacing w:lineRule="auto" w:line="480"/>
        <w:ind w:firstLine="720" w:end="0"/>
        <w:jc w:val="both"/>
        <w:rPr/>
      </w:pPr>
      <w:r>
        <w:rPr>
          <w:sz w:val="22"/>
        </w:rPr>
        <w:t>Upon termination of the rights herein granted for any reason, Grantor may require Grantee by written notice to Grantee within 30 days from the Termination Date to remove Grantee’s pipeline, surface equipment and appurtenances from Grantor’s property, otherwise Grantee shall not be required to remove said pipeline, surface equipment and appurtenances.  Said removal shall be completed 180 days after notice to remove from Grantor unless said date is extended by mutual agreement of Grantor and Grantee.  Upon removal of the pipeline, Grantee shall restore the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Servitude Property or any other property of the Grantor resulting from Grantee’s use or occupancy of the Servitude Property,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with the foregoing requirements within such 180-day period, Grantee shall pay to Grantor a daily fee of $100 for each day that the Pipeline is not completely removed from the Servitude Property or the Servitude Property restored (the, “Trespass Fee”).  Grantor shall not be required to invoice Grantee for such Trespass Fee but such Trespass Fee shall become immediately due and payable as of the first day after the expiration of such 180-day removal and restoration and interest shall accrue thereon at the rate of prime + 2% for each month, or a portion of a month, in which payment is not received.  Grantor must receive payment by the 10</w:t>
      </w:r>
      <w:r>
        <w:rPr>
          <w:sz w:val="22"/>
          <w:vertAlign w:val="superscript"/>
        </w:rPr>
        <w:t>th</w:t>
      </w:r>
      <w:r>
        <w:rPr>
          <w:sz w:val="22"/>
        </w:rPr>
        <w:t xml:space="preserve"> day of the month succeeding any month in which removal and restoration has not been completed.    In addition to the Trespass Fee, in the event Grantee does not comply with this obligation to remove the Pipeline and restore the Servitude Property, Grantee shall be liable to Grantor for any and all other damages occasioned thereby.</w:t>
      </w:r>
    </w:p>
    <w:p>
      <w:pPr>
        <w:pStyle w:val="Normal"/>
        <w:spacing w:lineRule="auto" w:line="480"/>
        <w:ind w:firstLine="720" w:end="0"/>
        <w:jc w:val="both"/>
        <w:rPr>
          <w:sz w:val="22"/>
        </w:rPr>
      </w:pPr>
      <w:r>
        <w:rPr>
          <w:sz w:val="22"/>
        </w:rPr>
        <w:t xml:space="preserve">Grantor may allow Grantee to purge the pipeline of product, fill the pipeline with an inert substance and abandon the pipeline in place. </w:t>
      </w:r>
    </w:p>
    <w:p>
      <w:pPr>
        <w:pStyle w:val="Normal"/>
        <w:spacing w:lineRule="auto" w:line="480"/>
        <w:ind w:firstLine="720" w:end="0"/>
        <w:jc w:val="both"/>
        <w:rPr>
          <w:sz w:val="22"/>
        </w:rPr>
      </w:pPr>
      <w:r>
        <w:rPr>
          <w:sz w:val="22"/>
        </w:rPr>
        <w:t>Notwithstanding anything to the contrary contained herein, at any time after the termination of  the  servitude granted herein, Grantee shall, upon written request from Grantor, remove any portion or portions of the abandoned pipeline which interferes with any proposed development of Grantor's property.  Such removal shall be at Grantee’s sole cost and expense.   Upon removal of such portions of the pipeline, Grantee shall restore the effected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effected portions of the Servitude Property or any other property of the Grantor resulting from Grantee’s use or occupancy of the effected portions of the Servitude Property, and shall otherwise complete any environmental clean-up operations that may be necessary to restore the effected portions of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w:t>
      </w:r>
    </w:p>
    <w:p>
      <w:pPr>
        <w:pStyle w:val="Normal"/>
        <w:spacing w:lineRule="auto" w:line="480"/>
        <w:ind w:firstLine="720" w:end="0"/>
        <w:jc w:val="both"/>
        <w:rPr>
          <w:sz w:val="22"/>
        </w:rPr>
      </w:pPr>
      <w:r>
        <w:rPr>
          <w:sz w:val="22"/>
        </w:rPr>
      </w:r>
    </w:p>
    <w:p>
      <w:pPr>
        <w:pStyle w:val="Normal"/>
        <w:spacing w:lineRule="auto" w:line="480"/>
        <w:ind w:firstLine="720" w:end="0"/>
        <w:jc w:val="both"/>
        <w:rPr>
          <w:sz w:val="22"/>
        </w:rPr>
      </w:pPr>
      <w:r>
        <w:rPr>
          <w:sz w:val="22"/>
        </w:rPr>
        <w:t>Grantor may also, at its option, upon the termination of the servitude granted herein, acquire the pipeline and all surface equipment located on the Servitude Property, "as-is", "where-is" and with-out warranty whatsoever, express or implied, as to its value, quality, condition, merchantability of fitness for purpose free of costs within 30 days of termination of the servitude granted to Grantee herein.</w:t>
      </w:r>
    </w:p>
    <w:p>
      <w:pPr>
        <w:pStyle w:val="Normal"/>
        <w:widowControl/>
        <w:tabs>
          <w:tab w:val="left" w:pos="720" w:leader="none"/>
          <w:tab w:val="left" w:pos="2880" w:leader="none"/>
          <w:tab w:val="left" w:pos="7200" w:leader="none"/>
        </w:tabs>
        <w:spacing w:lineRule="atLeast" w:line="480" w:before="0" w:after="120"/>
        <w:jc w:val="both"/>
        <w:rPr>
          <w:sz w:val="22"/>
        </w:rPr>
      </w:pPr>
      <w:r>
        <w:rPr>
          <w:sz w:val="22"/>
        </w:rPr>
      </w:r>
    </w:p>
    <w:p>
      <w:pPr>
        <w:pStyle w:val="p5"/>
        <w:tabs>
          <w:tab w:val="clear" w:pos="720"/>
          <w:tab w:val="left" w:pos="0" w:leader="none"/>
        </w:tabs>
        <w:spacing w:lineRule="auto" w:line="360"/>
        <w:ind w:firstLine="86" w:start="0" w:end="-720"/>
        <w:jc w:val="both"/>
        <w:rPr/>
      </w:pPr>
      <w:r>
        <w:rPr/>
        <w:tab/>
      </w:r>
      <w:r>
        <w:rPr>
          <w:sz w:val="22"/>
        </w:rPr>
        <w:t>Any time after the termination of this right of way, Grantee shall, upon written request of Grantor, with reasonable promptness, at their own cost and expense, remove those segments of the pipeline which interfere with any proposed development of Grantor’s property from the hereinabove described property, and otherwise reasonably restore the premises to the same condition in which they were prior to the removal of the pipeline.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agrees that there shall be no hunting or fishing on the Servitude Property by any of the officers, agents, employees, contractors or guests of Grantee, and no firearms shall be taken or carried onto the Servitude Property by any of same.   No activities of whatsoever kind or nature shall be conducted on the Servitude Property that are not related to the specific purposes for which this Grant is made. Any person who violates this provision shall be deemed to be trespassing on the Servitude Property and shall be subject to immediate removal from the Servitude Property .  Any such violator shall not be allowed by Grantee to re-enter the Servitude Property during the term of this Grant.  It is further agreed and understood that Grantor shall have the right to inspect (i) any of Grantee's vehicles while on Grantor’s property to ensure compliance with this prohibition against firearms on the Servitude Property and, (2ii) the Servitude Property to enforce compliance with the prohibition on hunting or fishing on the Servitude Property. All agents, employees, contractor or guests of Grantee, shall carry personal identification while on the Servitude Property.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shall comply with all applicable laws, ordinances and regulations of the United States of America, the State of Louisiana, and the Parish of Assumption, presently in force or as may hereafter be enacted which govern, regulate or in any way affect the Grantee’s use of the Servitude Property; and Grantee may not use or permit the use of the Servitude Property or any portion thereof for any illegal or unlawful purpose, or commit, or permit or tolerate the commission on the Servitude Property of any act of omission which is punishable by fine or imprisonment under the laws of the United States of America, the State of Louisiana, the Parish of Assumption.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 Grantee’s use of the Servitude or the Servitude Property shall not unreasonably interfere with Grantor’s use or occupancy of the Servitude Property or any existing or future servitudes, easements, rights of use, grants, etc. over, under, or above the Servitude Property, including any mineral leases, timber leases, hunting or fishing leases, utility servitudes, drainage servitudes, and the like. 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spacing w:lineRule="atLeast" w:line="480"/>
        <w:ind w:end="-720"/>
        <w:rPr>
          <w:sz w:val="22"/>
        </w:rPr>
      </w:pPr>
      <w:r>
        <w:rPr>
          <w:sz w:val="22"/>
        </w:rPr>
        <w:t xml:space="preserve"> </w:t>
      </w:r>
      <w:r>
        <w:rPr>
          <w:sz w:val="22"/>
        </w:rPr>
        <w:t>Grantee will not cause any ruin of or damage to the Servitude Property 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Servitude Property. Grantee shall obtain, at Grantee's sole cost and expense, any and all necessary certificates, licenses or permits to conduct is operations on the Servitude Property which are required by any local, state or federal agency having jurisdiction over Grantee's operations.</w:t>
      </w:r>
    </w:p>
    <w:p>
      <w:pPr>
        <w:pStyle w:val="BodyTextIndent"/>
        <w:spacing w:lineRule="atLeast" w:line="480"/>
        <w:ind w:end="-720"/>
        <w:rPr>
          <w:sz w:val="22"/>
        </w:rPr>
      </w:pPr>
      <w:r>
        <w:rPr>
          <w:sz w:val="22"/>
        </w:rPr>
      </w:r>
    </w:p>
    <w:p>
      <w:pPr>
        <w:pStyle w:val="Normal"/>
        <w:spacing w:lineRule="auto" w:line="480"/>
        <w:ind w:end="-720"/>
        <w:jc w:val="both"/>
        <w:rPr>
          <w:sz w:val="22"/>
        </w:rPr>
      </w:pPr>
      <w:r>
        <w:rPr>
          <w:sz w:val="22"/>
        </w:rPr>
        <w:tab/>
        <w:t>At all times during the term of this Grant, Grantee shall carry, at its own expense and with deductibles for its own account, with insurance companies reasonably acceptable to Grantor insurance coverage as set forth in Exhibit "B" attached hereto and made a part hereof.  The 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The insolvency, bankruptcy or failure of any insurance company carrying insurance of Grantee, or the failure of any insurance company to pay claims accruing, shall not be held to affect, negate or waive any of the provisions hereof. Grantee shall endeavor to mail 30 day written notice of cancellation or adverse material change.</w:t>
      </w:r>
    </w:p>
    <w:p>
      <w:pPr>
        <w:pStyle w:val="Normal"/>
        <w:tabs>
          <w:tab w:val="clear" w:pos="720"/>
          <w:tab w:val="left" w:pos="0" w:leader="none"/>
        </w:tabs>
        <w:spacing w:lineRule="auto" w:line="360"/>
        <w:ind w:end="-720"/>
        <w:jc w:val="both"/>
        <w:rPr/>
      </w:pPr>
      <w:r>
        <w:rPr>
          <w:sz w:val="22"/>
        </w:rPr>
        <w:tab/>
      </w:r>
      <w:r>
        <w:rPr>
          <w:rStyle w:val="CommentReference"/>
          <w:vanish w:val="false"/>
        </w:rPr>
        <w:commentReference w:id="0"/>
      </w:r>
      <w:r>
        <w:rPr>
          <w:sz w:val="22"/>
        </w:rPr>
        <w:tab/>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servitude, the servitude property, or the pipeline (or from any act or omission of Grantee and/or Grantee's agents, employees, or contractors while on the premises), or Grantee's operation, maintenance, inspection, repair, replacement or removal of the pipeline .</w:t>
      </w:r>
    </w:p>
    <w:p>
      <w:pPr>
        <w:pStyle w:val="BodyText"/>
        <w:widowControl/>
        <w:rPr>
          <w:sz w:val="22"/>
        </w:rPr>
      </w:pPr>
      <w:r>
        <w:rPr>
          <w:sz w:val="22"/>
        </w:rPr>
        <w:tab/>
        <w:t>Grantor shall indemnify, defend, and hold harmless Grantee,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servitude property, or from any act or omission of Grantor and/or Grantor's agents, employees, or contractors while on the servitude property.</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Grant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compensatory damages allowed pursuant to this Grant may be awarded and the arbitrator shall have no authority to award treble, exemplary or punitive damages of any type under any circumstances regardless of whether such damages may be available under Louisiana law.</w:t>
      </w:r>
    </w:p>
    <w:p>
      <w:pPr>
        <w:pStyle w:val="Heading2"/>
        <w:widowControl/>
        <w:rPr/>
      </w:pPr>
      <w:r>
        <w:rPr>
          <w:sz w:val="22"/>
        </w:rPr>
        <w:tab/>
      </w:r>
      <w:r>
        <w:rPr>
          <w:b/>
          <w:sz w:val="22"/>
        </w:rPr>
        <w:t>Thus done and signed</w:t>
      </w:r>
      <w:r>
        <w:rPr>
          <w:sz w:val="22"/>
        </w:rPr>
        <w:t xml:space="preserve"> by Grantor and Grantee this ____ day of _______________, 20___. </w:t>
        <w:tab/>
      </w:r>
    </w:p>
    <w:p>
      <w:pPr>
        <w:pStyle w:val="Heading2"/>
        <w:widowControl/>
        <w:rPr>
          <w:sz w:val="22"/>
        </w:rPr>
      </w:pPr>
      <w:r>
        <w:rPr>
          <w:sz w:val="22"/>
        </w:rPr>
      </w:r>
    </w:p>
    <w:p>
      <w:pPr>
        <w:pStyle w:val="Heading4"/>
        <w:ind w:hanging="0" w:start="0"/>
        <w:rPr/>
      </w:pPr>
      <w:r>
        <w:rPr/>
        <w:t>WITNESSES</w:t>
        <w:tab/>
        <w:tab/>
        <w:tab/>
        <w:tab/>
        <w:t xml:space="preserve">        GRANTOR</w:t>
      </w:r>
    </w:p>
    <w:p>
      <w:pPr>
        <w:pStyle w:val="Normal"/>
        <w:rPr/>
      </w:pPr>
      <w:r>
        <w:rPr/>
        <w:tab/>
        <w:tab/>
        <w:tab/>
        <w:tab/>
        <w:tab/>
        <w:t xml:space="preserve">         </w:t>
      </w:r>
      <w:r>
        <w:rPr>
          <w:b/>
          <w:sz w:val="22"/>
        </w:rPr>
        <w:t>LRCI, INC.</w:t>
      </w:r>
    </w:p>
    <w:p>
      <w:pPr>
        <w:pStyle w:val="Heading2"/>
        <w:widowControl/>
        <w:rPr/>
      </w:pPr>
      <w:r>
        <w:rPr>
          <w:sz w:val="22"/>
        </w:rPr>
        <w:tab/>
        <w:tab/>
        <w:tab/>
      </w:r>
      <w:r>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______________________________</w:t>
        <w:tab/>
        <w:t>By:_______________________________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Title:_______________________________</w:t>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______________________________</w:t>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Header"/>
        <w:tabs>
          <w:tab w:val="clear" w:pos="4320"/>
          <w:tab w:val="clear" w:pos="8640"/>
        </w:tabs>
        <w:ind w:start="3600" w:end="0"/>
        <w:rPr>
          <w:sz w:val="22"/>
        </w:rPr>
      </w:pPr>
      <w:r>
        <w:rPr>
          <w:b/>
          <w:sz w:val="22"/>
        </w:rPr>
        <w:t xml:space="preserve">          </w:t>
      </w:r>
      <w:r>
        <w:rPr>
          <w:b/>
          <w:sz w:val="22"/>
        </w:rPr>
        <w:t>SORRENTO PIPELINE COMPANY</w:t>
      </w:r>
    </w:p>
    <w:p>
      <w:pPr>
        <w:pStyle w:val="Header"/>
        <w:tabs>
          <w:tab w:val="clear" w:pos="4320"/>
          <w:tab w:val="clear" w:pos="8640"/>
        </w:tabs>
        <w:ind w:hanging="4320" w:start="4320" w:end="0"/>
        <w:rPr>
          <w:sz w:val="22"/>
        </w:rPr>
      </w:pPr>
      <w:r>
        <w:rPr>
          <w:sz w:val="22"/>
        </w:rPr>
        <w:t>_______________________________            By: ENTERPRISE PRODUCTS OPERATING LP</w:t>
      </w:r>
    </w:p>
    <w:p>
      <w:pPr>
        <w:pStyle w:val="Header"/>
        <w:tabs>
          <w:tab w:val="clear" w:pos="4320"/>
          <w:tab w:val="clear" w:pos="8640"/>
        </w:tabs>
        <w:rPr>
          <w:sz w:val="22"/>
        </w:rPr>
      </w:pPr>
      <w:r>
        <w:rPr>
          <w:sz w:val="22"/>
        </w:rPr>
        <w:t xml:space="preserve">  </w:t>
      </w:r>
      <w:r>
        <w:rPr>
          <w:sz w:val="22"/>
        </w:rPr>
        <w:tab/>
        <w:tab/>
        <w:tab/>
        <w:tab/>
        <w:t xml:space="preserve">                      Its:  Sole Member</w:t>
      </w:r>
    </w:p>
    <w:p>
      <w:pPr>
        <w:pStyle w:val="Header"/>
        <w:tabs>
          <w:tab w:val="clear" w:pos="4320"/>
          <w:tab w:val="clear" w:pos="8640"/>
        </w:tabs>
        <w:rPr>
          <w:sz w:val="22"/>
        </w:rPr>
      </w:pPr>
      <w:r>
        <w:rPr>
          <w:sz w:val="22"/>
        </w:rPr>
        <w:tab/>
        <w:t xml:space="preserve">   </w:t>
        <w:tab/>
        <w:tab/>
        <w:tab/>
        <w:t xml:space="preserve">                      By: ENTEPRISE PRODUCTS GP, LLC</w:t>
      </w:r>
    </w:p>
    <w:p>
      <w:pPr>
        <w:pStyle w:val="Header"/>
        <w:tabs>
          <w:tab w:val="clear" w:pos="4320"/>
          <w:tab w:val="clear" w:pos="8640"/>
        </w:tabs>
        <w:rPr>
          <w:sz w:val="22"/>
        </w:rPr>
      </w:pPr>
      <w:r>
        <w:rPr>
          <w:sz w:val="22"/>
        </w:rPr>
        <w:t>_______________________________</w:t>
        <w:tab/>
        <w:t xml:space="preserve">         Its:  General Partner</w:t>
      </w:r>
    </w:p>
    <w:p>
      <w:pPr>
        <w:pStyle w:val="Header"/>
        <w:tabs>
          <w:tab w:val="clear" w:pos="4320"/>
          <w:tab w:val="clear" w:pos="8640"/>
        </w:tabs>
        <w:rPr>
          <w:sz w:val="22"/>
        </w:rPr>
      </w:pPr>
      <w:r>
        <w:rPr>
          <w:sz w:val="22"/>
        </w:rPr>
        <w:tab/>
        <w:t xml:space="preserve">                                                              </w:t>
      </w:r>
    </w:p>
    <w:p>
      <w:pPr>
        <w:pStyle w:val="Header"/>
        <w:tabs>
          <w:tab w:val="clear" w:pos="4320"/>
          <w:tab w:val="clear" w:pos="8640"/>
        </w:tabs>
        <w:ind w:start="3600" w:end="0"/>
        <w:rPr>
          <w:sz w:val="22"/>
        </w:rPr>
      </w:pPr>
      <w:r>
        <w:rPr>
          <w:sz w:val="22"/>
        </w:rPr>
        <w:t xml:space="preserve">         </w:t>
      </w:r>
      <w:r>
        <w:rPr>
          <w:sz w:val="22"/>
        </w:rPr>
        <w:t>By: 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tab/>
        <w:t xml:space="preserve">                                                          Paul D. Lair, Attorney in Fact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__________________, 2001 by ________________________, __________________ of  LRCI, Inc.,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r>
        <w:br w:type="page"/>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jc w:val="center"/>
        <w:rPr>
          <w:rFonts w:ascii="Arial" w:hAnsi="Arial" w:cs="Arial"/>
          <w:sz w:val="22"/>
        </w:rPr>
      </w:pPr>
      <w:r>
        <w:rPr>
          <w:rFonts w:cs="Arial" w:ascii="Arial" w:hAnsi="Arial"/>
          <w:sz w:val="22"/>
        </w:rPr>
        <w:t>PROPERTY DESCRIPTION</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Louisiana,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Heading1"/>
        <w:rPr/>
      </w:pPr>
      <w:r>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of this agreement, Grantee shall require any subcontractor at any tier, vendor, supplier, material dealer and others connected with activities performed in the use, remediation and/restoration or restoration of the Premises, irrespective of their contractual relationship to Grantee, to provide and maintain insurance consistent with Grantee's requirements for subcontractors at all times during the period that they conduct activity on the Premises at the subcontractor's, vendor's, supplier's, material dealer's, or others' own cost.</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 above are in effect.  </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All policies of Grantee insurance shall apply as primary insurance for all claims arising out of Grantees activities and shall be without right of contribution (including but not limited to, by way of offset or counterclaim) from any policies of Grantor.</w:t>
      </w:r>
    </w:p>
    <w:p>
      <w:pPr>
        <w:pStyle w:val="Footer"/>
        <w:tabs>
          <w:tab w:val="clear" w:pos="4320"/>
          <w:tab w:val="clear" w:pos="8640"/>
        </w:tabs>
        <w:spacing w:lineRule="exact" w:line="220"/>
        <w:rPr/>
      </w:pPr>
      <w:r>
        <w:rPr/>
      </w:r>
    </w:p>
    <w:p>
      <w:pPr>
        <w:pStyle w:val="Normal"/>
        <w:jc w:val="center"/>
        <w:rPr>
          <w:sz w:val="22"/>
        </w:rPr>
      </w:pPr>
      <w:r>
        <w:rPr>
          <w:sz w:val="22"/>
        </w:rPr>
      </w:r>
    </w:p>
    <w:p>
      <w:pPr>
        <w:pStyle w:val="Normal"/>
        <w:jc w:val="center"/>
        <w:rPr>
          <w:sz w:val="22"/>
        </w:rPr>
      </w:pPr>
      <w:r>
        <w:rPr>
          <w:sz w:val="22"/>
        </w:rPr>
        <w:t>Exhibit "B" of LRCI Grant of Servitude of Right of Use for Pipeline Agreement</w:t>
      </w:r>
    </w:p>
    <w:p>
      <w:pPr>
        <w:pStyle w:val="Normal"/>
        <w:spacing w:lineRule="auto" w:line="360"/>
        <w:jc w:val="center"/>
        <w:rPr/>
      </w:pPr>
      <w:r>
        <w:rPr/>
        <w:t xml:space="preserve"> </w:t>
      </w:r>
    </w:p>
    <w:p>
      <w:pPr>
        <w:pStyle w:val="BodyText3"/>
        <w:widowControl/>
        <w:rPr/>
      </w:pPr>
      <w:r>
        <w:rPr/>
      </w:r>
    </w:p>
    <w:sectPr>
      <w:footerReference w:type="default" r:id="rId2"/>
      <w:footerReference w:type="first" r:id="rId3"/>
      <w:type w:val="nextPage"/>
      <w:pgSz w:w="12240" w:h="20160"/>
      <w:pgMar w:left="1440" w:right="1872"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CASANOVA" w:date="0-00-00T00:00:00Z" w:initials="LC">
    <w:p>
      <w:pPr>
        <w:overflowPunct w:val="false"/>
        <w:bidi w:val="0"/>
        <w:rPr/>
      </w:pPr>
      <w:r>
        <w:annotationRef/>
      </w:r>
      <w:r>
        <w:rPr>
          <w:rFonts w:ascii="Times New Roman" w:hAnsi="Times New Roman" w:eastAsia="Times New Roman" w:cs="Times New Roman"/>
          <w:color w:val="auto"/>
          <w:sz w:val="20"/>
          <w:szCs w:val="20"/>
          <w:lang w:eastAsia="en-US" w:val="en-US" w:bidi="ar-SA"/>
        </w:rPr>
        <w:t>This wording contradicts the mutual indemnity.</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/mnt/main-storage/datasets/enron-docs/doc/LRCI_IncAgreement_9_18_011.doc</w:t>
    </w:r>
    <w:r>
      <w:rPr>
        <w:sz w:val="16"/>
      </w:rPr>
      <w:fldChar w:fldCharType="end"/>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8.1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widowControl/>
      <w:jc w:val="both"/>
      <w:rPr>
        <w:sz w:val="16"/>
      </w:rPr>
    </w:pPr>
    <w:r>
      <w:rPr>
        <w:sz w:val="16"/>
      </w:rPr>
      <w:t>7/18/01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ab/>
    </w:r>
  </w:p>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/mnt/main-storage/datasets/enron-docs/doc/LRCI_IncAgreement_9_18_011.doc</w:t>
    </w:r>
    <w:r>
      <w:rPr>
        <w:sz w:val="16"/>
      </w:rPr>
      <w:fldChar w:fldCharType="end"/>
    </w:r>
    <w:r>
      <w:rPr>
        <w:sz w:val="16"/>
      </w:rPr>
      <w:t>7/18/01</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55"/>
        </w:tabs>
        <w:ind w:start="1155" w:hanging="435"/>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widowControl/>
      <w:numPr>
        <w:ilvl w:val="4"/>
        <w:numId w:val="1"/>
      </w:numPr>
      <w:overflowPunct w:val="false"/>
      <w:autoSpaceDE w:val="false"/>
      <w:jc w:val="both"/>
      <w:textAlignment w:val="baseline"/>
      <w:outlineLvl w:val="4"/>
    </w:pPr>
    <w:rPr>
      <w:b/>
      <w:bCs/>
    </w:rPr>
  </w:style>
  <w:style w:type="character" w:styleId="WW8Num1z0">
    <w:name w:val="WW8Num1z0"/>
    <w:qFormat/>
    <w:rPr>
      <w:b/>
      <w:i w:val="false"/>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widowControl/>
      <w:tabs>
        <w:tab w:val="left" w:pos="720" w:leader="none"/>
        <w:tab w:val="left" w:pos="2880" w:leader="none"/>
        <w:tab w:val="left" w:pos="7200" w:leader="none"/>
      </w:tabs>
      <w:spacing w:lineRule="atLeast" w:line="480" w:before="0" w:after="120"/>
      <w:ind w:firstLine="720" w:start="0" w:end="-806"/>
      <w:jc w:val="both"/>
    </w:pPr>
    <w:rPr>
      <w:sz w:val="22"/>
    </w:rPr>
  </w:style>
  <w:style w:type="paragraph" w:styleId="BodyTextIndent3">
    <w:name w:val="Body Text Indent 3"/>
    <w:basedOn w:val="Normal"/>
    <w:qFormat/>
    <w:pPr>
      <w:widowControl/>
      <w:tabs>
        <w:tab w:val="left" w:pos="720" w:leader="none"/>
        <w:tab w:val="left" w:pos="2880" w:leader="none"/>
        <w:tab w:val="left" w:pos="7200" w:leader="none"/>
      </w:tabs>
      <w:spacing w:lineRule="atLeast" w:line="480" w:before="0" w:after="120"/>
      <w:ind w:hanging="0" w:start="720" w:end="0"/>
      <w:jc w:val="both"/>
    </w:pPr>
    <w:rPr>
      <w:sz w:val="22"/>
    </w:rPr>
  </w:style>
  <w:style w:type="paragraph" w:styleId="ListBullet2">
    <w:name w:val="List Bullet 2"/>
    <w:basedOn w:val="Normal"/>
    <w:pPr>
      <w:ind w:hanging="360" w:start="720" w:end="0"/>
    </w:pPr>
    <w:rPr/>
  </w:style>
  <w:style w:type="paragraph" w:styleId="p5">
    <w:name w:val="p5"/>
    <w:basedOn w:val="Normal"/>
    <w:qFormat/>
    <w:pPr>
      <w:autoSpaceDE w:val="false"/>
      <w:spacing w:lineRule="atLeast" w:line="283"/>
      <w:ind w:hanging="0" w:start="686" w:end="0"/>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2001-09-20T13:12:00Z</dcterms:created>
  <dc:creator>appinst</dc:creator>
  <dc:description/>
  <dc:language>en-CA</dc:language>
  <cp:lastModifiedBy>KWebster</cp:lastModifiedBy>
  <cp:lastPrinted>2001-09-20T09:40:00Z</cp:lastPrinted>
  <dcterms:modified xsi:type="dcterms:W3CDTF">2001-09-20T13:12:00Z</dcterms:modified>
  <cp:revision>2</cp:revision>
  <dc:subject/>
  <dc:title>RIGHT OF WAY AGREEMENT</dc:title>
</cp:coreProperties>
</file>