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spacing w:before="0" w:after="720"/>
        <w:jc w:val="center"/>
        <w:rPr/>
      </w:pPr>
      <w:r>
        <w:rPr/>
        <w:t>May 14, 2001</w:t>
      </w:r>
    </w:p>
    <w:p>
      <w:pPr>
        <w:pStyle w:val="BodyText"/>
        <w:spacing w:before="0" w:after="0"/>
        <w:rPr/>
      </w:pPr>
      <w:r>
        <w:rPr/>
        <w:t>City of Palo Alto</w:t>
      </w:r>
    </w:p>
    <w:p>
      <w:pPr>
        <w:pStyle w:val="BodyText"/>
        <w:spacing w:before="0" w:after="0"/>
        <w:rPr/>
      </w:pPr>
      <w:r>
        <w:rPr/>
        <w:t>Purchasing and Contract Administration</w:t>
      </w:r>
    </w:p>
    <w:p>
      <w:pPr>
        <w:pStyle w:val="BodyText"/>
        <w:spacing w:before="0" w:after="0"/>
        <w:rPr/>
      </w:pPr>
      <w:r>
        <w:rPr/>
        <w:t>Mezzanine, Civic Center</w:t>
      </w:r>
    </w:p>
    <w:p>
      <w:pPr>
        <w:pStyle w:val="BodyText"/>
        <w:spacing w:before="0" w:after="0"/>
        <w:rPr/>
      </w:pPr>
      <w:r>
        <w:rPr/>
        <w:t>250 Hamilton Avenue</w:t>
      </w:r>
    </w:p>
    <w:p>
      <w:pPr>
        <w:pStyle w:val="BodyText"/>
        <w:spacing w:before="0" w:after="0"/>
        <w:rPr/>
      </w:pPr>
      <w:r>
        <w:rPr/>
        <w:t>Palo Alto, CA 94301</w:t>
      </w:r>
    </w:p>
    <w:p>
      <w:pPr>
        <w:pStyle w:val="BodyText"/>
        <w:spacing w:before="0" w:after="0"/>
        <w:rPr/>
      </w:pPr>
      <w:r>
        <w:rPr/>
      </w:r>
    </w:p>
    <w:p>
      <w:pPr>
        <w:pStyle w:val="BodyText"/>
        <w:ind w:start="1440" w:end="0"/>
        <w:rPr/>
      </w:pPr>
      <w:r>
        <w:rPr>
          <w:i/>
        </w:rPr>
        <w:t>Re:</w:t>
      </w:r>
      <w:r>
        <w:rPr/>
        <w:tab/>
      </w:r>
      <w:r>
        <w:rPr>
          <w:i/>
        </w:rPr>
        <w:t>Letter of Understanding - Proposed Natural Gas Supply and Management Services Arrangement</w:t>
      </w:r>
    </w:p>
    <w:p>
      <w:pPr>
        <w:pStyle w:val="BodyText"/>
        <w:rPr/>
      </w:pPr>
      <w:r>
        <w:rPr/>
        <w:t>Gentlemen:</w:t>
      </w:r>
    </w:p>
    <w:p>
      <w:pPr>
        <w:pStyle w:val="BodyTextFirstIndent"/>
        <w:rPr/>
      </w:pPr>
      <w:r>
        <w:rPr/>
        <w:t xml:space="preserve">Pending the preparation and execution of definitive gas purchase/sale and management services agreements, this letter will confirm our understanding regarding the proposed provision of natural gas supply and management services by Enron North America Corp. (the “Seller”) to the City of Palo Alto (the “Buyer”) for all of Buyer’s natural gas baseload and swing requirements and management of Buyer’s existing pipeline capacity on Pacific Gas &amp; Electric Company’s (“PG&amp;E”) system as described in the Term Sheet attached to this letter as </w:t>
      </w:r>
      <w:r>
        <w:rPr>
          <w:i/>
        </w:rPr>
        <w:t xml:space="preserve">Attachment 1 </w:t>
      </w:r>
      <w:r>
        <w:rPr/>
        <w:t>for the prices and on the other terms and conditions set forth in this letter and the Term Sheet (the “Transaction”).</w:t>
      </w:r>
    </w:p>
    <w:p>
      <w:pPr>
        <w:pStyle w:val="Heading1"/>
        <w:ind w:hanging="0" w:start="0"/>
        <w:rPr/>
      </w:pPr>
      <w:r>
        <w:rPr/>
        <w:tab/>
      </w:r>
      <w:r>
        <w:rPr>
          <w:i/>
        </w:rPr>
        <w:t>Term Sheet</w:t>
      </w:r>
      <w:r>
        <w:rPr/>
        <w:t>.  The terms and conditions of the Transaction are set forth in this letter and the Term Sheet.  To the extent there is any conflict between the Term Sheet and this letter, this letter shall control.</w:t>
      </w:r>
    </w:p>
    <w:p>
      <w:pPr>
        <w:pStyle w:val="Heading1"/>
        <w:ind w:hanging="0" w:start="0"/>
        <w:rPr/>
      </w:pPr>
      <w:r>
        <w:rPr>
          <w:i/>
        </w:rPr>
        <w:tab/>
        <w:t>Definitive Agreements</w:t>
      </w:r>
      <w:r>
        <w:rPr/>
        <w:t>.  Buyer and Seller shall endeavor to incorporate the terms and conditions expressed herein and in the Term Sheet and such other terms as the parties may agree to in a mutually acceptable (i) Enfolio Master Firm Purchase/Sale Agreement and associated Transaction Agreement(s) and a (ii) Management Services Agreement ((i) and (ii) collectively the “Transaction Agreements”).  If the parties can reach agreement, the parties intend to enter into the Transaction Agreements no later than _________, 2001.  If Buyer and Seller are unable to execute and deliver the Transaction Agreements (for any reason or no reason) by the close of business on July ______, 2001, this letter shall terminate, and except as otherwise provided herein, neither Buyer nor Seller shall have any further obligations or liabilities to the other party in respect of this letter or the Transaction.</w:t>
      </w:r>
    </w:p>
    <w:p>
      <w:pPr>
        <w:pStyle w:val="Heading1"/>
        <w:spacing w:before="0" w:after="0"/>
        <w:ind w:hanging="0" w:start="0"/>
        <w:rPr/>
      </w:pPr>
      <w:r>
        <w:rPr>
          <w:i/>
        </w:rPr>
        <w:tab/>
        <w:t>Confidentiality</w:t>
      </w:r>
      <w:r>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or to make other investigation relating to the contemplated transactions.</w:t>
      </w:r>
    </w:p>
    <w:p>
      <w:pPr>
        <w:pStyle w:val="Heading2"/>
        <w:numPr>
          <w:ilvl w:val="0"/>
          <w:numId w:val="0"/>
        </w:numPr>
        <w:ind w:hanging="0" w:start="0"/>
        <w:rPr/>
      </w:pPr>
      <w:r>
        <w:rPr/>
      </w:r>
    </w:p>
    <w:p>
      <w:pPr>
        <w:pStyle w:val="Heading1"/>
        <w:ind w:hanging="0" w:start="0"/>
        <w:rPr/>
      </w:pPr>
      <w:r>
        <w:rPr>
          <w:i/>
        </w:rPr>
        <w:tab/>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ind w:hanging="0" w:start="0"/>
        <w:rPr/>
      </w:pPr>
      <w:r>
        <w:rPr>
          <w:i/>
        </w:rPr>
        <w:tab/>
        <w:t>Approval</w:t>
      </w:r>
      <w:r>
        <w:rPr/>
        <w:t>.  The closing of the Transaction is subject to, in addition to the other conditions herein and in the Term Sheet, the upper management approval of the Seller and approval of the board of directors of Buyer, which approvals have not yet been obtained.</w:t>
      </w:r>
    </w:p>
    <w:p>
      <w:pPr>
        <w:pStyle w:val="Heading1"/>
        <w:ind w:hanging="0" w:start="0"/>
        <w:rPr/>
      </w:pPr>
      <w:r>
        <w:rPr>
          <w:i/>
        </w:rPr>
        <w:tab/>
        <w:t>Exclusivity</w:t>
      </w:r>
      <w:r>
        <w:rPr/>
        <w:t xml:space="preserve">.  Buyer agrees that it will not, until _________, 2000, (i) solicit or entertain any offers concerning the Transaction or (ii) enter into negotiations for, or enter into any agreement concerning the subject matter of the Transaction.  </w:t>
      </w:r>
    </w:p>
    <w:p>
      <w:pPr>
        <w:pStyle w:val="Heading1"/>
        <w:ind w:hanging="0" w:start="0"/>
        <w:rPr/>
      </w:pPr>
      <w:r>
        <w:rPr>
          <w:i/>
        </w:rPr>
        <w:tab/>
        <w:t>Non-binding Nature</w:t>
      </w:r>
      <w:r>
        <w:rPr/>
        <w:t xml:space="preserve">.  Except as to the confidentiality provisions in Paragraph 3, the public announcement provisions in Paragraph 4, and the exclusivity provisions in Paragraph 6, which are binding on the parties, the parties understand and agree that this letter sets forth each party’s current understanding of agreements which may be set out in a binding fashion in the Transaction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ind w:hanging="0" w:start="0"/>
        <w:rPr/>
      </w:pPr>
      <w:r>
        <w:rPr>
          <w:i/>
        </w:rPr>
        <w:tab/>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May ___, 2001, this letter shall be null and void.</w:t>
      </w:r>
    </w:p>
    <w:p>
      <w:pPr>
        <w:pStyle w:val="Signature"/>
        <w:rPr/>
      </w:pPr>
      <w:r>
        <w:rPr/>
        <w:t>Very truly yours,</w:t>
      </w:r>
    </w:p>
    <w:p>
      <w:pPr>
        <w:pStyle w:val="Signature"/>
        <w:rPr/>
      </w:pPr>
      <w:r>
        <w:rPr/>
      </w:r>
    </w:p>
    <w:p>
      <w:pPr>
        <w:pStyle w:val="Signature"/>
        <w:rPr>
          <w:b/>
          <w:bCs/>
        </w:rPr>
      </w:pPr>
      <w:r>
        <w:rPr>
          <w:b/>
          <w:bCs/>
        </w:rPr>
        <w:t>ENRON NORTH AMERICA CORP.</w:t>
      </w:r>
    </w:p>
    <w:p>
      <w:pPr>
        <w:pStyle w:val="Signature"/>
        <w:rPr>
          <w:b/>
          <w:bCs/>
        </w:rPr>
      </w:pPr>
      <w:r>
        <w:rPr>
          <w:b/>
          <w:bCs/>
        </w:rPr>
      </w:r>
    </w:p>
    <w:p>
      <w:pPr>
        <w:pStyle w:val="Signature"/>
        <w:rPr/>
      </w:pPr>
      <w:r>
        <w:rPr/>
      </w:r>
    </w:p>
    <w:p>
      <w:pPr>
        <w:pStyle w:val="Signature"/>
        <w:rPr/>
      </w:pPr>
      <w:r>
        <w:rPr/>
        <w:t>By:</w:t>
      </w:r>
      <w:r>
        <w:rPr>
          <w:u w:val="single"/>
        </w:rPr>
        <w:tab/>
      </w:r>
    </w:p>
    <w:p>
      <w:pPr>
        <w:pStyle w:val="Signature"/>
        <w:rPr/>
      </w:pPr>
      <w:r>
        <w:rPr/>
        <w:t xml:space="preserve">               </w:t>
      </w:r>
      <w:r>
        <w:rPr/>
        <w:t>Barry Tycholiz</w:t>
      </w:r>
    </w:p>
    <w:p>
      <w:pPr>
        <w:pStyle w:val="Signature"/>
        <w:rPr/>
      </w:pPr>
      <w:r>
        <w:rPr/>
        <w:t xml:space="preserve">                </w:t>
      </w:r>
      <w:r>
        <w:rPr/>
        <w:t>Vice President</w:t>
      </w:r>
      <w:r>
        <w:br w:type="page"/>
      </w:r>
    </w:p>
    <w:p>
      <w:pPr>
        <w:pStyle w:val="BodyText"/>
        <w:rPr/>
      </w:pPr>
      <w:r>
        <w:rPr/>
      </w:r>
    </w:p>
    <w:p>
      <w:pPr>
        <w:pStyle w:val="BodyText"/>
        <w:spacing w:before="0" w:after="0"/>
        <w:rPr/>
      </w:pPr>
      <w:r>
        <w:rPr/>
        <w:t>ACCEPTED and AGREED TO</w:t>
      </w:r>
    </w:p>
    <w:p>
      <w:pPr>
        <w:pStyle w:val="BodyText"/>
        <w:spacing w:before="0" w:after="0"/>
        <w:rPr/>
      </w:pPr>
      <w:r>
        <w:rPr/>
        <w:t>this __ day of ______, 2001:</w:t>
      </w:r>
    </w:p>
    <w:p>
      <w:pPr>
        <w:pStyle w:val="BodyText"/>
        <w:spacing w:before="0" w:after="0"/>
        <w:rPr/>
      </w:pPr>
      <w:r>
        <w:rPr/>
      </w:r>
    </w:p>
    <w:p>
      <w:pPr>
        <w:pStyle w:val="BodyText"/>
        <w:spacing w:before="0" w:after="0"/>
        <w:rPr>
          <w:b/>
          <w:bCs/>
          <w:caps/>
        </w:rPr>
      </w:pPr>
      <w:r>
        <w:rPr>
          <w:b/>
          <w:bCs/>
          <w:caps/>
        </w:rPr>
        <w:t>City of Palo Alto, California</w:t>
      </w:r>
    </w:p>
    <w:p>
      <w:pPr>
        <w:pStyle w:val="BodyText"/>
        <w:spacing w:before="0" w:after="0"/>
        <w:rPr>
          <w:b/>
          <w:bCs/>
          <w:caps/>
        </w:rPr>
      </w:pPr>
      <w:r>
        <w:rPr>
          <w:b/>
          <w:bCs/>
          <w:caps/>
        </w:rPr>
      </w:r>
    </w:p>
    <w:p>
      <w:pPr>
        <w:pStyle w:val="BodyText"/>
        <w:spacing w:before="0" w:after="0"/>
        <w:rPr/>
      </w:pPr>
      <w:r>
        <w:rPr/>
      </w:r>
    </w:p>
    <w:p>
      <w:pPr>
        <w:pStyle w:val="BodyText"/>
        <w:tabs>
          <w:tab w:val="clear" w:pos="720"/>
          <w:tab w:val="right" w:pos="3240" w:leader="none"/>
        </w:tabs>
        <w:spacing w:before="0" w:after="0"/>
        <w:rPr/>
      </w:pPr>
      <w:r>
        <w:rPr/>
        <w:t>By:</w:t>
      </w:r>
      <w:r>
        <w:rPr>
          <w:u w:val="single"/>
        </w:rPr>
        <w:tab/>
      </w:r>
    </w:p>
    <w:p>
      <w:pPr>
        <w:pStyle w:val="BodyText"/>
        <w:tabs>
          <w:tab w:val="clear" w:pos="720"/>
          <w:tab w:val="right" w:pos="3240" w:leader="none"/>
        </w:tabs>
        <w:spacing w:before="0" w:after="0"/>
        <w:rPr/>
      </w:pPr>
      <w:r>
        <w:rPr/>
        <w:t>Name:</w:t>
      </w:r>
      <w:r>
        <w:rPr>
          <w:u w:val="single"/>
        </w:rPr>
        <w:tab/>
      </w:r>
    </w:p>
    <w:p>
      <w:pPr>
        <w:pStyle w:val="BodyText"/>
        <w:tabs>
          <w:tab w:val="clear" w:pos="720"/>
          <w:tab w:val="right" w:pos="3240" w:leader="none"/>
        </w:tabs>
        <w:spacing w:before="0" w:after="0"/>
        <w:rPr/>
      </w:pPr>
      <w:r>
        <w:rPr/>
        <w:t>Title:</w:t>
      </w:r>
      <w:r>
        <w:rPr>
          <w:u w:val="single"/>
        </w:rPr>
        <w:tab/>
      </w:r>
    </w:p>
    <w:p>
      <w:pPr>
        <w:pStyle w:val="BodyText"/>
        <w:tabs>
          <w:tab w:val="clear" w:pos="720"/>
          <w:tab w:val="right" w:pos="3240" w:leader="none"/>
        </w:tabs>
        <w:spacing w:before="0" w:after="0"/>
        <w:rPr>
          <w:u w:val="single"/>
        </w:rPr>
      </w:pPr>
      <w:r>
        <w:rPr>
          <w:u w:val="single"/>
        </w:rPr>
      </w:r>
    </w:p>
    <w:p>
      <w:pPr>
        <w:pStyle w:val="BodyText"/>
        <w:tabs>
          <w:tab w:val="clear" w:pos="720"/>
          <w:tab w:val="right" w:pos="3240" w:leader="none"/>
        </w:tabs>
        <w:spacing w:before="0" w:after="0"/>
        <w:rPr/>
      </w:pPr>
      <w:r>
        <w:rPr/>
        <w:t>APPROVED AS TO FORM:</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Senior Asst. City Attorney</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APPROVED:</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Utilities</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Administrative Services</w:t>
      </w:r>
      <w:r>
        <w:br w:type="page"/>
      </w:r>
    </w:p>
    <w:p>
      <w:pPr>
        <w:pStyle w:val="Heading"/>
        <w:spacing w:before="0" w:after="0"/>
        <w:rPr/>
      </w:pPr>
      <w:r>
        <w:rPr/>
        <w:t>Attachment 1</w:t>
      </w:r>
    </w:p>
    <w:p>
      <w:pPr>
        <w:pStyle w:val="Heading"/>
        <w:spacing w:before="240" w:after="240"/>
        <w:rPr>
          <w:sz w:val="20"/>
        </w:rPr>
      </w:pPr>
      <w:r>
        <w:rPr/>
        <w:t>TRANSACTION TERM SHEET</w:t>
      </w:r>
    </w:p>
    <w:p>
      <w:pPr>
        <w:pStyle w:val="table"/>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268"/>
        <w:gridCol w:w="7308"/>
      </w:tblGrid>
      <w:tr>
        <w:trPr>
          <w:trHeight w:val="1125" w:hRule="atLeast"/>
        </w:trPr>
        <w:tc>
          <w:tcPr>
            <w:tcW w:w="2268" w:type="dxa"/>
            <w:tcBorders/>
          </w:tcPr>
          <w:p>
            <w:pPr>
              <w:pStyle w:val="Normal"/>
              <w:rPr>
                <w:b/>
              </w:rPr>
            </w:pPr>
            <w:r>
              <w:rPr>
                <w:b/>
              </w:rPr>
              <w:t>Parties:</w:t>
            </w:r>
          </w:p>
        </w:tc>
        <w:tc>
          <w:tcPr>
            <w:tcW w:w="7308" w:type="dxa"/>
            <w:tcBorders/>
          </w:tcPr>
          <w:p>
            <w:pPr>
              <w:pStyle w:val="Normal"/>
              <w:spacing w:before="0" w:after="240"/>
              <w:jc w:val="both"/>
              <w:rPr/>
            </w:pPr>
            <w:r>
              <w:rPr/>
              <w:t>Enron North America Corp., as seller (“Seller”) and the City of Palo Alto, California, as buyer (“Buyer”).  Buyer and Seller are referred to herein individually as a “Party” and collectively as the “Parties.”</w:t>
            </w:r>
          </w:p>
        </w:tc>
      </w:tr>
      <w:tr>
        <w:trPr/>
        <w:tc>
          <w:tcPr>
            <w:tcW w:w="2268" w:type="dxa"/>
            <w:tcBorders/>
          </w:tcPr>
          <w:p>
            <w:pPr>
              <w:pStyle w:val="Normal"/>
              <w:rPr>
                <w:b/>
              </w:rPr>
            </w:pPr>
            <w:r>
              <w:rPr>
                <w:b/>
              </w:rPr>
              <w:t>Scope of Services:</w:t>
            </w:r>
          </w:p>
        </w:tc>
        <w:tc>
          <w:tcPr>
            <w:tcW w:w="7308" w:type="dxa"/>
            <w:tcBorders/>
          </w:tcPr>
          <w:p>
            <w:pPr>
              <w:pStyle w:val="BodyText"/>
              <w:ind w:firstLine="14" w:start="-14" w:end="0"/>
              <w:rPr/>
            </w:pPr>
            <w:r>
              <w:rPr/>
              <w:t xml:space="preserve">1.  </w:t>
            </w:r>
            <w:r>
              <w:rPr>
                <w:u w:val="single"/>
              </w:rPr>
              <w:t>Gas Sales</w:t>
            </w:r>
            <w:r>
              <w:rPr/>
              <w:t xml:space="preserve"> - Seller shall supply Buyer’s full gas requirements as requested by Buyer.  Buyer’s full gas requirements shall be those quantities of gas required by Buyer in excess (“Non-Fixed Quantity”) of any quantities purchased at a fixed price from Seller (“Fixed Quantity”), or purchased from a third party (“Third Party Quantity”), not to exceed a total MDQ from Seller to exceed 35,000 MMBtu per Day.</w:t>
            </w:r>
          </w:p>
          <w:p>
            <w:pPr>
              <w:pStyle w:val="BodyText"/>
              <w:ind w:firstLine="14" w:start="-14" w:end="0"/>
              <w:rPr/>
            </w:pPr>
            <w:r>
              <w:rPr/>
              <w:t xml:space="preserve">2.  </w:t>
            </w:r>
            <w:r>
              <w:rPr>
                <w:u w:val="single"/>
              </w:rPr>
              <w:t>Management Services</w:t>
            </w:r>
            <w:r>
              <w:rPr/>
              <w:t xml:space="preserve"> – Seller shall provide all scheduling and balancing requirements for all of Buyer’s gas requirements, including but not limited to managing Buyer’s existing PG&amp;E pipeline capacity, nominating gas (including all Third Party Quantity), responding to OFOs and EFOs, imbalance trading, and providing incremental gas supply.  Buyer shall notify Seller of Third Party Quantity to be scheduled at least five (5) business days prior to the end of the month in which these volumes must be scheduled.  Upon Seller’s request, Buyer will as necessary, assist Seller with scheduling by communicating and discussing potential load quantity estimates.</w:t>
            </w:r>
          </w:p>
          <w:p>
            <w:pPr>
              <w:pStyle w:val="Normal"/>
              <w:jc w:val="both"/>
              <w:rPr/>
            </w:pPr>
            <w:r>
              <w:rPr/>
            </w:r>
          </w:p>
        </w:tc>
      </w:tr>
      <w:tr>
        <w:trPr/>
        <w:tc>
          <w:tcPr>
            <w:tcW w:w="2268" w:type="dxa"/>
            <w:tcBorders/>
          </w:tcPr>
          <w:p>
            <w:pPr>
              <w:pStyle w:val="Normal"/>
              <w:rPr>
                <w:b/>
              </w:rPr>
            </w:pPr>
            <w:r>
              <w:rPr>
                <w:b/>
              </w:rPr>
              <w:t>Term:</w:t>
            </w:r>
          </w:p>
        </w:tc>
        <w:tc>
          <w:tcPr>
            <w:tcW w:w="7308" w:type="dxa"/>
            <w:tcBorders/>
          </w:tcPr>
          <w:p>
            <w:pPr>
              <w:pStyle w:val="BodyText"/>
              <w:spacing w:before="0" w:after="240"/>
              <w:ind w:firstLine="14" w:start="-14" w:end="0"/>
              <w:rPr/>
            </w:pPr>
            <w:r>
              <w:rPr/>
              <w:t xml:space="preserve">The term of the Transaction Agreements shall be July 1, 2001 through June 30, 2004 (the “Primary Term”).  Either Party shall have the right to terminate this transaction for any reason with 60 days advance written notice to the other Party thereof; provided that Buyer may not terminate the Transaction Agreement prior to the end of the first year of the Primary Term.  </w:t>
            </w:r>
          </w:p>
        </w:tc>
      </w:tr>
      <w:tr>
        <w:trPr/>
        <w:tc>
          <w:tcPr>
            <w:tcW w:w="2268" w:type="dxa"/>
            <w:tcBorders/>
          </w:tcPr>
          <w:p>
            <w:pPr>
              <w:pStyle w:val="Normal"/>
              <w:jc w:val="both"/>
              <w:rPr>
                <w:b/>
              </w:rPr>
            </w:pPr>
            <w:r>
              <w:rPr>
                <w:b/>
              </w:rPr>
              <w:t>Demand Charges:</w:t>
            </w:r>
          </w:p>
        </w:tc>
        <w:tc>
          <w:tcPr>
            <w:tcW w:w="7308" w:type="dxa"/>
            <w:tcBorders/>
          </w:tcPr>
          <w:p>
            <w:pPr>
              <w:pStyle w:val="Normal"/>
              <w:jc w:val="both"/>
              <w:rPr/>
            </w:pPr>
            <w:r>
              <w:rPr/>
              <w:t>Buyer shall pay a demand charge based on the actual monthly quantities of gas nominated, including third party gas, multiplied by $0.08 per MMBtu.</w:t>
            </w:r>
          </w:p>
          <w:p>
            <w:pPr>
              <w:pStyle w:val="Normal"/>
              <w:jc w:val="both"/>
              <w:rPr/>
            </w:pPr>
            <w:r>
              <w:rPr/>
            </w:r>
          </w:p>
          <w:p>
            <w:pPr>
              <w:pStyle w:val="table"/>
              <w:rPr/>
            </w:pPr>
            <w:r>
              <w:rPr/>
              <w:t xml:space="preserve">In the event that Buyer terminates the Transaction Agreement during the second year of the Primary Term, Buyer shall pay a termination fee to Seller which is equal to $0.04 per MMBtu, multiplied by the quantities gas nominated during the first year of the Primary Term.    </w:t>
            </w:r>
          </w:p>
          <w:p>
            <w:pPr>
              <w:pStyle w:val="Normal"/>
              <w:spacing w:before="0" w:after="240"/>
              <w:jc w:val="both"/>
              <w:rPr/>
            </w:pPr>
            <w:r>
              <w:rPr/>
            </w:r>
          </w:p>
          <w:p>
            <w:pPr>
              <w:pStyle w:val="Normal"/>
              <w:spacing w:before="0" w:after="240"/>
              <w:jc w:val="both"/>
              <w:rPr/>
            </w:pPr>
            <w:r>
              <w:rPr/>
              <w:t xml:space="preserve">In the event that Buyer terminates the Transaction Agreement during the third year of the Primary Term, Buyer shall pay a termination fee to Seller which is equal to $0.02 per MMBtu, multiplied by the quantities gas nominated during the first and second year of the Primary Term.    </w:t>
            </w:r>
          </w:p>
        </w:tc>
      </w:tr>
      <w:tr>
        <w:trPr/>
        <w:tc>
          <w:tcPr>
            <w:tcW w:w="2268" w:type="dxa"/>
            <w:tcBorders/>
          </w:tcPr>
          <w:p>
            <w:pPr>
              <w:pStyle w:val="Normal"/>
              <w:rPr>
                <w:b/>
              </w:rPr>
            </w:pPr>
            <w:r>
              <w:rPr>
                <w:b/>
              </w:rPr>
              <w:t>Agency Agreement:</w:t>
            </w:r>
          </w:p>
        </w:tc>
        <w:tc>
          <w:tcPr>
            <w:tcW w:w="7308" w:type="dxa"/>
            <w:tcBorders/>
          </w:tcPr>
          <w:p>
            <w:pPr>
              <w:pStyle w:val="Normal"/>
              <w:jc w:val="both"/>
              <w:rPr/>
            </w:pPr>
            <w:r>
              <w:rPr>
                <w:u w:val="single"/>
              </w:rPr>
              <w:t>Agency Agreement:</w:t>
            </w:r>
            <w:r>
              <w:rPr/>
              <w:t xml:space="preserve">  Seller shall act as Buyer’s authorized agent as defined by the tariffs of PG&amp;E for all of Buyer’s transportation capacity and associated rights on PG&amp;E’s system.  Buyer shall be responsible for all fees incurred for gas transported on the PG&amp;E system related to Buyer’s load requirements as documented by PG&amp;E’s transportation invoice.</w:t>
            </w:r>
          </w:p>
          <w:p>
            <w:pPr>
              <w:pStyle w:val="Normal"/>
              <w:jc w:val="both"/>
              <w:rPr/>
            </w:pPr>
            <w:r>
              <w:rPr/>
              <w:t xml:space="preserve"> </w:t>
            </w:r>
          </w:p>
        </w:tc>
      </w:tr>
      <w:tr>
        <w:trPr/>
        <w:tc>
          <w:tcPr>
            <w:tcW w:w="2268" w:type="dxa"/>
            <w:tcBorders/>
          </w:tcPr>
          <w:p>
            <w:pPr>
              <w:pStyle w:val="Normal"/>
              <w:rPr>
                <w:b/>
              </w:rPr>
            </w:pPr>
            <w:r>
              <w:rPr>
                <w:b/>
              </w:rPr>
              <w:t>Gas Contract Price for Non-Fixed Quantity:</w:t>
            </w:r>
          </w:p>
        </w:tc>
        <w:tc>
          <w:tcPr>
            <w:tcW w:w="7308" w:type="dxa"/>
            <w:tcBorders/>
          </w:tcPr>
          <w:p>
            <w:pPr>
              <w:pStyle w:val="Normal"/>
              <w:jc w:val="both"/>
              <w:rPr/>
            </w:pPr>
            <w:r>
              <w:rPr/>
              <w:t xml:space="preserve">The contract price for volumes to be delivered and sold at Malin by Seller up to 6,197 MMBtu per day, shall be the price published in </w:t>
            </w:r>
            <w:r>
              <w:rPr>
                <w:u w:val="single"/>
              </w:rPr>
              <w:t>Natural Gas Intelligence Gas Price Index</w:t>
            </w:r>
            <w:r>
              <w:rPr/>
              <w:t xml:space="preserve">, or successor publication, in the first issue of the delivery month, in the table titled “California” on the line titled “Malin” plus zero.  </w:t>
            </w:r>
          </w:p>
          <w:p>
            <w:pPr>
              <w:pStyle w:val="Normal"/>
              <w:jc w:val="both"/>
              <w:rPr/>
            </w:pPr>
            <w:r>
              <w:rPr/>
            </w:r>
          </w:p>
          <w:p>
            <w:pPr>
              <w:pStyle w:val="Normal"/>
              <w:jc w:val="both"/>
              <w:rPr/>
            </w:pPr>
            <w:r>
              <w:rPr/>
              <w:t xml:space="preserve">The Contract Price for volumes to be delivered and sold at the PG&amp;E Citygate by Seller, shall be the price published in  </w:t>
            </w:r>
            <w:r>
              <w:rPr>
                <w:u w:val="single"/>
              </w:rPr>
              <w:t>Natural Gas Intelligence Gas Price</w:t>
            </w:r>
            <w:r>
              <w:rPr/>
              <w:t xml:space="preserve"> Index, or successor publication, in the first issue of the delivery month, in the table titled “California”, on the line titled “PG&amp;E City Gate” plus zero.  </w:t>
            </w:r>
          </w:p>
          <w:p>
            <w:pPr>
              <w:pStyle w:val="table"/>
              <w:rPr/>
            </w:pPr>
            <w:r>
              <w:rPr/>
            </w:r>
          </w:p>
          <w:p>
            <w:pPr>
              <w:pStyle w:val="Normal"/>
              <w:spacing w:before="0" w:after="240"/>
              <w:jc w:val="both"/>
              <w:rPr/>
            </w:pPr>
            <w:r>
              <w:rPr/>
              <w:t>Buyer and Seller may agree to convert any portion of the Non-Fixed Quantity into a Fixed Quanity.  Upon request by Buyer, Seller shall provide Buyer a fixed price for the requested term and quantity.  If the Parties agree to such fixed price, the quantities of gas converted to Fixed Quantity shall from thereafter be 100% firm quantities subject to the terms and conditions of the Enfolio® Master Firm Purchase/Sale Agreement.</w:t>
            </w:r>
          </w:p>
          <w:p>
            <w:pPr>
              <w:pStyle w:val="Normal"/>
              <w:spacing w:before="0" w:after="240"/>
              <w:jc w:val="both"/>
              <w:rPr/>
            </w:pPr>
            <w:r>
              <w:rPr/>
              <w:t>Buyer shall not be subject to daily gas pricing except as set forth in the Third Party Supplier Default section of this Term Sheet.</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Third Party Supplier Default:</w:t>
            </w:r>
          </w:p>
        </w:tc>
        <w:tc>
          <w:tcPr>
            <w:tcW w:w="7308" w:type="dxa"/>
            <w:tcBorders/>
          </w:tcPr>
          <w:p>
            <w:pPr>
              <w:pStyle w:val="Normal"/>
              <w:spacing w:before="0" w:after="240"/>
              <w:jc w:val="both"/>
              <w:rPr/>
            </w:pPr>
            <w:r>
              <w:rPr/>
              <w:t xml:space="preserve">If the supplier of Third Party Quanity (“Third Party Supplier”) fails to deliver the Third Party Quantity, Seller shall supply sufficient gas quantities to replace those quantities that the Third Party Supplier failed to delivered; provided that such replacement supply by Seller shall be priced at a daily index </w:t>
            </w:r>
            <w:r>
              <w:rPr>
                <w:i/>
                <w:iCs/>
              </w:rPr>
              <w:t>[Do we want to specify the index?]</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Offer to Purchase Quantities:</w:t>
            </w:r>
          </w:p>
        </w:tc>
        <w:tc>
          <w:tcPr>
            <w:tcW w:w="7308" w:type="dxa"/>
            <w:tcBorders/>
          </w:tcPr>
          <w:p>
            <w:pPr>
              <w:pStyle w:val="Normal"/>
              <w:spacing w:before="0" w:after="240"/>
              <w:jc w:val="both"/>
              <w:rPr/>
            </w:pPr>
            <w:r>
              <w:rPr/>
              <w:t>Seller will provide an offer when requested by Buyer for all Fixed Quantity and Third Party Quantity of gas Buyer desires to sell into the market on a daily or longer basis.</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OFO Management:</w:t>
            </w:r>
          </w:p>
        </w:tc>
        <w:tc>
          <w:tcPr>
            <w:tcW w:w="7308" w:type="dxa"/>
            <w:tcBorders/>
          </w:tcPr>
          <w:p>
            <w:pPr>
              <w:pStyle w:val="Normal"/>
              <w:spacing w:before="0" w:after="240"/>
              <w:jc w:val="both"/>
              <w:rPr/>
            </w:pPr>
            <w:r>
              <w:rPr/>
              <w:t>Seller will provide all Management Services in accordance with all PG&amp;E Operational Flow Orders (OFO) and Emergency Flow Orders (EFO)</w:t>
            </w:r>
          </w:p>
        </w:tc>
      </w:tr>
      <w:tr>
        <w:trPr/>
        <w:tc>
          <w:tcPr>
            <w:tcW w:w="2268" w:type="dxa"/>
            <w:tcBorders/>
          </w:tcPr>
          <w:p>
            <w:pPr>
              <w:pStyle w:val="Normal"/>
              <w:rPr>
                <w:b/>
              </w:rPr>
            </w:pPr>
            <w:r>
              <w:rPr>
                <w:b/>
              </w:rPr>
              <w:t>Unutilized Capacity:</w:t>
            </w:r>
          </w:p>
        </w:tc>
        <w:tc>
          <w:tcPr>
            <w:tcW w:w="7308" w:type="dxa"/>
            <w:tcBorders/>
          </w:tcPr>
          <w:p>
            <w:pPr>
              <w:pStyle w:val="Normal"/>
              <w:jc w:val="both"/>
              <w:rPr/>
            </w:pPr>
            <w:r>
              <w:rPr/>
              <w:t xml:space="preserve">Seller has the right to utilize all of Buyer’s transportation capacity that goes unutilized by Buyer on a daily basis. </w:t>
            </w:r>
            <w:r>
              <w:rPr>
                <w:i/>
                <w:iCs/>
              </w:rPr>
              <w:t>[Discuss]</w:t>
            </w:r>
          </w:p>
        </w:tc>
      </w:tr>
      <w:tr>
        <w:trPr/>
        <w:tc>
          <w:tcPr>
            <w:tcW w:w="2268" w:type="dxa"/>
            <w:tcBorders/>
          </w:tcPr>
          <w:p>
            <w:pPr>
              <w:pStyle w:val="Normal"/>
              <w:jc w:val="both"/>
              <w:rPr>
                <w:b/>
              </w:rPr>
            </w:pPr>
            <w:r>
              <w:rPr>
                <w:b/>
              </w:rPr>
              <w:t>Risk Management:</w:t>
            </w:r>
          </w:p>
        </w:tc>
        <w:tc>
          <w:tcPr>
            <w:tcW w:w="7308" w:type="dxa"/>
            <w:tcBorders/>
          </w:tcPr>
          <w:p>
            <w:pPr>
              <w:pStyle w:val="Normal"/>
              <w:jc w:val="both"/>
              <w:rPr/>
            </w:pPr>
            <w:r>
              <w:rPr/>
              <w:t>Seller has the ability to fix the price of indexed supply from a third party through financial products.  Seller also has the ability to offer other risk management products that are designed to assist Buyer in managing its price risk such as caps, cost-less collars, balance of the month forward pricing, as well as an array of other risk management tools that can add certainty and stability.   At Buyers request, Seller shall provide pricing for any financial products.  Any financial transactions shall be governed by the ISDA Master Swap Agreement to be executed between Buyer and Seller before any financial transactions can take place between Buyer and Seller.  The ISDA Master Swap Agreement shall include all attached and completed documents and credit terms required and described in the schedule to the Agreement.</w:t>
            </w:r>
          </w:p>
          <w:p>
            <w:pPr>
              <w:pStyle w:val="Normal"/>
              <w:spacing w:before="0" w:after="240"/>
              <w:jc w:val="both"/>
              <w:rPr/>
            </w:pPr>
            <w:r>
              <w:rPr/>
            </w:r>
          </w:p>
        </w:tc>
      </w:tr>
      <w:tr>
        <w:trPr/>
        <w:tc>
          <w:tcPr>
            <w:tcW w:w="2268" w:type="dxa"/>
            <w:tcBorders/>
          </w:tcPr>
          <w:p>
            <w:pPr>
              <w:pStyle w:val="Normal"/>
              <w:rPr>
                <w:b/>
              </w:rPr>
            </w:pPr>
            <w:r>
              <w:rPr>
                <w:b/>
              </w:rPr>
              <w:t>Service Outside of Customer’s Boundaries:</w:t>
            </w:r>
          </w:p>
        </w:tc>
        <w:tc>
          <w:tcPr>
            <w:tcW w:w="7308" w:type="dxa"/>
            <w:tcBorders/>
          </w:tcPr>
          <w:p>
            <w:pPr>
              <w:pStyle w:val="Normal"/>
              <w:jc w:val="both"/>
              <w:rPr/>
            </w:pPr>
            <w:r>
              <w:rPr/>
              <w:t>Seller has the ability to serve customers outside of Buyer’s system boundaries by serving them out of Seller’s PG&amp;E pool.  Buyer for this off-system load must have firm transportation capacity on PG&amp;E’s system.  Seller may provide pricing for such off-system customers.  All such pricing will be based on market conditions at the time of request for pricing regardless of volume size.</w:t>
            </w:r>
          </w:p>
          <w:p>
            <w:pPr>
              <w:pStyle w:val="Normal"/>
              <w:spacing w:before="0" w:after="240"/>
              <w:ind w:hanging="14" w:end="0"/>
              <w:jc w:val="both"/>
              <w:rPr/>
            </w:pPr>
            <w:r>
              <w:rPr/>
            </w:r>
          </w:p>
        </w:tc>
      </w:tr>
      <w:tr>
        <w:trPr/>
        <w:tc>
          <w:tcPr>
            <w:tcW w:w="2268" w:type="dxa"/>
            <w:tcBorders/>
          </w:tcPr>
          <w:p>
            <w:pPr>
              <w:pStyle w:val="Normal"/>
              <w:rPr>
                <w:b/>
              </w:rPr>
            </w:pPr>
            <w:r>
              <w:rPr>
                <w:b/>
              </w:rPr>
              <w:t>Acquisitions:</w:t>
            </w:r>
          </w:p>
          <w:p>
            <w:pPr>
              <w:pStyle w:val="Normal"/>
              <w:jc w:val="both"/>
              <w:rPr>
                <w:b/>
              </w:rPr>
            </w:pPr>
            <w:r>
              <w:rPr>
                <w:b/>
              </w:rPr>
            </w:r>
          </w:p>
        </w:tc>
        <w:tc>
          <w:tcPr>
            <w:tcW w:w="7308" w:type="dxa"/>
            <w:tcBorders/>
          </w:tcPr>
          <w:p>
            <w:pPr>
              <w:pStyle w:val="Normal"/>
              <w:ind w:start="-18" w:end="0"/>
              <w:jc w:val="both"/>
              <w:rPr/>
            </w:pPr>
            <w:r>
              <w:rPr/>
              <w:t>Seller acknowledges that Buyer may make new acquisitions to its distribution system during the course of the Transaction Agreements.  Seller shall have the right to re-price the gas and services provided under such agreement if such acquisition materially affects the scope of the Transaction Agreements.</w:t>
            </w:r>
          </w:p>
          <w:p>
            <w:pPr>
              <w:pStyle w:val="Normal"/>
              <w:spacing w:before="0" w:after="240"/>
              <w:ind w:start="619" w:end="0"/>
              <w:jc w:val="both"/>
              <w:rPr/>
            </w:pPr>
            <w:r>
              <w:rPr/>
            </w:r>
          </w:p>
        </w:tc>
      </w:tr>
    </w:tbl>
    <w:p>
      <w:pPr>
        <w:pStyle w:val="Heading"/>
        <w:spacing w:before="0" w:after="240"/>
        <w:rPr/>
      </w:pPr>
      <w:r>
        <w:rPr/>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6</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560942.11</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720"/>
      </w:pPr>
      <w:rPr>
        <w:sz w:val="24"/>
        <w:i w:val="false"/>
        <w:u w:val="none"/>
        <w:b w:val="false"/>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lowerRoman"/>
      <w:lvlText w:val="(%1)"/>
      <w:lvlJc w:val="start"/>
      <w:pPr>
        <w:tabs>
          <w:tab w:val="num" w:pos="1332"/>
        </w:tabs>
        <w:ind w:start="1332"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left" w:pos="720" w:leader="none"/>
      </w:tabs>
      <w:spacing w:before="0" w:after="240"/>
      <w:jc w:val="both"/>
      <w:outlineLvl w:val="0"/>
    </w:pPr>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b w:val="false"/>
      <w:i w:val="false"/>
      <w:sz w:val="24"/>
      <w:u w:val="none"/>
    </w:rPr>
  </w:style>
  <w:style w:type="character" w:styleId="WW8Num14z1">
    <w:name w:val="WW8Num14z1"/>
    <w:qFormat/>
    <w:rPr/>
  </w:style>
  <w:style w:type="character" w:styleId="WW8Num14z2">
    <w:name w:val="WW8Num14z2"/>
    <w:qFormat/>
    <w:rPr>
      <w:u w:val="none"/>
    </w:rPr>
  </w:style>
  <w:style w:type="character" w:styleId="WW8Num14z8">
    <w:name w:val="WW8Num14z8"/>
    <w:qFormat/>
    <w:rPr>
      <w:rFonts w:ascii="Symbol" w:hAnsi="Symbol" w:cs="Symbol"/>
      <w:color w:val="auto"/>
      <w:sz w:val="28"/>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2"/>
      <w:u w:val="none"/>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style>
  <w:style w:type="character" w:styleId="WW8Num18z8">
    <w:name w:val="WW8Num18z8"/>
    <w:qFormat/>
    <w:rPr>
      <w:rFonts w:ascii="Symbol" w:hAnsi="Symbol" w:cs="Symbol"/>
      <w:color w:val="000000"/>
      <w:sz w:val="28"/>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tabs>
        <w:tab w:val="clear" w:pos="720"/>
        <w:tab w:val="left" w:pos="8640" w:leader="none"/>
      </w:tabs>
      <w:ind w:hanging="0" w:start="4320" w:end="0"/>
    </w:pPr>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
    <w:name w:val="Body Text Indent"/>
    <w:basedOn w:val="Normal"/>
    <w:pPr>
      <w:spacing w:before="0" w:after="240"/>
      <w:ind w:hanging="0" w:start="720" w:end="0"/>
      <w:jc w:val="both"/>
    </w:pPr>
    <w:rPr/>
  </w:style>
  <w:style w:type="paragraph" w:styleId="table">
    <w:name w:val="table"/>
    <w:basedOn w:val="Normal"/>
    <w:qFormat/>
    <w:pPr>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2"/>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5">
    <w:name w:val="toc 5"/>
    <w:basedOn w:val="Normal"/>
    <w:next w:val="Normal"/>
    <w:pPr>
      <w:ind w:hanging="0" w:start="96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2001-05-14T13:28:00Z</dcterms:created>
  <dc:creator>carolyn creel</dc:creator>
  <dc:description/>
  <dc:language>en-CA</dc:language>
  <cp:lastModifiedBy>gnemec</cp:lastModifiedBy>
  <cp:lastPrinted>2001-05-14T17:27:00Z</cp:lastPrinted>
  <dcterms:modified xsi:type="dcterms:W3CDTF">2001-05-14T20:06:00Z</dcterms:modified>
  <cp:revision>41</cp:revision>
  <dc:subject/>
  <dc:title>  LETTER OF UNDERSTANDING</dc:title>
</cp:coreProperties>
</file>