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Heading1"/>
        <w:ind w:hanging="0" w:start="0"/>
        <w:jc w:val="center"/>
        <w:rPr/>
      </w:pPr>
      <w:r>
        <w:rPr/>
        <w:t xml:space="preserve">DRAFT   </w:t>
        <w:tab/>
        <w:t>For Enron internal review only</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r>
    </w:p>
    <w:p>
      <w:pPr>
        <w:pStyle w:val="Normal"/>
        <w:jc w:val="center"/>
        <w:rPr>
          <w:sz w:val="22"/>
        </w:rPr>
      </w:pPr>
      <w:r>
        <w:rPr>
          <w:sz w:val="22"/>
        </w:rPr>
        <w:t>July 11, 2000</w:t>
      </w:r>
    </w:p>
    <w:p>
      <w:pPr>
        <w:pStyle w:val="Normal"/>
        <w:jc w:val="both"/>
        <w:rPr>
          <w:b/>
          <w:sz w:val="22"/>
        </w:rPr>
      </w:pPr>
      <w:r>
        <w:rPr>
          <w:b/>
          <w:sz w:val="22"/>
        </w:rPr>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r>
    </w:p>
    <w:p>
      <w:pPr>
        <w:pStyle w:val="Normal"/>
        <w:jc w:val="both"/>
        <w:rPr>
          <w:sz w:val="22"/>
        </w:rPr>
      </w:pPr>
      <w:r>
        <w:rPr>
          <w:sz w:val="22"/>
        </w:rPr>
        <w:t>Attn.:  Bill Morrow or Curtis Cole?</w:t>
      </w:r>
    </w:p>
    <w:p>
      <w:pPr>
        <w:pStyle w:val="Normal"/>
        <w:jc w:val="both"/>
        <w:rPr>
          <w:sz w:val="22"/>
        </w:rPr>
      </w:pPr>
      <w:r>
        <w:rPr>
          <w:sz w:val="22"/>
        </w:rPr>
      </w:r>
    </w:p>
    <w:p>
      <w:pPr>
        <w:pStyle w:val="Normal"/>
        <w:jc w:val="both"/>
        <w:rPr>
          <w:sz w:val="22"/>
        </w:rPr>
      </w:pPr>
      <w:r>
        <w:rPr>
          <w:sz w:val="22"/>
        </w:rPr>
        <w:t>Re:</w:t>
        <w:tab/>
        <w:t>Marketing of Calumet/Torrence Projects</w:t>
      </w:r>
    </w:p>
    <w:p>
      <w:pPr>
        <w:pStyle w:val="Normal"/>
        <w:jc w:val="both"/>
        <w:rPr>
          <w:sz w:val="22"/>
        </w:rPr>
      </w:pPr>
      <w:r>
        <w:rPr>
          <w:sz w:val="22"/>
        </w:rPr>
      </w:r>
    </w:p>
    <w:p>
      <w:pPr>
        <w:pStyle w:val="Normal"/>
        <w:jc w:val="both"/>
        <w:rPr>
          <w:sz w:val="22"/>
        </w:rPr>
      </w:pPr>
      <w:r>
        <w:rPr>
          <w:sz w:val="22"/>
        </w:rPr>
        <w:t>Dear _______:</w:t>
      </w:r>
    </w:p>
    <w:p>
      <w:pPr>
        <w:pStyle w:val="Normal"/>
        <w:jc w:val="both"/>
        <w:rPr>
          <w:sz w:val="22"/>
        </w:rPr>
      </w:pPr>
      <w:r>
        <w:rPr>
          <w:sz w:val="22"/>
        </w:rPr>
      </w:r>
    </w:p>
    <w:p>
      <w:pPr>
        <w:pStyle w:val="Normal"/>
        <w:jc w:val="both"/>
        <w:rPr>
          <w:sz w:val="22"/>
        </w:rPr>
      </w:pPr>
      <w:r>
        <w:rPr>
          <w:sz w:val="22"/>
        </w:rPr>
        <w:t>This letter agreement (“Agreement”), effective when executed by all the parties hereto, will evidence the agreement among Peoples Energy Resources Company, Calumet Power LLC. Torrence Power LLC, (collectively “Peoples”) and Enron North America Corp. (“ENA”), for ENA to market the Calumet and Torrence projects [def’n?] (the “Projects”) for the purpose of sale, development, or other transactions. Peoples and ENA are sometimes referred to individually as a “Party” and collectively as the “Parties.”</w:t>
      </w:r>
    </w:p>
    <w:p>
      <w:pPr>
        <w:pStyle w:val="Normal"/>
        <w:jc w:val="both"/>
        <w:rPr>
          <w:sz w:val="22"/>
        </w:rPr>
      </w:pPr>
      <w:r>
        <w:rPr>
          <w:sz w:val="22"/>
        </w:rPr>
      </w:r>
    </w:p>
    <w:p>
      <w:pPr>
        <w:pStyle w:val="Normal"/>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Normal"/>
        <w:jc w:val="center"/>
        <w:rPr>
          <w:b/>
          <w:sz w:val="22"/>
        </w:rPr>
      </w:pPr>
      <w:r>
        <w:rPr>
          <w:b/>
          <w:sz w:val="22"/>
        </w:rPr>
      </w:r>
    </w:p>
    <w:p>
      <w:pPr>
        <w:pStyle w:val="Normal"/>
        <w:jc w:val="center"/>
        <w:rPr>
          <w:b/>
          <w:sz w:val="22"/>
        </w:rPr>
      </w:pPr>
      <w:r>
        <w:rPr>
          <w:b/>
          <w:sz w:val="22"/>
        </w:rPr>
      </w:r>
    </w:p>
    <w:p>
      <w:pPr>
        <w:pStyle w:val="Normal"/>
        <w:ind w:firstLine="720" w:end="0"/>
        <w:jc w:val="both"/>
        <w:rPr>
          <w:b/>
          <w:sz w:val="22"/>
        </w:rPr>
      </w:pPr>
      <w:r>
        <w:rPr>
          <w:sz w:val="22"/>
        </w:rPr>
        <w:t>1.</w:t>
        <w:tab/>
      </w:r>
      <w:r>
        <w:rPr>
          <w:b/>
          <w:sz w:val="22"/>
        </w:rPr>
        <w:t xml:space="preserve">Term.  </w:t>
      </w:r>
      <w:r>
        <w:rPr>
          <w:sz w:val="22"/>
        </w:rPr>
        <w:t xml:space="preserve">This Agreement shall remain in force and effect until the earliest to occur of the following events:  (i) July __ </w:t>
      </w:r>
      <w:r>
        <w:rPr>
          <w:i/>
          <w:sz w:val="22"/>
        </w:rPr>
        <w:t xml:space="preserve">, </w:t>
      </w:r>
      <w:r>
        <w:rPr>
          <w:iCs/>
          <w:sz w:val="22"/>
        </w:rPr>
        <w:t>2003</w:t>
      </w:r>
      <w:r>
        <w:rPr>
          <w:sz w:val="22"/>
        </w:rPr>
        <w:t xml:space="preserve"> (the “Term”), (ii) [REFERENCE TO TURBINE SALE FALLING THROUGH?], or (iii) the Parties fail to reach definitive agreements as contemplated by this Agreement by ___, 2000.  The provisions of Paragraph 3 and Paragraph 4 (d), shall survive any termination of this Agreement, as necessary for them to expire according to their terms as expressed in that section.</w:t>
      </w:r>
    </w:p>
    <w:p>
      <w:pPr>
        <w:pStyle w:val="Normal"/>
        <w:jc w:val="both"/>
        <w:rPr>
          <w:b/>
          <w:sz w:val="22"/>
        </w:rPr>
      </w:pPr>
      <w:r>
        <w:rPr>
          <w:b/>
          <w:sz w:val="22"/>
        </w:rPr>
      </w:r>
    </w:p>
    <w:p>
      <w:pPr>
        <w:pStyle w:val="Normal"/>
        <w:ind w:firstLine="720" w:end="0"/>
        <w:jc w:val="both"/>
        <w:rPr/>
      </w:pPr>
      <w:r>
        <w:rPr>
          <w:sz w:val="22"/>
        </w:rPr>
        <w:t>2.</w:t>
        <w:tab/>
      </w:r>
      <w:r>
        <w:rPr>
          <w:b/>
          <w:sz w:val="22"/>
        </w:rPr>
        <w:t>Exclusivity.</w:t>
      </w:r>
      <w:r>
        <w:rPr>
          <w:sz w:val="22"/>
        </w:rPr>
        <w:t xml:space="preserve">  In consideration of the efforts to be expended by ENA in marketing the Projects, Peoples hereby grants to ENA, for a period of ninety days beginning on July __, 2000, and renewing automatically for successive periods of [10] days unless cancelled in writing with [2] days notice by either ENA or Peoples (the “Exclusivity Period”) the exclusive right to develop and/ or market the Projects.  During the Exclusivity Period, Peoples shall refer any inquiries concerning the Projects to ENA. The foregoing exclusivity provision shall not restrict or prohibit a Party from pursuing with third persons arrangements similar to the Projects, and it also shall not restrict or prohibit any Party from engaging in transactions that are outside the scope of this Agreement.</w:t>
      </w:r>
    </w:p>
    <w:p>
      <w:pPr>
        <w:pStyle w:val="Normal"/>
        <w:jc w:val="both"/>
        <w:rPr>
          <w:b/>
          <w:sz w:val="22"/>
        </w:rPr>
      </w:pPr>
      <w:r>
        <w:rPr>
          <w:b/>
          <w:sz w:val="22"/>
        </w:rPr>
      </w:r>
    </w:p>
    <w:p>
      <w:pPr>
        <w:pStyle w:val="Normal"/>
        <w:ind w:firstLine="720" w:end="0"/>
        <w:jc w:val="both"/>
        <w:rPr/>
      </w:pPr>
      <w:r>
        <w:rPr>
          <w:sz w:val="22"/>
        </w:rPr>
        <w:t>3.</w:t>
      </w:r>
      <w:r>
        <w:rPr>
          <w:b/>
          <w:sz w:val="22"/>
        </w:rPr>
        <w:tab/>
        <w:t xml:space="preserve">Confidentiality.  </w:t>
      </w:r>
      <w:r>
        <w:rPr>
          <w:bCs/>
          <w:sz w:val="22"/>
        </w:rPr>
        <w:t xml:space="preserve">(a) </w:t>
      </w:r>
      <w:r>
        <w:rPr>
          <w:sz w:val="22"/>
        </w:rPr>
        <w:t>For a period ending one year after the effective date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(i) as may become generally available to the public, (ii) known to a Party at the time of disclosure or acquired at any time from a source other than the other Party hereto that was not prohibited from making disclosure, or (iii) required to be disclosed in order to comply with any applicable law, order, regulation or ruling.  Neither Party will use confidential information other than for the purpose of evaluating, negotiating and consummating the proposed transactions relating to the Project.</w:t>
      </w:r>
    </w:p>
    <w:p>
      <w:pPr>
        <w:pStyle w:val="Normal"/>
        <w:ind w:firstLine="720" w:end="0"/>
        <w:jc w:val="both"/>
        <w:rPr>
          <w:sz w:val="22"/>
        </w:rPr>
      </w:pPr>
      <w:r>
        <w:rPr>
          <w:sz w:val="22"/>
        </w:rPr>
      </w:r>
    </w:p>
    <w:p>
      <w:pPr>
        <w:pStyle w:val="Normal"/>
        <w:ind w:firstLine="720" w:end="0"/>
        <w:jc w:val="both"/>
        <w:rPr>
          <w:b/>
          <w:sz w:val="22"/>
        </w:rPr>
      </w:pPr>
      <w:r>
        <w:rPr>
          <w:sz w:val="22"/>
        </w:rPr>
        <w:t>(b)  Each Party shall promptly inform the other Party of the substance of any inquiries received by such Party from any governmental or regulatory authority in connection with attempts to gain access to confidential information concerning the Projects.</w:t>
      </w:r>
    </w:p>
    <w:p>
      <w:pPr>
        <w:pStyle w:val="Normal"/>
        <w:ind w:firstLine="720" w:end="0"/>
        <w:jc w:val="both"/>
        <w:rPr>
          <w:b/>
          <w:sz w:val="22"/>
        </w:rPr>
      </w:pPr>
      <w:r>
        <w:rPr>
          <w:b/>
          <w:sz w:val="22"/>
        </w:rPr>
      </w:r>
    </w:p>
    <w:p>
      <w:pPr>
        <w:pStyle w:val="BodyTextIndent"/>
        <w:rPr/>
      </w:pPr>
      <w:r>
        <w:rPr/>
        <w:t>(c)  Confidential information shall be identified in writing as such by the Party claiming confidentiality, and shall include the existence of this Agreement, its contents, and negotiations under this Agreement.</w:t>
      </w:r>
    </w:p>
    <w:p>
      <w:pPr>
        <w:pStyle w:val="Normal"/>
        <w:jc w:val="both"/>
        <w:rPr>
          <w:sz w:val="22"/>
        </w:rPr>
      </w:pPr>
      <w:r>
        <w:rPr>
          <w:sz w:val="22"/>
        </w:rPr>
      </w:r>
    </w:p>
    <w:p>
      <w:pPr>
        <w:pStyle w:val="Normal"/>
        <w:numPr>
          <w:ilvl w:val="0"/>
          <w:numId w:val="2"/>
        </w:numPr>
        <w:jc w:val="both"/>
        <w:rPr>
          <w:b/>
          <w:sz w:val="22"/>
        </w:rPr>
      </w:pPr>
      <w:r>
        <w:rPr>
          <w:b/>
          <w:sz w:val="22"/>
        </w:rPr>
        <w:t xml:space="preserve">Terms of marketing and option agreement.  </w:t>
      </w:r>
    </w:p>
    <w:p>
      <w:pPr>
        <w:pStyle w:val="Normal"/>
        <w:ind w:start="720" w:end="0"/>
        <w:jc w:val="both"/>
        <w:rPr>
          <w:b/>
          <w:sz w:val="22"/>
        </w:rPr>
      </w:pPr>
      <w:r>
        <w:rPr>
          <w:b/>
          <w:sz w:val="22"/>
        </w:rPr>
      </w:r>
    </w:p>
    <w:p>
      <w:pPr>
        <w:pStyle w:val="Site"/>
        <w:numPr>
          <w:ilvl w:val="0"/>
          <w:numId w:val="0"/>
        </w:numPr>
        <w:ind w:firstLine="720" w:start="0" w:end="0"/>
        <w:jc w:val="both"/>
        <w:rPr>
          <w:sz w:val="22"/>
        </w:rPr>
      </w:pPr>
      <w:r>
        <w:rPr>
          <w:sz w:val="22"/>
        </w:rPr>
        <w:t>(a) Peoples authorizes ENA to develop the Calumet and Torrence sites at ENA’s sole discretion and ongoing development expense in order to enhance the value of those sites through both an LM 6000 or ABB 11N2 development project, site sale, or otherwise. This right shall be exclusive to ENA during the Exclusivity Period.</w:t>
      </w:r>
    </w:p>
    <w:p>
      <w:pPr>
        <w:pStyle w:val="Site"/>
        <w:numPr>
          <w:ilvl w:val="0"/>
          <w:numId w:val="0"/>
        </w:numPr>
        <w:ind w:hanging="360" w:start="360" w:end="0"/>
        <w:jc w:val="both"/>
        <w:rPr>
          <w:sz w:val="22"/>
        </w:rPr>
      </w:pPr>
      <w:r>
        <w:rPr>
          <w:sz w:val="22"/>
        </w:rPr>
      </w:r>
    </w:p>
    <w:p>
      <w:pPr>
        <w:pStyle w:val="Site"/>
        <w:numPr>
          <w:ilvl w:val="0"/>
          <w:numId w:val="0"/>
        </w:numPr>
        <w:ind w:firstLine="720" w:start="0" w:end="0"/>
        <w:jc w:val="both"/>
        <w:rPr>
          <w:sz w:val="22"/>
        </w:rPr>
      </w:pPr>
      <w:r>
        <w:rPr>
          <w:sz w:val="22"/>
        </w:rPr>
        <w:t>(b) At ENA’s discretion, during the Term ENA may acquire the equity in either or both of the Calumet Power LLC and Torrence Power LLC, and the assets held by both (land, permits, etc.) at no cost to ENA.  Additionally, ENA has the exclusive option to purchase all the rights and interest in either or both of the Projects, with or without acquiring the equity in Calumet Power LLC and/or Torrence Power LLC.  [This includes the option to acquire the Torrence site from PGL for not more than $400,000 or other comparably valued and mutually agreeable lease or option terms.] The exercise price will be $1 million for the Calumet project (including the site) and $100,000 for the Torrence project (including the site). These options may be exercised at any time during the Term of this Agreement.  Enron will receive full environmental indemnities from Peoples/PGL for the site(s). Peoples further grants ENA the sole and exclusive authority to determine to proceed with a transaction concerning the Projects. If in its discretion ENA decides to proceed with a transaction concerning the Projects, paragraph (c) shall apply.</w:t>
      </w:r>
    </w:p>
    <w:p>
      <w:pPr>
        <w:pStyle w:val="Site"/>
        <w:numPr>
          <w:ilvl w:val="0"/>
          <w:numId w:val="0"/>
        </w:numPr>
        <w:ind w:hanging="0" w:start="0"/>
        <w:jc w:val="both"/>
        <w:rPr>
          <w:sz w:val="22"/>
        </w:rPr>
      </w:pPr>
      <w:r>
        <w:rPr>
          <w:sz w:val="22"/>
        </w:rPr>
      </w:r>
    </w:p>
    <w:p>
      <w:pPr>
        <w:pStyle w:val="Site"/>
        <w:numPr>
          <w:ilvl w:val="0"/>
          <w:numId w:val="0"/>
        </w:numPr>
        <w:ind w:firstLine="720" w:start="0" w:end="0"/>
        <w:jc w:val="both"/>
        <w:rPr>
          <w:sz w:val="22"/>
        </w:rPr>
      </w:pPr>
      <w:r>
        <w:rPr>
          <w:sz w:val="22"/>
        </w:rPr>
        <w:t>(c) During the Term, Peoples shall have the right to a 50% participation in Enron’s share of any power plant development or site sales agreements (or proceeds) that Enron decides to engage in prior to exercising its option(s), for the Calumet and/or Torrence projects.  If Peoples exercises its right to participate in these projects, Peoples shall share equally in Enron’s costs of developing, building, and/or selling such project and ENA will not be required to pay the purchase option exercise price described in (b) above. If Peoples declines to participate in these projects, then ENA, at its sole discretion, may exercise its option(s) and proceed with the projects.</w:t>
      </w:r>
    </w:p>
    <w:p>
      <w:pPr>
        <w:pStyle w:val="Site"/>
        <w:numPr>
          <w:ilvl w:val="0"/>
          <w:numId w:val="0"/>
        </w:numPr>
        <w:ind w:hanging="0" w:start="0"/>
        <w:jc w:val="both"/>
        <w:rPr>
          <w:sz w:val="22"/>
        </w:rPr>
      </w:pPr>
      <w:r>
        <w:rPr>
          <w:sz w:val="22"/>
        </w:rPr>
      </w:r>
    </w:p>
    <w:p>
      <w:pPr>
        <w:pStyle w:val="Site"/>
        <w:numPr>
          <w:ilvl w:val="0"/>
          <w:numId w:val="0"/>
        </w:numPr>
        <w:ind w:firstLine="360" w:start="360" w:end="0"/>
        <w:jc w:val="both"/>
        <w:rPr/>
      </w:pPr>
      <w:r>
        <w:rPr>
          <w:sz w:val="22"/>
          <w:u w:val="single"/>
        </w:rPr>
        <w:t>Power Plant Project</w:t>
      </w:r>
      <w:r>
        <w:rPr>
          <w:sz w:val="22"/>
        </w:rPr>
        <w:t xml:space="preserve"> – If prior to exercising its option(s), ENA elects to build a power plant at either or both sites, ENA will provide Peoples with a project capital [budget] and operating data for the project.  Peoples will be solely responsible for making its economic election to participate in that project based on the data provided.  ENA will provide notice to Peoples of its intent to build the project and the estimated capital and operating data for a power project and Peoples shall have a period of forty-five days from said date to elect to participate in the project.  </w:t>
      </w:r>
    </w:p>
    <w:p>
      <w:pPr>
        <w:pStyle w:val="Site"/>
        <w:numPr>
          <w:ilvl w:val="0"/>
          <w:numId w:val="0"/>
        </w:numPr>
        <w:ind w:hanging="0" w:start="0"/>
        <w:jc w:val="both"/>
        <w:rPr>
          <w:sz w:val="22"/>
        </w:rPr>
      </w:pPr>
      <w:r>
        <w:rPr>
          <w:sz w:val="22"/>
        </w:rPr>
      </w:r>
    </w:p>
    <w:p>
      <w:pPr>
        <w:pStyle w:val="Site"/>
        <w:numPr>
          <w:ilvl w:val="0"/>
          <w:numId w:val="0"/>
        </w:numPr>
        <w:ind w:firstLine="360" w:start="360" w:end="0"/>
        <w:jc w:val="both"/>
        <w:rPr/>
      </w:pPr>
      <w:r>
        <w:rPr>
          <w:sz w:val="22"/>
          <w:u w:val="single"/>
        </w:rPr>
        <w:t>Site Sales Option</w:t>
      </w:r>
      <w:r>
        <w:rPr>
          <w:sz w:val="22"/>
        </w:rPr>
        <w:t xml:space="preserve"> – If [prior to exercising its option(s)], ENA elects to sell either or both sites, ENA will provide Peoples with notice of its intent to do so and the price and general terms of the sales agreement.  Peoples will have the right to participate in the sales proceeds on an equal basis with ENA, however Peoples will share equally in ENA’s direct development expenses incurred by ENA.  Peoples will have fourteen days from the notice by ENA to determine if it will participate in the site sale and shall be solely responsible for making such election based on the data provided.</w:t>
      </w:r>
    </w:p>
    <w:p>
      <w:pPr>
        <w:pStyle w:val="Normal"/>
        <w:ind w:start="720" w:end="0"/>
        <w:jc w:val="both"/>
        <w:rPr>
          <w:sz w:val="22"/>
        </w:rPr>
      </w:pPr>
      <w:r>
        <w:rPr>
          <w:sz w:val="22"/>
        </w:rPr>
      </w:r>
    </w:p>
    <w:p>
      <w:pPr>
        <w:pStyle w:val="Normal"/>
        <w:ind w:firstLine="360" w:end="0"/>
        <w:jc w:val="both"/>
        <w:rPr>
          <w:sz w:val="22"/>
        </w:rPr>
      </w:pPr>
      <w:r>
        <w:rPr>
          <w:sz w:val="22"/>
        </w:rPr>
        <w:t xml:space="preserve">(d)  If ENA identifies a transaction to Peoples relating to the Projects, but the transaction does not close during the Term of this Agreement, then ENA shall be entitled to no less than __% of the net proceeds from the transaction [defined how?]   </w:t>
      </w:r>
    </w:p>
    <w:p>
      <w:pPr>
        <w:pStyle w:val="Normal"/>
        <w:ind w:firstLine="360" w:end="0"/>
        <w:jc w:val="both"/>
        <w:rPr>
          <w:sz w:val="22"/>
        </w:rPr>
      </w:pPr>
      <w:r>
        <w:rPr>
          <w:sz w:val="22"/>
        </w:rPr>
      </w:r>
    </w:p>
    <w:p>
      <w:pPr>
        <w:pStyle w:val="Normal"/>
        <w:ind w:firstLine="360" w:end="0"/>
        <w:jc w:val="both"/>
        <w:rPr>
          <w:sz w:val="22"/>
        </w:rPr>
      </w:pPr>
      <w:r>
        <w:rPr>
          <w:sz w:val="22"/>
        </w:rPr>
      </w:r>
    </w:p>
    <w:p>
      <w:pPr>
        <w:pStyle w:val="Normal"/>
        <w:ind w:firstLine="720" w:end="0"/>
        <w:jc w:val="both"/>
        <w:rPr/>
      </w:pPr>
      <w:r>
        <w:rPr>
          <w:sz w:val="22"/>
        </w:rPr>
        <w:t>5.</w:t>
      </w:r>
      <w:r>
        <w:rPr>
          <w:b/>
          <w:sz w:val="22"/>
        </w:rPr>
        <w:tab/>
        <w:t xml:space="preserve">Expenses.  </w:t>
      </w:r>
      <w:r>
        <w:rPr>
          <w:sz w:val="22"/>
        </w:rPr>
        <w:t>Each Party shall bear its own costs associated with negotiating and performing under this Agreement.</w:t>
      </w:r>
    </w:p>
    <w:p>
      <w:pPr>
        <w:pStyle w:val="Normal"/>
        <w:jc w:val="both"/>
        <w:rPr>
          <w:b/>
          <w:sz w:val="22"/>
        </w:rPr>
      </w:pPr>
      <w:r>
        <w:rPr>
          <w:b/>
          <w:sz w:val="22"/>
        </w:rPr>
      </w:r>
    </w:p>
    <w:p>
      <w:pPr>
        <w:pStyle w:val="Normal"/>
        <w:ind w:firstLine="720" w:end="0"/>
        <w:jc w:val="both"/>
        <w:rPr/>
      </w:pPr>
      <w:r>
        <w:rPr>
          <w:sz w:val="22"/>
        </w:rPr>
        <w:t>6.</w:t>
      </w:r>
      <w:r>
        <w:rPr>
          <w:b/>
          <w:sz w:val="22"/>
        </w:rPr>
        <w:tab/>
        <w:t xml:space="preserve">Approval.  </w:t>
      </w:r>
      <w:r>
        <w:rPr>
          <w:sz w:val="22"/>
        </w:rPr>
        <w:t>No Party shall be bound by any subsequent definitive agreements relating to the Projects until (a) such Party’s respective Board of Directors, or other governing body, shall have approved the definitive agreement, (b) such Party shall have agreed to and executed a definitive written agreement, and (c) all conditions precedent to the effectiveness of any such definitive agreements shall have been satisfied, including the obtaining of any and all requisite federal and state regulatory orders or approvals which are satisfactory in form and substance to the Parties, if such approval is required.</w:t>
      </w:r>
    </w:p>
    <w:p>
      <w:pPr>
        <w:pStyle w:val="Normal"/>
        <w:jc w:val="both"/>
        <w:rPr>
          <w:b/>
          <w:sz w:val="22"/>
        </w:rPr>
      </w:pPr>
      <w:r>
        <w:rPr>
          <w:b/>
          <w:sz w:val="22"/>
        </w:rPr>
      </w:r>
    </w:p>
    <w:p>
      <w:pPr>
        <w:pStyle w:val="Normal"/>
        <w:ind w:firstLine="720" w:end="0"/>
        <w:jc w:val="both"/>
        <w:rPr/>
      </w:pPr>
      <w:r>
        <w:rPr>
          <w:sz w:val="22"/>
        </w:rPr>
        <w:t>7.</w:t>
      </w:r>
      <w:r>
        <w:rPr>
          <w:b/>
          <w:sz w:val="22"/>
        </w:rPr>
        <w:tab/>
        <w:t xml:space="preserve">Entire Agreement.  </w:t>
      </w:r>
      <w:r>
        <w:rPr>
          <w:sz w:val="22"/>
        </w:rPr>
        <w:t xml:space="preserve">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  A Party may only waive a provision of this Agreement in writing; provided, however, that Paragraphs 6 and 9 of this Agreement may not be waived under any circumstances.  No failure to exercise, no delay in exercising, and no course of dealing or trade custom with respect to, any provision of this Agreement shall waive such provision. </w:t>
      </w:r>
    </w:p>
    <w:p>
      <w:pPr>
        <w:pStyle w:val="Normal"/>
        <w:jc w:val="both"/>
        <w:rPr>
          <w:sz w:val="22"/>
        </w:rPr>
      </w:pPr>
      <w:r>
        <w:rPr>
          <w:sz w:val="22"/>
        </w:rPr>
      </w:r>
    </w:p>
    <w:p>
      <w:pPr>
        <w:pStyle w:val="Normal"/>
        <w:ind w:firstLine="720" w:end="0"/>
        <w:jc w:val="both"/>
        <w:rPr/>
      </w:pPr>
      <w:r>
        <w:rPr>
          <w:sz w:val="22"/>
        </w:rPr>
        <w:t>8.</w:t>
      </w:r>
      <w:r>
        <w:rPr>
          <w:b/>
          <w:sz w:val="22"/>
        </w:rPr>
        <w:tab/>
        <w:t>Governing Law.</w:t>
      </w:r>
      <w:r>
        <w:rPr>
          <w:sz w:val="22"/>
        </w:rPr>
        <w:t xml:space="preserve">  THIS AGREEMENT SHALL BE GOVERNED BY AND CONSTRUED IN ACCORDANCE WITH THE LAWS OF THE STATE OF [TEXAS], WITHOUT GIVING EFFECT TO CONFLICT OF LAWS PRINCIPLES.</w:t>
      </w:r>
    </w:p>
    <w:p>
      <w:pPr>
        <w:pStyle w:val="Normal"/>
        <w:jc w:val="both"/>
        <w:rPr>
          <w:sz w:val="22"/>
        </w:rPr>
      </w:pPr>
      <w:r>
        <w:rPr>
          <w:sz w:val="22"/>
        </w:rPr>
      </w:r>
    </w:p>
    <w:p>
      <w:pPr>
        <w:pStyle w:val="Normal"/>
        <w:ind w:firstLine="720" w:end="0"/>
        <w:jc w:val="both"/>
        <w:rPr>
          <w:sz w:val="22"/>
        </w:rPr>
      </w:pPr>
      <w:r>
        <w:rPr>
          <w:sz w:val="22"/>
        </w:rPr>
        <w:t>9.</w:t>
      </w:r>
      <w:r>
        <w:rPr>
          <w:b/>
          <w:sz w:val="22"/>
        </w:rPr>
        <w:tab/>
        <w:t>NON-INCLUSIVE; NON-BINDING.  [EXCEPT FOR THE EXCLUSIVE MARKETING RIGHTS GRANTED IN PARAGRAPH 4 (a)] THIS AGREEMENT DOES NOT CONTAIN ALL MATTERS UPON WHICH AGREEMENT MUST BE REACHED IN ORDER FOR THE PROJECT TO BE COMPLETED.  THIS AGREEMENT: (1) IS MERELY INTENDED TO EXPRESS THE DESIRE OF THE PARTIES TO NEGOTIATE A TRANSACTION THAT WILL BE FINALIZED IN A WRITTEN AGREEMENT AT A FUTURE TIME; (2) DOES NOT CREATE AND IS NOT INTENDED TO CREATE A BINDING AND ENFORCEABLE CONTRACT BETWEEN THE PARTIES WITH RESPECT TO THE PROVISIONS OF  THIS AGREEMENT; AND (3) MAY NOT BE RELIED UPON BY A PARTY AS THE BASIS FOR A CONTRACT BY ESTOPPEL OR OTHERWISE.  A BINDING COMMITMENT WITH RESPECT TO THE PROJECT CAN ONLY RESULT FROM THE EXECUTION AND DELIVERY OF DEFINITIVE AGREEMENTS.  THE PARTIES AGREE THAT THEY HAVE HAD THE BENEFIT OF COUNSEL IN PREPARING THIS AGREEMENT, AND THEY FURTHER AGREE THAT NO ACTIONS ON THE PART OF EITHER PARTY SHALL BE DEEMED TO RENDER THIS AGREEMENT A BINDING OBLIGATION WITH RESPECT TO THE PROVISIONS CONTAINED IN HEREIN AND THE SUBJECT MATTER OF THE PROJECT.</w:t>
      </w:r>
    </w:p>
    <w:p>
      <w:pPr>
        <w:pStyle w:val="Normal"/>
        <w:jc w:val="both"/>
        <w:rPr>
          <w:sz w:val="22"/>
        </w:rPr>
      </w:pPr>
      <w:r>
        <w:rPr>
          <w:sz w:val="22"/>
        </w:rPr>
      </w:r>
    </w:p>
    <w:p>
      <w:pPr>
        <w:pStyle w:val="Normal"/>
        <w:ind w:firstLine="720" w:end="0"/>
        <w:jc w:val="both"/>
        <w:rPr/>
      </w:pPr>
      <w:r>
        <w:rPr>
          <w:sz w:val="22"/>
        </w:rPr>
        <w:t>10.</w:t>
      </w:r>
      <w:r>
        <w:rPr>
          <w:b/>
          <w:sz w:val="22"/>
        </w:rPr>
        <w:tab/>
        <w:t>Relationship of the Parties.</w:t>
      </w:r>
      <w:r>
        <w:rPr>
          <w:sz w:val="22"/>
        </w:rPr>
        <w:t xml:space="preserve">  The Parties shall not be deemed in a relationship of partners or joint venturers by virtue of this Agreement, nor shall either Party be an agent, representative, trustee or fiduciary of the other.  Neither Peoples nor ENA shall have any authority to bind the other to any agreement concerning the Projects.</w:t>
        <w:tab/>
      </w:r>
    </w:p>
    <w:p>
      <w:pPr>
        <w:pStyle w:val="Normal"/>
        <w:jc w:val="both"/>
        <w:rPr>
          <w:sz w:val="22"/>
        </w:rPr>
      </w:pPr>
      <w:r>
        <w:rPr>
          <w:sz w:val="22"/>
        </w:rPr>
      </w:r>
    </w:p>
    <w:p>
      <w:pPr>
        <w:pStyle w:val="Normal"/>
        <w:ind w:firstLine="720" w:end="0"/>
        <w:jc w:val="both"/>
        <w:rPr/>
      </w:pPr>
      <w:r>
        <w:rPr>
          <w:sz w:val="22"/>
        </w:rPr>
        <w:t>11.</w:t>
      </w:r>
      <w:r>
        <w:rPr>
          <w:b/>
          <w:sz w:val="22"/>
        </w:rPr>
        <w:tab/>
        <w:t>Binding Arbitration.</w:t>
      </w:r>
      <w:r>
        <w:rPr>
          <w:sz w:val="22"/>
        </w:rPr>
        <w:t xml:space="preserve">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the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 [TRACK PDA.]</w:t>
      </w:r>
    </w:p>
    <w:p>
      <w:pPr>
        <w:pStyle w:val="Normal"/>
        <w:jc w:val="both"/>
        <w:rPr>
          <w:sz w:val="22"/>
        </w:rPr>
      </w:pPr>
      <w:r>
        <w:rPr>
          <w:sz w:val="22"/>
        </w:rPr>
      </w:r>
    </w:p>
    <w:p>
      <w:pPr>
        <w:pStyle w:val="Normal"/>
        <w:ind w:firstLine="720" w:end="0"/>
        <w:jc w:val="both"/>
        <w:rPr>
          <w:sz w:val="22"/>
        </w:rPr>
      </w:pPr>
      <w:r>
        <w:rPr>
          <w:sz w:val="22"/>
        </w:rPr>
        <w:t>12.</w:t>
        <w:tab/>
      </w:r>
      <w:r>
        <w:rPr>
          <w:b/>
          <w:sz w:val="22"/>
        </w:rPr>
        <w:t>LIMITATION OF LIABILITY.  NOTWITHSTANDING ANYTHING HEREIN TO THE CONTRARY, NEITHER ENA NOR PEOPLES, NOR THEIR RESPECTIVE DIRECTORS, OFFICERS, SHAREHOLDERS, MANAGERS, AFFILIATES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WILLFUL BREACH OR SOLE NEGLIGENCE.</w:t>
      </w:r>
    </w:p>
    <w:p>
      <w:pPr>
        <w:pStyle w:val="Normal"/>
        <w:ind w:firstLine="720" w:end="0"/>
        <w:jc w:val="both"/>
        <w:rPr>
          <w:sz w:val="22"/>
        </w:rPr>
      </w:pPr>
      <w:r>
        <w:rPr>
          <w:sz w:val="22"/>
        </w:rPr>
      </w:r>
    </w:p>
    <w:p>
      <w:pPr>
        <w:pStyle w:val="Normal"/>
        <w:ind w:firstLine="720" w:end="0"/>
        <w:jc w:val="both"/>
        <w:rPr/>
      </w:pPr>
      <w:r>
        <w:rPr>
          <w:sz w:val="22"/>
        </w:rPr>
        <w:t>13.</w:t>
        <w:tab/>
      </w:r>
      <w:r>
        <w:rPr>
          <w:b/>
          <w:sz w:val="22"/>
        </w:rPr>
        <w:t>Assignment.</w:t>
      </w:r>
      <w:r>
        <w:rPr>
          <w:sz w:val="22"/>
        </w:rPr>
        <w:t xml:space="preserve">  Neither Party may assign this Agreement without the prior written approval of the other Party, which approval shall not be unreasonably withheld or delayed.  Notwithstanding the foregoing, however, ENA may assign its obligations hereunder to any of its affiliates.  </w:t>
      </w:r>
    </w:p>
    <w:p>
      <w:pPr>
        <w:pStyle w:val="Normal"/>
        <w:ind w:firstLine="720" w:end="0"/>
        <w:jc w:val="both"/>
        <w:rPr>
          <w:sz w:val="22"/>
        </w:rPr>
      </w:pPr>
      <w:r>
        <w:rPr>
          <w:sz w:val="22"/>
        </w:rPr>
      </w:r>
    </w:p>
    <w:p>
      <w:pPr>
        <w:pStyle w:val="Normal"/>
        <w:jc w:val="both"/>
        <w:rPr>
          <w:sz w:val="22"/>
        </w:rPr>
      </w:pPr>
      <w:r>
        <w:rPr>
          <w:sz w:val="22"/>
        </w:rPr>
        <w:t>If the provisions of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Very truly yours,</w:t>
      </w:r>
    </w:p>
    <w:p>
      <w:pPr>
        <w:pStyle w:val="Normal"/>
        <w:jc w:val="both"/>
        <w:rPr>
          <w:sz w:val="22"/>
        </w:rPr>
      </w:pPr>
      <w:r>
        <w:rPr>
          <w:sz w:val="22"/>
        </w:rPr>
      </w:r>
    </w:p>
    <w:p>
      <w:pPr>
        <w:pStyle w:val="Normal"/>
        <w:jc w:val="both"/>
        <w:rPr>
          <w:b/>
          <w:sz w:val="22"/>
          <w:u w:val="single"/>
        </w:rPr>
      </w:pPr>
      <w:r>
        <w:rPr>
          <w:b/>
          <w:sz w:val="22"/>
        </w:rPr>
        <w:t>ENRON NORTH AMERICA CORP.</w:t>
      </w:r>
    </w:p>
    <w:p>
      <w:pPr>
        <w:pStyle w:val="Normal"/>
        <w:jc w:val="both"/>
        <w:rPr>
          <w:b/>
          <w:sz w:val="22"/>
          <w:u w:val="single"/>
        </w:rPr>
      </w:pPr>
      <w:r>
        <w:rPr>
          <w:b/>
          <w:sz w:val="22"/>
          <w:u w:val="single"/>
        </w:rPr>
      </w:r>
    </w:p>
    <w:p>
      <w:pPr>
        <w:pStyle w:val="Normal"/>
        <w:jc w:val="both"/>
        <w:rPr>
          <w:sz w:val="22"/>
        </w:rPr>
      </w:pPr>
      <w:r>
        <w:rPr>
          <w:sz w:val="22"/>
        </w:rPr>
        <w:t>By:</w:t>
      </w:r>
      <w:r>
        <w:rPr>
          <w:sz w:val="22"/>
          <w:u w:val="single"/>
        </w:rPr>
        <w:tab/>
        <w:tab/>
        <w:tab/>
        <w:tab/>
        <w:tab/>
        <w:tab/>
      </w:r>
    </w:p>
    <w:p>
      <w:pPr>
        <w:pStyle w:val="Normal"/>
        <w:jc w:val="both"/>
        <w:rPr>
          <w:sz w:val="22"/>
        </w:rPr>
      </w:pPr>
      <w:r>
        <w:rPr>
          <w:sz w:val="22"/>
        </w:rPr>
        <w:t>Printed Name:</w:t>
      </w:r>
      <w:r>
        <w:rPr>
          <w:sz w:val="22"/>
          <w:u w:val="single"/>
        </w:rPr>
        <w:tab/>
        <w:tab/>
        <w:tab/>
        <w:tab/>
        <w:tab/>
      </w:r>
    </w:p>
    <w:p>
      <w:pPr>
        <w:pStyle w:val="Normal"/>
        <w:jc w:val="both"/>
        <w:rPr>
          <w:sz w:val="22"/>
        </w:rPr>
      </w:pPr>
      <w:r>
        <w:rPr>
          <w:sz w:val="22"/>
        </w:rPr>
        <w:t>Title:</w:t>
      </w:r>
      <w:r>
        <w:rPr>
          <w:sz w:val="22"/>
          <w:u w:val="single"/>
        </w:rPr>
        <w:tab/>
        <w:tab/>
        <w:tab/>
        <w:tab/>
        <w:tab/>
        <w:tab/>
      </w:r>
    </w:p>
    <w:p>
      <w:pPr>
        <w:pStyle w:val="Normal"/>
        <w:jc w:val="both"/>
        <w:rPr>
          <w:sz w:val="22"/>
        </w:rPr>
      </w:pPr>
      <w:r>
        <w:rPr>
          <w:sz w:val="22"/>
        </w:rPr>
      </w:r>
    </w:p>
    <w:p>
      <w:pPr>
        <w:pStyle w:val="Normal"/>
        <w:jc w:val="both"/>
        <w:rPr>
          <w:sz w:val="22"/>
        </w:rPr>
      </w:pPr>
      <w:r>
        <w:rPr>
          <w:sz w:val="22"/>
        </w:rPr>
      </w:r>
    </w:p>
    <w:p>
      <w:pPr>
        <w:pStyle w:val="Normal"/>
        <w:jc w:val="both"/>
        <w:rPr>
          <w:b/>
          <w:sz w:val="22"/>
        </w:rPr>
      </w:pPr>
      <w:r>
        <w:rPr>
          <w:b/>
          <w:sz w:val="22"/>
        </w:rPr>
        <w:t>Acknowledged, Agreed to and Accepted,</w:t>
      </w:r>
    </w:p>
    <w:p>
      <w:pPr>
        <w:pStyle w:val="Normal"/>
        <w:keepNext w:val="true"/>
        <w:keepLines/>
        <w:jc w:val="both"/>
        <w:rPr>
          <w:b/>
          <w:sz w:val="22"/>
        </w:rPr>
      </w:pPr>
      <w:r>
        <w:rPr>
          <w:b/>
          <w:sz w:val="22"/>
        </w:rPr>
        <w:t>this ____ day of __________, ____:</w:t>
      </w:r>
    </w:p>
    <w:p>
      <w:pPr>
        <w:pStyle w:val="Normal"/>
        <w:keepNext w:val="true"/>
        <w:keepLines/>
        <w:jc w:val="both"/>
        <w:rPr>
          <w:b/>
          <w:sz w:val="22"/>
        </w:rPr>
      </w:pPr>
      <w:r>
        <w:rPr>
          <w:b/>
          <w:sz w:val="22"/>
        </w:rPr>
      </w:r>
    </w:p>
    <w:p>
      <w:pPr>
        <w:pStyle w:val="Normal"/>
        <w:keepNext w:val="true"/>
        <w:keepLines/>
        <w:jc w:val="both"/>
        <w:rPr>
          <w:sz w:val="22"/>
        </w:rPr>
      </w:pPr>
      <w:r>
        <w:rPr>
          <w:sz w:val="22"/>
        </w:rPr>
      </w:r>
    </w:p>
    <w:p>
      <w:pPr>
        <w:pStyle w:val="Normal"/>
        <w:keepNext w:val="true"/>
        <w:keepLines/>
        <w:jc w:val="both"/>
        <w:rPr>
          <w:sz w:val="22"/>
        </w:rPr>
      </w:pPr>
      <w:r>
        <w:rPr>
          <w:sz w:val="22"/>
        </w:rPr>
        <w:t>By:</w:t>
      </w:r>
      <w:r>
        <w:rPr>
          <w:sz w:val="22"/>
          <w:u w:val="single"/>
        </w:rPr>
        <w:tab/>
        <w:tab/>
        <w:tab/>
        <w:tab/>
        <w:tab/>
        <w:tab/>
      </w:r>
    </w:p>
    <w:p>
      <w:pPr>
        <w:pStyle w:val="Normal"/>
        <w:keepNext w:val="true"/>
        <w:keepLines/>
        <w:jc w:val="both"/>
        <w:rPr/>
      </w:pPr>
      <w:r>
        <w:rPr>
          <w:sz w:val="22"/>
        </w:rPr>
        <w:t>Printed Name:</w:t>
      </w:r>
      <w:r>
        <w:rPr>
          <w:sz w:val="22"/>
          <w:u w:val="single"/>
        </w:rPr>
        <w:tab/>
        <w:tab/>
        <w:tab/>
        <w:tab/>
        <w:tab/>
      </w:r>
    </w:p>
    <w:p>
      <w:pPr>
        <w:pStyle w:val="Normal"/>
        <w:keepNext w:val="true"/>
        <w:keepLines/>
        <w:jc w:val="both"/>
        <w:rPr/>
      </w:pPr>
      <w:r>
        <w:rPr>
          <w:sz w:val="22"/>
        </w:rPr>
        <w:t>Title:</w:t>
      </w:r>
      <w:r>
        <w:rPr>
          <w:sz w:val="22"/>
          <w:u w:val="single"/>
        </w:rPr>
        <w:tab/>
        <w:tab/>
        <w:tab/>
        <w:tab/>
        <w:tab/>
        <w:tab/>
      </w:r>
    </w:p>
    <w:p>
      <w:pPr>
        <w:pStyle w:val="Normal"/>
        <w:jc w:val="both"/>
        <w:rPr>
          <w:sz w:val="22"/>
          <w:u w:val="single"/>
        </w:rPr>
      </w:pPr>
      <w:r>
        <w:rPr>
          <w:sz w:val="22"/>
          <w:u w:val="single"/>
        </w:rPr>
      </w:r>
    </w:p>
    <w:p>
      <w:pPr>
        <w:pStyle w:val="Normal"/>
        <w:jc w:val="both"/>
        <w:rPr>
          <w:sz w:val="22"/>
          <w:u w:val="single"/>
        </w:rPr>
      </w:pPr>
      <w:r>
        <w:rPr>
          <w:sz w:val="22"/>
          <w:u w:val="single"/>
        </w:rPr>
        <w:t>NEED MORE SIGNATURE BLOCKS</w:t>
      </w:r>
    </w:p>
    <w:p>
      <w:pPr>
        <w:pStyle w:val="Normal"/>
        <w:jc w:val="both"/>
        <w:rPr>
          <w:sz w:val="22"/>
          <w:u w:val="single"/>
        </w:rPr>
      </w:pPr>
      <w:r>
        <w:rPr>
          <w:sz w:val="22"/>
          <w:u w:val="single"/>
        </w:rPr>
      </w:r>
    </w:p>
    <w:p>
      <w:pPr>
        <w:pStyle w:val="Normal"/>
        <w:jc w:val="both"/>
        <w:rPr>
          <w:b/>
          <w:bCs/>
          <w:sz w:val="22"/>
          <w:u w:val="single"/>
        </w:rPr>
      </w:pPr>
      <w:r>
        <w:rPr>
          <w:b/>
          <w:bCs/>
          <w:sz w:val="22"/>
          <w:u w:val="single"/>
        </w:rPr>
        <w:t>Questions:</w:t>
      </w:r>
    </w:p>
    <w:p>
      <w:pPr>
        <w:pStyle w:val="Normal"/>
        <w:jc w:val="both"/>
        <w:rPr>
          <w:b/>
          <w:bCs/>
          <w:sz w:val="22"/>
          <w:u w:val="single"/>
        </w:rPr>
      </w:pPr>
      <w:r>
        <w:rPr>
          <w:b/>
          <w:bCs/>
          <w:sz w:val="22"/>
          <w:u w:val="single"/>
        </w:rPr>
      </w:r>
    </w:p>
    <w:p>
      <w:pPr>
        <w:pStyle w:val="Normal"/>
        <w:jc w:val="both"/>
        <w:rPr>
          <w:b/>
          <w:bCs/>
          <w:sz w:val="22"/>
        </w:rPr>
      </w:pPr>
      <w:r>
        <w:rPr>
          <w:b/>
          <w:bCs/>
          <w:sz w:val="22"/>
        </w:rPr>
        <w:t>Can ENA exercise options unilaterally, then develop a power project or sell the site(s) without PERC having a right to participate? I’m thinking that isn’t the intent, but I want to check.  In other words, is the identification of a transaction and giving PERC rights to it a prerequisite to exercising our option?</w:t>
      </w:r>
    </w:p>
    <w:p>
      <w:pPr>
        <w:pStyle w:val="Normal"/>
        <w:jc w:val="both"/>
        <w:rPr>
          <w:b/>
          <w:bCs/>
          <w:sz w:val="22"/>
        </w:rPr>
      </w:pPr>
      <w:r>
        <w:rPr>
          <w:b/>
          <w:bCs/>
          <w:sz w:val="22"/>
        </w:rPr>
      </w:r>
    </w:p>
    <w:p>
      <w:pPr>
        <w:pStyle w:val="Normal"/>
        <w:jc w:val="both"/>
        <w:rPr>
          <w:b/>
          <w:bCs/>
          <w:sz w:val="22"/>
        </w:rPr>
      </w:pPr>
      <w:r>
        <w:rPr>
          <w:b/>
          <w:bCs/>
          <w:sz w:val="22"/>
        </w:rPr>
        <w:t>I haven’t dealt with the turbine sale as a condition precedent.  I’ve left a placeholder under termination so we can add a termination right for PERC if we don’t buy the ABB turbines.  We’ve also discussed addressing a deal which gets done before the turbine deal closes.  The idea being that we might get x% at the closing of the project deal, then the remainder later. What happens if it is a deal Peoples doesn’t want to do and we haven’t yet bought the turbines?  Do we still have the exclusive right to go forward with it?</w:t>
      </w:r>
    </w:p>
    <w:p>
      <w:pPr>
        <w:pStyle w:val="Normal"/>
        <w:jc w:val="both"/>
        <w:rPr>
          <w:b/>
          <w:bCs/>
          <w:sz w:val="22"/>
        </w:rPr>
      </w:pPr>
      <w:r>
        <w:rPr>
          <w:b/>
          <w:bCs/>
          <w:sz w:val="22"/>
        </w:rPr>
      </w:r>
    </w:p>
    <w:p>
      <w:pPr>
        <w:pStyle w:val="Normal"/>
        <w:jc w:val="both"/>
        <w:rPr>
          <w:sz w:val="22"/>
        </w:rPr>
      </w:pPr>
      <w:r>
        <w:rPr>
          <w:sz w:val="22"/>
        </w:rPr>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LOImarketing.doc</w:t>
    </w:r>
    <w:r>
      <w:rPr>
        <w:sz w:val="14"/>
      </w:rPr>
      <w:fldChar w:fldCharType="end"/>
    </w:r>
    <w:r>
      <w:rPr>
        <w:sz w:val="14"/>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4"/>
      </w:rPr>
      <w:t>Legal/Ehearn/Agreements/</w:t>
    </w:r>
    <w:r>
      <w:rPr>
        <w:sz w:val="14"/>
      </w:rPr>
      <w:fldChar w:fldCharType="begin"/>
    </w:r>
    <w:r>
      <w:rPr>
        <w:sz w:val="14"/>
      </w:rPr>
      <w:instrText xml:space="preserve"> FILENAME </w:instrText>
    </w:r>
    <w:r>
      <w:rPr>
        <w:sz w:val="14"/>
      </w:rPr>
      <w:fldChar w:fldCharType="separate"/>
    </w:r>
    <w:r>
      <w:rPr>
        <w:sz w:val="14"/>
      </w:rPr>
      <w:t>LOImarketing.doc</w:t>
    </w:r>
    <w:r>
      <w:rPr>
        <w:sz w:val="14"/>
      </w:rPr>
      <w:fldChar w:fldCharType="end"/>
    </w: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left" w:pos="-3330" w:leader="none"/>
        <w:tab w:val="center" w:pos="4320" w:leader="none"/>
        <w:tab w:val="right" w:pos="9540" w:leader="none"/>
      </w:tabs>
      <w:jc w:val="both"/>
      <w:rPr/>
    </w:pPr>
    <w:r>
      <w:rPr>
        <w:sz w:val="22"/>
      </w:rPr>
      <w:tab/>
      <w:tab/>
    </w:r>
    <w:r>
      <w:rPr>
        <w:b/>
      </w:rPr>
      <w:t>DRAFT: October 19, 1998</w:t>
    </w:r>
  </w:p>
  <w:p>
    <w:pPr>
      <w:pStyle w:val="Header"/>
      <w:tabs>
        <w:tab w:val="clear" w:pos="8640"/>
        <w:tab w:val="center" w:pos="4320" w:leader="none"/>
        <w:tab w:val="right" w:pos="9630" w:leader="none"/>
      </w:tabs>
      <w:jc w:val="end"/>
      <w:rPr>
        <w:b/>
      </w:rPr>
    </w:pPr>
    <w:r>
      <w:rPr>
        <w:b/>
      </w:rPr>
      <w:t xml:space="preserve">For Internal ENA Review and </w:t>
    </w:r>
  </w:p>
  <w:p>
    <w:pPr>
      <w:pStyle w:val="Header"/>
      <w:tabs>
        <w:tab w:val="clear" w:pos="8640"/>
        <w:tab w:val="center" w:pos="4320" w:leader="none"/>
        <w:tab w:val="right" w:pos="9630" w:leader="none"/>
      </w:tabs>
      <w:jc w:val="end"/>
      <w:rPr>
        <w:sz w:val="22"/>
      </w:rPr>
    </w:pPr>
    <w:r>
      <w:rPr>
        <w:b/>
      </w:rPr>
      <w:t>Discussion Purposes Only</w:t>
    </w:r>
  </w:p>
  <w:p>
    <w:pPr>
      <w:pStyle w:val="Header"/>
      <w:rPr>
        <w:sz w:val="22"/>
      </w:rPr>
    </w:pPr>
    <w:r>
      <w:rPr>
        <w:sz w:val="22"/>
      </w:rPr>
      <w:fldChar w:fldCharType="begin"/>
    </w:r>
    <w:r>
      <w:rPr>
        <w:sz w:val="22"/>
      </w:rPr>
      <w:instrText xml:space="preserve"> DATE \@"MMMM\ d', 'yyyy" </w:instrText>
    </w:r>
    <w:r>
      <w:rPr>
        <w:sz w:val="22"/>
      </w:rPr>
      <w:fldChar w:fldCharType="separate"/>
    </w:r>
    <w:r>
      <w:rPr>
        <w:sz w:val="22"/>
      </w:rPr>
      <w:t>September 28, 2025</w:t>
    </w:r>
    <w:r>
      <w:rPr>
        <w:sz w:val="22"/>
      </w:rPr>
      <w:fldChar w:fldCharType="end"/>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5</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left" w:pos="-3330" w:leader="none"/>
        <w:tab w:val="right" w:pos="9540" w:leader="none"/>
      </w:tabs>
      <w:jc w:val="both"/>
      <w:rPr>
        <w:b/>
      </w:rPr>
    </w:pPr>
    <w:r>
      <w:rPr>
        <w:b/>
      </w:rPr>
      <w:tab/>
      <w:t>DRAFT: October 19, 1998</w:t>
    </w:r>
  </w:p>
  <w:p>
    <w:pPr>
      <w:pStyle w:val="Header"/>
      <w:tabs>
        <w:tab w:val="clear" w:pos="4320"/>
        <w:tab w:val="clear" w:pos="8640"/>
        <w:tab w:val="right" w:pos="9540" w:leader="none"/>
        <w:tab w:val="right" w:pos="9630" w:leader="none"/>
      </w:tabs>
      <w:jc w:val="end"/>
      <w:rPr>
        <w:b/>
      </w:rPr>
    </w:pPr>
    <w:r>
      <w:rPr>
        <w:b/>
      </w:rPr>
      <w:t>For Internal ENA Review and Discussion 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4"/>
      <w:numFmt w:val="decimal"/>
      <w:lvlText w:val="%1."/>
      <w:lvlJc w:val="start"/>
      <w:pPr>
        <w:tabs>
          <w:tab w:val="num" w:pos="1440"/>
        </w:tabs>
        <w:ind w:start="1440" w:hanging="720"/>
      </w:pPr>
      <w:rPr>
        <w:b w:val="false"/>
      </w:rPr>
    </w:lvl>
  </w:abstractNum>
  <w:abstractNum w:abstractNumId="3">
    <w:lvl w:ilvl="0">
      <w:start w:val="1"/>
      <w:numFmt w:val="bullet"/>
      <w:lvlText w:val=""/>
      <w:lvlJc w:val="start"/>
      <w:pPr>
        <w:tabs>
          <w:tab w:val="num" w:pos="360"/>
        </w:tabs>
        <w:ind w:start="360" w:hanging="360"/>
      </w:pPr>
      <w:rPr>
        <w:rFonts w:ascii="Symbol" w:hAnsi="Symbol" w:cs="Symbol" w:hint="default"/>
        <w:sz w:val="24"/>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both"/>
      <w:outlineLvl w:val="0"/>
    </w:pPr>
    <w:rPr>
      <w:sz w:val="28"/>
    </w:rPr>
  </w:style>
  <w:style w:type="character" w:styleId="WW8Num1z0">
    <w:name w:val="WW8Num1z0"/>
    <w:qFormat/>
    <w:rPr>
      <w:rFonts w:ascii="Times New Roman" w:hAnsi="Times New Roman" w:cs="Times New Roman"/>
      <w:b w:val="false"/>
      <w:i w:val="false"/>
      <w:sz w:val="22"/>
      <w:u w:val="none"/>
    </w:rPr>
  </w:style>
  <w:style w:type="character" w:styleId="WW8Num2z0">
    <w:name w:val="WW8Num2z0"/>
    <w:qFormat/>
    <w:rPr>
      <w:b w:val="false"/>
    </w:rPr>
  </w:style>
  <w:style w:type="character" w:styleId="WW8Num3z0">
    <w:name w:val="WW8Num3z0"/>
    <w:qFormat/>
    <w:rPr>
      <w:rFonts w:ascii="Symbol" w:hAnsi="Symbol" w:cs="Symbol"/>
      <w:sz w:val="24"/>
    </w:rPr>
  </w:style>
  <w:style w:type="character" w:styleId="WW8Num4z0">
    <w:name w:val="WW8Num4z0"/>
    <w:qFormat/>
    <w:rPr>
      <w:rFonts w:ascii="Times New Roman" w:hAnsi="Times New Roman" w:cs="Times New Roman"/>
      <w:b w:val="false"/>
      <w:i w:val="false"/>
      <w:sz w:val="22"/>
      <w:u w:val="none"/>
    </w:rPr>
  </w:style>
  <w:style w:type="character" w:styleId="WW8Num5z0">
    <w:name w:val="WW8Num5z0"/>
    <w:qFormat/>
    <w:rPr>
      <w:rFonts w:ascii="Times New Roman" w:hAnsi="Times New Roman" w:cs="Times New Roman"/>
      <w:b w:val="false"/>
      <w:i w:val="false"/>
      <w:sz w:val="22"/>
      <w:u w:val="none"/>
    </w:rPr>
  </w:style>
  <w:style w:type="character" w:styleId="DefaultParagraphFont">
    <w:name w:val="Default Paragraph Font"/>
    <w:qFormat/>
    <w:rPr/>
  </w:style>
  <w:style w:type="character" w:styleId="PageNumber">
    <w:name w:val="page number"/>
    <w:basedOn w:val="DefaultParagraphFont"/>
    <w:rPr/>
  </w:style>
  <w:style w:type="character" w:styleId="Emphasis">
    <w:name w:val="Emphasis"/>
    <w:basedOn w:val="DefaultParagraphFont"/>
    <w:qFormat/>
    <w:rPr>
      <w:i/>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Site">
    <w:name w:val="Site"/>
    <w:basedOn w:val="Normal"/>
    <w:qFormat/>
    <w:pPr>
      <w:numPr>
        <w:ilvl w:val="0"/>
        <w:numId w:val="3"/>
      </w:numPr>
    </w:pPr>
    <w:rPr/>
  </w:style>
  <w:style w:type="paragraph" w:styleId="BodyTextIndent">
    <w:name w:val="Body Text Indent"/>
    <w:basedOn w:val="Normal"/>
    <w:pPr>
      <w:ind w:firstLine="720" w:start="0" w:end="0"/>
      <w:jc w:val="both"/>
    </w:pPr>
    <w:rPr>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156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2000-07-10T11:15:00Z</dcterms:created>
  <dc:creator>ECT</dc:creator>
  <dc:description/>
  <dc:language>en-CA</dc:language>
  <cp:lastModifiedBy>kmann</cp:lastModifiedBy>
  <cp:lastPrinted>2000-07-10T11:19:00Z</cp:lastPrinted>
  <dcterms:modified xsi:type="dcterms:W3CDTF">2000-07-10T13:51:00Z</dcterms:modified>
  <cp:revision>3</cp:revision>
  <dc:subject/>
  <dc:title>[ECT Letterhead]</dc:title>
</cp:coreProperties>
</file>