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DRAFT AUGUST 29, 2000</w:t>
      </w:r>
    </w:p>
    <w:p>
      <w:pPr>
        <w:pStyle w:val="Normal"/>
        <w:jc w:val="both"/>
        <w:rPr/>
      </w:pPr>
      <w:r>
        <w:rPr/>
      </w:r>
    </w:p>
    <w:p>
      <w:pPr>
        <w:pStyle w:val="Normal"/>
        <w:jc w:val="both"/>
        <w:rPr/>
      </w:pPr>
      <w:r>
        <w:rPr/>
      </w:r>
    </w:p>
    <w:p>
      <w:pPr>
        <w:pStyle w:val="Normal"/>
        <w:jc w:val="both"/>
        <w:rPr/>
      </w:pPr>
      <w:r>
        <w:rPr/>
      </w:r>
    </w:p>
    <w:p>
      <w:pPr>
        <w:pStyle w:val="Normal"/>
        <w:jc w:val="both"/>
        <w:rPr/>
      </w:pPr>
      <w:r>
        <w:rPr/>
        <w:t>This letter of intent (“Agreement”), effective when executed by all the parties hereto, will evidence the current mutual intent Enron North America Corp., (“ENA”) to sell all rights, title and interest in certain equipment (“the Equipment”) to Enron South America (“ESA) (together, the “Transaction”).  ENA and ESA are sometimes referred to individually as a “Party” and collectively as the “Parties.”</w:t>
      </w:r>
    </w:p>
    <w:p>
      <w:pPr>
        <w:pStyle w:val="Normal"/>
        <w:jc w:val="both"/>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agree as follows.</w:t>
      </w:r>
    </w:p>
    <w:p>
      <w:pPr>
        <w:pStyle w:val="Normal"/>
        <w:rPr/>
      </w:pPr>
      <w:r>
        <w:rPr/>
      </w:r>
    </w:p>
    <w:p>
      <w:pPr>
        <w:pStyle w:val="Normal"/>
        <w:rPr>
          <w:b/>
          <w:bCs/>
        </w:rPr>
      </w:pPr>
      <w:r>
        <w:rPr>
          <w:b/>
          <w:bCs/>
        </w:rPr>
        <w:t>Background.</w:t>
      </w:r>
    </w:p>
    <w:p>
      <w:pPr>
        <w:pStyle w:val="Normal"/>
        <w:tabs>
          <w:tab w:val="clear" w:pos="720"/>
          <w:tab w:val="left" w:pos="1440" w:leader="none"/>
        </w:tabs>
        <w:jc w:val="both"/>
        <w:rPr/>
      </w:pPr>
      <w:r>
        <w:rPr/>
        <w:t>ENA has entered into a structured bridge financing transaction with WestLB to finance the purchase of the certain power generation equipment.  In accordance with the terms of this financing arrangement, WestLB has entered into equipment purchase agreements with GE and ABB, with ENA acting as WestLB’s agent.  The Parties desire to memorialize their agreement concerning the assignment and assumption of certain rights and obligations under these agreements, while preserving ENA’s accounting treatment of the underlying transactions.</w:t>
      </w:r>
    </w:p>
    <w:p>
      <w:pPr>
        <w:pStyle w:val="Normal"/>
        <w:rPr/>
      </w:pPr>
      <w:r>
        <w:rPr/>
      </w:r>
    </w:p>
    <w:p>
      <w:pPr>
        <w:pStyle w:val="Normal"/>
        <w:jc w:val="both"/>
        <w:rPr>
          <w:b/>
          <w:bCs/>
        </w:rPr>
      </w:pPr>
      <w:r>
        <w:rPr>
          <w:b/>
          <w:bCs/>
        </w:rPr>
        <w:t xml:space="preserve">The basic elements of the Transaction. </w:t>
      </w:r>
    </w:p>
    <w:p>
      <w:pPr>
        <w:pStyle w:val="Normal"/>
        <w:jc w:val="both"/>
        <w:rPr/>
      </w:pPr>
      <w:r>
        <w:rPr/>
        <w:t xml:space="preserve">ESA will assign and ESA will assume certain rights and responsibilities regarding the equipment listed on Exhibit A (“the Equipment”).  Such assignment will be on an “as is, where is” basis.  The price of the Equipment will be a fixed price of $__________, plus a Daily Rate of $_____. A description of the components of the Daily Rate is found below.  It is anticipated that the Transaction will be concluded after November 14, 2000, but no later than December 15, 2000. </w:t>
      </w:r>
    </w:p>
    <w:p>
      <w:pPr>
        <w:pStyle w:val="Normal"/>
        <w:rPr/>
      </w:pPr>
      <w:r>
        <w:rPr/>
      </w:r>
    </w:p>
    <w:p>
      <w:pPr>
        <w:pStyle w:val="Normal"/>
        <w:rPr>
          <w:b/>
          <w:bCs/>
        </w:rPr>
      </w:pPr>
      <w:r>
        <w:rPr>
          <w:b/>
          <w:bCs/>
        </w:rPr>
        <w:t>Pricing.</w:t>
      </w:r>
    </w:p>
    <w:p>
      <w:pPr>
        <w:pStyle w:val="Normal"/>
        <w:ind w:start="720" w:end="0"/>
        <w:jc w:val="both"/>
        <w:rPr/>
      </w:pPr>
      <w:r>
        <w:rPr>
          <w:u w:val="single"/>
        </w:rPr>
        <w:t>Fixed price</w:t>
      </w:r>
      <w:r>
        <w:rPr/>
        <w:t>.  The fixed price includes the cost of the Equipment, carrying charges through ____, taxes and storage fees paid to the suppliers thus far.</w:t>
      </w:r>
    </w:p>
    <w:p>
      <w:pPr>
        <w:pStyle w:val="Normal"/>
        <w:jc w:val="both"/>
        <w:rPr/>
      </w:pPr>
      <w:r>
        <w:rPr/>
        <w:tab/>
      </w:r>
      <w:r>
        <w:rPr>
          <w:u w:val="single"/>
        </w:rPr>
        <w:t>Daily rate</w:t>
      </w:r>
      <w:r>
        <w:rPr/>
        <w:t>.  The daily rate includes financing charges as of ____ and storage costs.</w:t>
      </w:r>
    </w:p>
    <w:p>
      <w:pPr>
        <w:pStyle w:val="Normal"/>
        <w:ind w:start="720" w:end="0"/>
        <w:jc w:val="both"/>
        <w:rPr/>
      </w:pPr>
      <w:r>
        <w:rPr>
          <w:u w:val="single"/>
        </w:rPr>
        <w:t>Other ESA costs</w:t>
      </w:r>
      <w:r>
        <w:rPr/>
        <w:t>.  ESA shall be responsible for all costs not listed above, including future financing charges, taxes, duties, transportation costs, inspection costs, costs of subsequent change orders, and engineering service costs.  Other ESA costs shall not exceed ____ prior to the termination of the WestLB structured bridge financing. If ESA participates in a subsequent ENA financing vehicle, other ESA costs will be budgeted.</w:t>
      </w:r>
    </w:p>
    <w:p>
      <w:pPr>
        <w:pStyle w:val="Normal"/>
        <w:rPr/>
      </w:pPr>
      <w:r>
        <w:rPr/>
      </w:r>
    </w:p>
    <w:p>
      <w:pPr>
        <w:pStyle w:val="Normal"/>
        <w:jc w:val="both"/>
        <w:rPr>
          <w:b/>
          <w:bCs/>
        </w:rPr>
      </w:pPr>
      <w:r>
        <w:rPr>
          <w:b/>
          <w:bCs/>
        </w:rPr>
        <w:t>Participation in future financing.</w:t>
      </w:r>
    </w:p>
    <w:p>
      <w:pPr>
        <w:pStyle w:val="Normal"/>
        <w:jc w:val="both"/>
        <w:rPr/>
      </w:pPr>
      <w:r>
        <w:rPr/>
        <w:t>ESA shall have the right to participate in subsequent financing arrangements relating to the Equipment.  The cost of the financing shall be allocated based on [the percentage of the total financed cost attributable to the Equipment costs, including the total cumulative Daily Rate and other ESA costs].</w:t>
      </w:r>
    </w:p>
    <w:p>
      <w:pPr>
        <w:pStyle w:val="Normal"/>
        <w:jc w:val="both"/>
        <w:rPr/>
      </w:pPr>
      <w:r>
        <w:rPr/>
      </w:r>
    </w:p>
    <w:p>
      <w:pPr>
        <w:pStyle w:val="Normal"/>
        <w:jc w:val="both"/>
        <w:rPr/>
      </w:pPr>
      <w:r>
        <w:rPr>
          <w:b/>
          <w:bCs/>
        </w:rPr>
        <w:t xml:space="preserve">Payment.  </w:t>
      </w:r>
      <w:r>
        <w:rPr/>
        <w:t>The fixed price will be paid [when?], and the Daily Rate and other costs will be paid monthly.  ENA will make timely payments to GE and ABB.</w:t>
      </w:r>
    </w:p>
    <w:p>
      <w:pPr>
        <w:pStyle w:val="Normal"/>
        <w:jc w:val="both"/>
        <w:rPr/>
      </w:pPr>
      <w:r>
        <w:rPr/>
      </w:r>
    </w:p>
    <w:p>
      <w:pPr>
        <w:pStyle w:val="Normal"/>
        <w:jc w:val="both"/>
        <w:rPr>
          <w:b/>
          <w:bCs/>
        </w:rPr>
      </w:pPr>
      <w:r>
        <w:rPr>
          <w:b/>
          <w:bCs/>
        </w:rPr>
        <w:t>Dealing with equipment suppliers.</w:t>
      </w:r>
    </w:p>
    <w:p>
      <w:pPr>
        <w:pStyle w:val="Normal"/>
        <w:jc w:val="both"/>
        <w:rPr/>
      </w:pPr>
      <w:r>
        <w:rPr/>
        <w:t>ESA will have complete technical authority concerning the Equipment. So long as the WestLB structured bridge financing is in place, changes which impact cost shall not exceed the budgeted amount without mutual agreement.</w:t>
      </w:r>
    </w:p>
    <w:p>
      <w:pPr>
        <w:pStyle w:val="Normal"/>
        <w:jc w:val="both"/>
        <w:rPr/>
      </w:pPr>
      <w:r>
        <w:rPr/>
      </w:r>
    </w:p>
    <w:p>
      <w:pPr>
        <w:pStyle w:val="Normal"/>
        <w:jc w:val="both"/>
        <w:rPr>
          <w:b/>
          <w:bCs/>
        </w:rPr>
      </w:pPr>
      <w:r>
        <w:rPr>
          <w:b/>
          <w:bCs/>
        </w:rPr>
        <w:t>Risk of loss of Equipment.</w:t>
      </w:r>
    </w:p>
    <w:p>
      <w:pPr>
        <w:pStyle w:val="Normal"/>
        <w:jc w:val="both"/>
        <w:rPr/>
      </w:pPr>
      <w:r>
        <w:rPr/>
        <w:t>As between ENA and ESA, ESA shall have the risk of loss from the date of signing forward.</w:t>
      </w:r>
    </w:p>
    <w:p>
      <w:pPr>
        <w:pStyle w:val="Normal"/>
        <w:jc w:val="both"/>
        <w:rPr>
          <w:b/>
          <w:bCs/>
        </w:rPr>
      </w:pPr>
      <w:r>
        <w:rPr>
          <w:b/>
          <w:bCs/>
        </w:rPr>
      </w:r>
    </w:p>
    <w:p>
      <w:pPr>
        <w:pStyle w:val="Normal"/>
        <w:jc w:val="both"/>
        <w:rPr/>
      </w:pPr>
      <w:r>
        <w:rPr>
          <w:b/>
          <w:bCs/>
        </w:rPr>
        <w:t>Steps to conclude transaction</w:t>
      </w:r>
      <w:r>
        <w:rPr/>
        <w:t>.</w:t>
      </w:r>
    </w:p>
    <w:p>
      <w:pPr>
        <w:pStyle w:val="Normal"/>
        <w:ind w:start="720" w:end="0"/>
        <w:jc w:val="both"/>
        <w:rPr/>
      </w:pPr>
      <w:r>
        <w:rPr>
          <w:u w:val="single"/>
        </w:rPr>
        <w:t>WestLB</w:t>
      </w:r>
      <w:r>
        <w:rPr/>
        <w:t>.  It is anticipated that the Transaction will not close until after the termination of the WestLB structured bridge financing.</w:t>
      </w:r>
    </w:p>
    <w:p>
      <w:pPr>
        <w:pStyle w:val="Normal"/>
        <w:ind w:start="720" w:end="0"/>
        <w:jc w:val="both"/>
        <w:rPr/>
      </w:pPr>
      <w:r>
        <w:rPr>
          <w:u w:val="single"/>
        </w:rPr>
        <w:t>GE/ABB</w:t>
      </w:r>
      <w:r>
        <w:rPr/>
        <w:t>. Upon the assignment of rights to the Equipment, ESA shall enter into separate agreements with GE and ABB, in substantial conformity with the ENA standard document.</w:t>
      </w:r>
    </w:p>
    <w:p>
      <w:pPr>
        <w:pStyle w:val="Normal"/>
        <w:jc w:val="both"/>
        <w:rPr>
          <w:b/>
          <w:bCs/>
        </w:rPr>
      </w:pPr>
      <w:r>
        <w:rPr>
          <w:b/>
          <w:bCs/>
        </w:rPr>
      </w:r>
    </w:p>
    <w:p>
      <w:pPr>
        <w:pStyle w:val="Normal"/>
        <w:jc w:val="both"/>
        <w:rPr>
          <w:b/>
          <w:bCs/>
        </w:rPr>
      </w:pPr>
      <w:r>
        <w:rPr>
          <w:b/>
          <w:bCs/>
        </w:rPr>
        <w:t>Change of Control/Assignment?</w:t>
      </w:r>
    </w:p>
    <w:p>
      <w:pPr>
        <w:pStyle w:val="Normal"/>
        <w:jc w:val="both"/>
        <w:rPr>
          <w:b/>
          <w:bCs/>
        </w:rPr>
      </w:pPr>
      <w:r>
        <w:rPr>
          <w:b/>
          <w:bCs/>
        </w:rPr>
      </w:r>
    </w:p>
    <w:p>
      <w:pPr>
        <w:pStyle w:val="Normal"/>
        <w:jc w:val="both"/>
        <w:rPr>
          <w:b/>
          <w:bCs/>
        </w:rPr>
      </w:pPr>
      <w:r>
        <w:rPr>
          <w:b/>
          <w:bCs/>
        </w:rPr>
        <w:t>No third party beneficiaries.</w:t>
      </w:r>
    </w:p>
    <w:p>
      <w:pPr>
        <w:pStyle w:val="Normal"/>
        <w:jc w:val="both"/>
        <w:rPr/>
      </w:pPr>
      <w:r>
        <w:rPr/>
        <w:t>There are no third party beneficiaries of this Agreement, and nothing in this agreement shall inure to any party other than ENA and ESA, and their permitted assignes.</w:t>
      </w:r>
    </w:p>
    <w:p>
      <w:pPr>
        <w:pStyle w:val="Normal"/>
        <w:jc w:val="both"/>
        <w:rPr/>
      </w:pPr>
      <w:r>
        <w:rPr/>
      </w:r>
    </w:p>
    <w:p>
      <w:pPr>
        <w:pStyle w:val="Normal"/>
        <w:jc w:val="both"/>
        <w:rPr/>
      </w:pPr>
      <w:r>
        <w:rPr/>
        <w:t>[question: use of put/call structure to avoid incurring hard costs]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/mnt/main-storage/datasets/enron-docs/doc/LOIesa.doc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2000-08-29T17:02:00Z</dcterms:created>
  <dc:creator>kmann</dc:creator>
  <dc:description/>
  <dc:language>en-CA</dc:language>
  <cp:lastModifiedBy>kmann</cp:lastModifiedBy>
  <dcterms:modified xsi:type="dcterms:W3CDTF">2000-08-29T21:32:00Z</dcterms:modified>
  <cp:revision>2</cp:revision>
  <dc:subject/>
  <dc:title/>
</cp:coreProperties>
</file>