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1440" w:leader="none"/>
                <w:tab w:val="left" w:pos="3222" w:leader="none"/>
              </w:tabs>
              <w:ind w:hanging="0" w:end="0"/>
              <w:rPr>
                <w:i/>
                <w:i/>
                <w:sz w:val="16"/>
              </w:rPr>
            </w:pPr>
            <w:r>
              <w:rPr>
                <w:i/>
                <w:sz w:val="16"/>
              </w:rPr>
              <w:t xml:space="preserve">                                                                                                                      </w:t>
            </w:r>
          </w:p>
          <w:p>
            <w:pPr>
              <w:pStyle w:val="Normal"/>
              <w:tabs>
                <w:tab w:val="clear" w:pos="720"/>
                <w:tab w:val="left" w:pos="3222" w:leader="none"/>
              </w:tabs>
              <w:rPr>
                <w:rFonts w:ascii="Arial" w:hAnsi="Arial" w:cs="Arial"/>
                <w:sz w:val="16"/>
              </w:rPr>
            </w:pPr>
            <w:r>
              <w:rPr>
                <w:rFonts w:cs="Arial" w:ascii="Arial" w:hAnsi="Arial"/>
                <w:sz w:val="16"/>
              </w:rPr>
              <w:tab/>
            </w:r>
          </w:p>
        </w:tc>
      </w:tr>
    </w:tbl>
    <w:p>
      <w:pPr>
        <w:pStyle w:val="Heading1"/>
        <w:ind w:hanging="0" w:start="0"/>
        <w:rPr/>
      </w:pPr>
      <w:r>
        <w:rPr/>
        <w:t>Confidential and Proprietary</w:t>
      </w:r>
    </w:p>
    <w:p>
      <w:pPr>
        <w:pStyle w:val="Normal"/>
        <w:jc w:val="center"/>
        <w:rPr>
          <w:sz w:val="22"/>
        </w:rPr>
      </w:pPr>
      <w:r>
        <w:rPr>
          <w:sz w:val="22"/>
        </w:rPr>
      </w:r>
    </w:p>
    <w:p>
      <w:pPr>
        <w:pStyle w:val="Normal"/>
        <w:ind w:firstLine="720" w:start="2880" w:end="0"/>
        <w:rPr>
          <w:sz w:val="22"/>
        </w:rPr>
      </w:pPr>
      <w:r>
        <w:rPr>
          <w:sz w:val="22"/>
        </w:rPr>
        <w:t>March 30, 2001</w:t>
      </w:r>
    </w:p>
    <w:p>
      <w:pPr>
        <w:pStyle w:val="Normal"/>
        <w:ind w:firstLine="720" w:start="2880" w:end="0"/>
        <w:rPr>
          <w:b/>
          <w:sz w:val="22"/>
        </w:rPr>
      </w:pPr>
      <w:r>
        <w:rPr>
          <w:b/>
          <w:sz w:val="22"/>
        </w:rPr>
      </w:r>
    </w:p>
    <w:p>
      <w:pPr>
        <w:pStyle w:val="Normal"/>
        <w:jc w:val="both"/>
        <w:rPr>
          <w:b/>
          <w:sz w:val="22"/>
        </w:rPr>
      </w:pPr>
      <w:r>
        <w:rPr>
          <w:b/>
          <w:sz w:val="22"/>
        </w:rPr>
      </w:r>
    </w:p>
    <w:p>
      <w:pPr>
        <w:pStyle w:val="Normal"/>
        <w:rPr>
          <w:sz w:val="22"/>
        </w:rPr>
      </w:pPr>
      <w:r>
        <w:rPr>
          <w:sz w:val="22"/>
        </w:rPr>
        <w:t>Andy Netemeyer, Vice President</w:t>
      </w:r>
    </w:p>
    <w:p>
      <w:pPr>
        <w:pStyle w:val="Normal"/>
        <w:rPr>
          <w:sz w:val="22"/>
        </w:rPr>
      </w:pPr>
      <w:r>
        <w:rPr>
          <w:sz w:val="22"/>
        </w:rPr>
        <w:t>BP Energy Company</w:t>
      </w:r>
    </w:p>
    <w:p>
      <w:pPr>
        <w:pStyle w:val="Normal"/>
        <w:rPr>
          <w:sz w:val="22"/>
        </w:rPr>
      </w:pPr>
      <w:r>
        <w:rPr>
          <w:sz w:val="22"/>
        </w:rPr>
        <w:t>501 Westlake Park Boulevard</w:t>
      </w:r>
    </w:p>
    <w:p>
      <w:pPr>
        <w:pStyle w:val="Normal"/>
        <w:rPr/>
      </w:pPr>
      <w:r>
        <w:rPr>
          <w:sz w:val="22"/>
        </w:rPr>
        <w:t>WL 1 Lowrise, 4</w:t>
      </w:r>
      <w:r>
        <w:rPr>
          <w:sz w:val="22"/>
          <w:vertAlign w:val="superscript"/>
        </w:rPr>
        <w:t>th</w:t>
      </w:r>
      <w:r>
        <w:rPr>
          <w:sz w:val="22"/>
        </w:rPr>
        <w:t xml:space="preserve"> Floor</w:t>
      </w:r>
    </w:p>
    <w:p>
      <w:pPr>
        <w:pStyle w:val="Normal"/>
        <w:rPr>
          <w:sz w:val="22"/>
        </w:rPr>
      </w:pPr>
      <w:r>
        <w:rPr>
          <w:sz w:val="22"/>
        </w:rPr>
        <w:t>Houston, TX  77079</w:t>
      </w:r>
    </w:p>
    <w:p>
      <w:pPr>
        <w:pStyle w:val="Normal"/>
        <w:jc w:val="both"/>
        <w:rPr>
          <w:sz w:val="22"/>
        </w:rPr>
      </w:pPr>
      <w:r>
        <w:rPr>
          <w:sz w:val="22"/>
        </w:rPr>
      </w:r>
    </w:p>
    <w:p>
      <w:pPr>
        <w:pStyle w:val="Normal"/>
        <w:jc w:val="both"/>
        <w:rPr/>
      </w:pPr>
      <w:r>
        <w:rPr>
          <w:sz w:val="22"/>
        </w:rPr>
        <w:t>Re:</w:t>
        <w:tab/>
      </w:r>
      <w:r>
        <w:rPr>
          <w:b/>
          <w:bCs/>
          <w:sz w:val="22"/>
          <w:u w:val="single"/>
        </w:rPr>
        <w:t>Letter of Intent</w:t>
      </w:r>
    </w:p>
    <w:p>
      <w:pPr>
        <w:pStyle w:val="Normal"/>
        <w:jc w:val="both"/>
        <w:rPr>
          <w:b/>
          <w:bCs/>
          <w:sz w:val="22"/>
          <w:u w:val="single"/>
        </w:rPr>
      </w:pPr>
      <w:r>
        <w:rPr>
          <w:b/>
          <w:bCs/>
          <w:sz w:val="22"/>
          <w:u w:val="single"/>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BP Energy Company (“BPE”) and Enron Power Marketing, Inc., a Delaware corporation (“EPMI”), to evaluate the possibility of (i) EPMI selling and BPE purchasing firm all-requirements electric energy, and (ii) Qualified Scheduling Entity (“QSE”) services to BPE. Items (i) and (ii) of this paragraph are referenced herein as the proposed transaction (the “Proposed Transaction”). BPE and EPMI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are not intended to and do not constitute a binding agreement of the Parties with respect to the goods and services comprising the Proposed Transaction.  The Parties agree to use best commercial efforts to negotiate in good faith and execute mutually satisfactory definitive agreements (which may  be in the form of a Transaction Confirmation under the Master Trading Agreement, dated January 1, 1997, by and between BPE and EPMI, as amended, and an agreement regarding QSE services) by April 16, 2001, including the approval of such agreements and the Proposed Transaction by the respective board of directors of each Party, if appropriate.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ab/>
        <w:t xml:space="preserve">The Parties will meet to discuss the Proposed Transaction and the definitive agreements relating thereto. EPMI and BPE may conduct a due diligence investigation regarding the Proposed Transaction.  BPE and EPMI will assist each other in such investigation. It is understood that EPMI and BPE are not, by virtue of this Agreement, undertaking any liability with regard to the Proposed Transaction; any such undertaking would be addressed in subsequent definitive agreements.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If definitive agreements are negotiated, they will include, without limitation, the basic business points identified in Exhibits “A” (regarding the purchase and sale of firm all-requirements electric energy) and “B” (regarding QSE services) attached hereto and incorporated herein by reference.</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 xml:space="preserve">The parties will commence negotiating the definitive agreements as soon as possible on or after the date hereof.  </w:t>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(a) until such time that it becomes clear to either Party that the Proposed Transaction will not be economically viable or otherwise successful; or (b) May 1, 2001, the “Term”.  The provisions of Section 2,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 xml:space="preserve">Confidentiality.  </w:t>
      </w:r>
      <w:r>
        <w:rPr>
          <w:sz w:val="22"/>
        </w:rPr>
        <w:t xml:space="preserve">The Parties agree that the existence of this Agreement, its contents, negotiations under this Agreement, and any confidential information furnished to either Party pursuant to this Agreement are confidential between EPMI and BPE and their duly appointed representatives, are subject to the terms of the Confidentiality Agreement between EPMI and BPE, dated as of March 6, 2001, and shall not be disclosed to third parties except as may be permitted under the terms of such Confidentiality Agreement. </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5 and 8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TEXAS,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 TO BE COMPLETED.  THIS AGREEMENT: (A) IS MERELY INTENDED TO EXPRESS THE DESIRE OF THE PARTIES TO NEGOTIATE A TRANSACTION THAT WILL BE FINALIZED IN A WRITTEN AGREEMENT AT A FUTURE TIME; (B) DOES NOT CREATE AND IS NOT INTENDED TO CREATE A BINDING AND ENFORCEABLE CONTRACT BETWEEN THE PARTIES WITH RESPECT TO THE PROVISIONS OF ARTICLE I AND THE SUBJECT-MATTER OF THE PROPOSED TRANSACTION; AND (C) MAY NOT BE RELIED UPON BY A PARTY AS THE BASIS FOR A CONTRACT BY ESTOPPEL OR OTHERWISE.  A BINDING COMMITMENT WITH RESPECT TO THE PROPOSED TRANSACTION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pPr>
      <w:r>
        <w:rPr>
          <w:sz w:val="22"/>
        </w:rPr>
        <w:t>11.</w:t>
        <w:tab/>
      </w:r>
      <w:r>
        <w:rPr>
          <w:b/>
          <w:sz w:val="22"/>
        </w:rPr>
        <w:t>LIMITATION OF LIABILITY.  NOTWITHSTANDING ANYTHING HEREIN TO THE CONTRARY, NEITHER EPMI NOR BPE,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b/>
          <w:sz w:val="22"/>
        </w:rPr>
      </w:pPr>
      <w:r>
        <w:rPr>
          <w:b/>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ind w:firstLine="720" w:start="5040" w:end="0"/>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sz w:val="22"/>
        </w:rPr>
        <w:tab/>
        <w:tab/>
        <w:tab/>
        <w:tab/>
        <w:tab/>
        <w:tab/>
        <w:tab/>
        <w:tab/>
      </w:r>
      <w:r>
        <w:rPr>
          <w:b/>
          <w:sz w:val="22"/>
        </w:rPr>
        <w:t>ENRON POWER MARKETING, INC.</w:t>
      </w:r>
    </w:p>
    <w:p>
      <w:pPr>
        <w:pStyle w:val="Normal"/>
        <w:jc w:val="both"/>
        <w:rPr>
          <w:b/>
          <w:sz w:val="22"/>
          <w:u w:val="single"/>
        </w:rPr>
      </w:pPr>
      <w:r>
        <w:rPr>
          <w:b/>
          <w:sz w:val="22"/>
          <w:u w:val="single"/>
        </w:rPr>
      </w:r>
    </w:p>
    <w:p>
      <w:pPr>
        <w:pStyle w:val="Normal"/>
        <w:ind w:firstLine="720" w:start="5040" w:end="0"/>
        <w:jc w:val="both"/>
        <w:rPr>
          <w:sz w:val="22"/>
        </w:rPr>
      </w:pPr>
      <w:r>
        <w:rPr>
          <w:sz w:val="22"/>
        </w:rPr>
        <w:t>By:</w:t>
      </w:r>
      <w:r>
        <w:rPr>
          <w:sz w:val="22"/>
          <w:u w:val="single"/>
        </w:rPr>
        <w:tab/>
        <w:tab/>
        <w:tab/>
        <w:tab/>
        <w:tab/>
      </w:r>
    </w:p>
    <w:p>
      <w:pPr>
        <w:pStyle w:val="Normal"/>
        <w:ind w:firstLine="720" w:start="5040" w:end="0"/>
        <w:jc w:val="both"/>
        <w:rPr/>
      </w:pPr>
      <w:r>
        <w:rPr>
          <w:sz w:val="22"/>
        </w:rPr>
        <w:t>Printed Name:</w:t>
      </w:r>
      <w:r>
        <w:rPr>
          <w:sz w:val="22"/>
          <w:u w:val="single"/>
        </w:rPr>
        <w:tab/>
        <w:tab/>
        <w:tab/>
        <w:tab/>
      </w:r>
    </w:p>
    <w:p>
      <w:pPr>
        <w:pStyle w:val="Normal"/>
        <w:ind w:firstLine="720" w:start="5040" w:end="0"/>
        <w:jc w:val="both"/>
        <w:rPr>
          <w:sz w:val="22"/>
        </w:rPr>
      </w:pPr>
      <w:r>
        <w:rPr>
          <w:sz w:val="22"/>
        </w:rPr>
        <w:t>Title:</w:t>
      </w:r>
      <w:r>
        <w:rPr>
          <w:sz w:val="22"/>
          <w:u w:val="single"/>
        </w:rPr>
        <w:tab/>
        <w:tab/>
        <w:tab/>
        <w:tab/>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March, 2001:</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b/>
          <w:sz w:val="22"/>
        </w:rPr>
      </w:pPr>
      <w:r>
        <w:rPr>
          <w:b/>
          <w:sz w:val="22"/>
        </w:rPr>
        <w:t>BP ENERGY COMPANY</w:t>
      </w:r>
    </w:p>
    <w:p>
      <w:pPr>
        <w:pStyle w:val="Normal"/>
        <w:keepNext w:val="true"/>
        <w:keepLines/>
        <w:jc w:val="both"/>
        <w:rPr>
          <w:b/>
          <w:sz w:val="22"/>
        </w:rPr>
      </w:pPr>
      <w:r>
        <w:rPr>
          <w:b/>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sectPr>
      <w:headerReference w:type="default" r:id="rId3"/>
      <w:headerReference w:type="first" r:id="rId4"/>
      <w:footerReference w:type="default" r:id="rId5"/>
      <w:footerReference w:type="first" r:id="rId6"/>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LOI_final.doc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LOI_final.doc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t>March 30,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0"/>
      </w:rPr>
    </w:pPr>
    <w:r>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sz w:val="20"/>
      </w:rPr>
    </w:pPr>
    <w:r>
      <w:rPr/>
      <w:tab/>
    </w:r>
  </w:p>
  <w:p>
    <w:pPr>
      <w:pStyle w:val="Header"/>
      <w:tabs>
        <w:tab w:val="clear" w:pos="4320"/>
        <w:tab w:val="clear" w:pos="8640"/>
        <w:tab w:val="left" w:pos="-3330" w:leader="none"/>
        <w:tab w:val="right" w:pos="9540" w:leader="none"/>
      </w:tabs>
      <w:jc w:val="both"/>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2001-03-30T23:31:00Z</dcterms:created>
  <dc:creator>ECT</dc:creator>
  <dc:description/>
  <dc:language>en-CA</dc:language>
  <cp:lastModifiedBy>Christopher Ahn</cp:lastModifiedBy>
  <cp:lastPrinted>2001-03-30T19:07:00Z</cp:lastPrinted>
  <dcterms:modified xsi:type="dcterms:W3CDTF">2001-03-30T23:31:00Z</dcterms:modified>
  <cp:revision>2</cp:revision>
  <dc:subject/>
  <dc:title>[ECT Letterhead]</dc:title>
</cp:coreProperties>
</file>