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O:\LEGAL\SVANHOOS\UPSTREAM\CAPACITY CENTER\LOI (6-12-01)CLEAN.DOC</w:t>
      </w:r>
    </w:p>
    <w:p>
      <w:pPr>
        <w:pStyle w:val="Normal"/>
        <w:bidi w:val="0"/>
        <w:jc w:val="start"/>
        <w:rPr/>
      </w:pPr>
      <w:r>
        <w:rPr/>
        <w:t>and revised document: O:\LEGAL\SVANHOOS\UPSTREAM\CAPACITY CENTER\LOI (6-19-01).DOC</w:t>
      </w:r>
    </w:p>
    <w:p>
      <w:pPr>
        <w:pStyle w:val="Normal"/>
        <w:bidi w:val="0"/>
        <w:jc w:val="start"/>
        <w:rPr/>
      </w:pPr>
      <w:r>
        <w:rPr/>
      </w:r>
    </w:p>
    <w:p>
      <w:pPr>
        <w:pStyle w:val="Normal"/>
        <w:bidi w:val="0"/>
        <w:jc w:val="start"/>
        <w:rPr/>
      </w:pPr>
      <w:r>
        <w:rPr/>
        <w:t>CompareRite found        9 change(s) in the text</w:t>
      </w:r>
    </w:p>
    <w:p>
      <w:pPr>
        <w:pStyle w:val="Normal"/>
        <w:bidi w:val="0"/>
        <w:jc w:val="start"/>
        <w:rPr/>
      </w:pPr>
      <w:r>
        <w:rPr/>
      </w:r>
    </w:p>
    <w:p>
      <w:pPr>
        <w:pStyle w:val="Normal"/>
        <w:bidi w:val="0"/>
        <w:jc w:val="start"/>
        <w:rPr/>
      </w:pPr>
      <w:r>
        <w:rPr/>
        <w:t>Deletions appear as Overstrike text surrounded by {}</w:t>
      </w:r>
    </w:p>
    <w:p>
      <w:pPr>
        <w:pStyle w:val="Normal"/>
        <w:bidi w:val="0"/>
        <w:jc w:val="start"/>
        <w:rPr/>
      </w:pPr>
      <w:r>
        <w:rPr/>
        <w:t>Additions appear as Bold text surrounded by []</w:t>
      </w:r>
      <w:r>
        <w:br w:type="page"/>
      </w:r>
    </w:p>
    <w:p>
      <w:pPr>
        <w:pStyle w:val="Normal"/>
        <w:bidi w:val="0"/>
        <w:spacing w:before="1400" w:after="0"/>
        <w:jc w:val="center"/>
        <w:rPr>
          <w:rFonts w:ascii="Times New Roman" w:hAnsi="Times New Roman"/>
          <w:b/>
          <w:sz w:val="22"/>
        </w:rPr>
      </w:pPr>
      <w:r>
        <w:rPr>
          <w:rFonts w:ascii="Times New Roman" w:hAnsi="Times New Roman"/>
          <w:sz w:val="22"/>
        </w:rPr>
        <w:t xml:space="preserve">June </w:t>
      </w:r>
      <w:r>
        <w:rPr>
          <w:rFonts w:ascii="Times New Roman" w:hAnsi="Times New Roman"/>
          <w:strike/>
          <w:sz w:val="22"/>
        </w:rPr>
        <w:t>{13}</w:t>
      </w:r>
      <w:r>
        <w:rPr>
          <w:rFonts w:ascii="Times New Roman" w:hAnsi="Times New Roman"/>
          <w:sz w:val="22"/>
        </w:rPr>
        <w:t xml:space="preserve"> </w:t>
      </w:r>
      <w:r>
        <w:rPr>
          <w:rFonts w:ascii="Times New Roman" w:hAnsi="Times New Roman"/>
          <w:b/>
          <w:sz w:val="22"/>
        </w:rPr>
        <w:t>[19]</w:t>
      </w:r>
      <w:r>
        <w:rPr>
          <w:rFonts w:ascii="Times New Roman" w:hAnsi="Times New Roman"/>
          <w:sz w:val="22"/>
        </w:rPr>
        <w:t>, 2001</w:t>
      </w:r>
    </w:p>
    <w:p>
      <w:pPr>
        <w:pStyle w:val="Normal"/>
        <w:bidi w:val="0"/>
        <w:spacing w:before="800" w:after="0"/>
        <w:jc w:val="both"/>
        <w:rPr>
          <w:rFonts w:ascii="Times New Roman" w:hAnsi="Times New Roman"/>
          <w:sz w:val="22"/>
        </w:rPr>
      </w:pPr>
      <w:r>
        <w:rPr>
          <w:rFonts w:ascii="Times New Roman" w:hAnsi="Times New Roman"/>
          <w:sz w:val="22"/>
        </w:rPr>
        <w:t>Skipping Stone, Inc.</w:t>
      </w:r>
    </w:p>
    <w:p>
      <w:pPr>
        <w:pStyle w:val="Normal"/>
        <w:bidi w:val="0"/>
        <w:jc w:val="both"/>
        <w:rPr>
          <w:rFonts w:ascii="Times New Roman" w:hAnsi="Times New Roman"/>
          <w:sz w:val="22"/>
        </w:rPr>
      </w:pPr>
      <w:r>
        <w:rPr>
          <w:rFonts w:ascii="Times New Roman" w:hAnsi="Times New Roman"/>
          <w:sz w:val="22"/>
        </w:rPr>
        <w:t>Capacity Center, Inc.</w:t>
      </w:r>
    </w:p>
    <w:p>
      <w:pPr>
        <w:pStyle w:val="Normal"/>
        <w:bidi w:val="0"/>
        <w:jc w:val="both"/>
        <w:rPr>
          <w:rFonts w:ascii="Times New Roman" w:hAnsi="Times New Roman"/>
          <w:sz w:val="22"/>
        </w:rPr>
      </w:pPr>
      <w:r>
        <w:rPr>
          <w:rFonts w:ascii="Times New Roman" w:hAnsi="Times New Roman"/>
          <w:sz w:val="22"/>
        </w:rPr>
        <w:t>15311 West Vantage Parkway, Suite 350</w:t>
      </w:r>
    </w:p>
    <w:p>
      <w:pPr>
        <w:pStyle w:val="Normal"/>
        <w:bidi w:val="0"/>
        <w:jc w:val="both"/>
        <w:rPr>
          <w:rFonts w:ascii="Times New Roman" w:hAnsi="Times New Roman"/>
          <w:sz w:val="22"/>
        </w:rPr>
      </w:pPr>
      <w:r>
        <w:rPr>
          <w:rFonts w:ascii="Times New Roman" w:hAnsi="Times New Roman"/>
          <w:sz w:val="22"/>
        </w:rPr>
        <w:t>Houston, Texas 77032</w:t>
      </w:r>
    </w:p>
    <w:p>
      <w:pPr>
        <w:pStyle w:val="Normal"/>
        <w:bidi w:val="0"/>
        <w:spacing w:before="240" w:after="120"/>
        <w:jc w:val="both"/>
        <w:rPr>
          <w:rFonts w:ascii="Times New Roman" w:hAnsi="Times New Roman"/>
          <w:sz w:val="22"/>
        </w:rPr>
      </w:pPr>
      <w:r>
        <w:rPr>
          <w:rFonts w:ascii="Times New Roman" w:hAnsi="Times New Roman"/>
          <w:sz w:val="22"/>
        </w:rPr>
        <w:tab/>
        <w:t>Re:    Letter of Intent</w:t>
      </w:r>
    </w:p>
    <w:p>
      <w:pPr>
        <w:pStyle w:val="Normal"/>
        <w:bidi w:val="0"/>
        <w:spacing w:before="120" w:after="120"/>
        <w:jc w:val="both"/>
        <w:rPr>
          <w:rFonts w:ascii="Times New Roman" w:hAnsi="Times New Roman"/>
          <w:sz w:val="22"/>
        </w:rPr>
      </w:pPr>
      <w:r>
        <w:rPr>
          <w:rFonts w:ascii="Times New Roman" w:hAnsi="Times New Roman"/>
          <w:sz w:val="22"/>
        </w:rPr>
        <w:t>Ladies and Gentlemen:</w:t>
      </w:r>
    </w:p>
    <w:p>
      <w:pPr>
        <w:pStyle w:val="Normal"/>
        <w:bidi w:val="0"/>
        <w:spacing w:before="120" w:after="0"/>
        <w:ind w:firstLine="720"/>
        <w:jc w:val="both"/>
        <w:rPr>
          <w:rFonts w:ascii="Times New Roman" w:hAnsi="Times New Roman"/>
          <w:sz w:val="22"/>
        </w:rPr>
      </w:pPr>
      <w:r>
        <w:rPr>
          <w:rFonts w:ascii="Times New Roman" w:hAnsi="Times New Roman"/>
          <w:sz w:val="22"/>
        </w:rPr>
        <w:t xml:space="preserve">This letter of intent ("Agreement") effective when executed by all the Parties hereto, will evidence the current mutual intent, as set forth in Article I below, of </w:t>
      </w:r>
      <w:r>
        <w:rPr>
          <w:rFonts w:ascii="Times New Roman" w:hAnsi="Times New Roman"/>
          <w:b/>
          <w:sz w:val="22"/>
        </w:rPr>
        <w:t>Skipping Stone, Inc.</w:t>
      </w:r>
      <w:r>
        <w:rPr>
          <w:rFonts w:ascii="Times New Roman" w:hAnsi="Times New Roman"/>
          <w:sz w:val="22"/>
        </w:rPr>
        <w:t xml:space="preserve">, a Delaware corporation, (“SSI”) and its affiliate </w:t>
      </w:r>
      <w:r>
        <w:rPr>
          <w:rFonts w:ascii="Times New Roman" w:hAnsi="Times New Roman"/>
          <w:b/>
          <w:sz w:val="22"/>
        </w:rPr>
        <w:t>Capacity Center, Inc.</w:t>
      </w:r>
      <w:r>
        <w:rPr>
          <w:rFonts w:ascii="Times New Roman" w:hAnsi="Times New Roman"/>
          <w:sz w:val="22"/>
        </w:rPr>
        <w:t>, a corporation (“CCI”) (SSI and CCI collectively referred to as "Seller") and</w:t>
      </w:r>
      <w:r>
        <w:rPr>
          <w:rFonts w:ascii="Times New Roman" w:hAnsi="Times New Roman"/>
          <w:b/>
          <w:sz w:val="22"/>
        </w:rPr>
        <w:t xml:space="preserve"> Enron North America Corp.</w:t>
      </w:r>
      <w:r>
        <w:rPr>
          <w:rFonts w:ascii="Times New Roman" w:hAnsi="Times New Roman"/>
          <w:sz w:val="22"/>
        </w:rPr>
        <w:t>, a Delaware corporation ("Buyer") pursue the following activities: (i) Buyer’s purchasing from Seller, various rights and source code for energy industry software that is commonly referred    to as the “Service Bureau”, the “Data Exchange”, and the “Historical Data Base” (the “Assets”) all to be more particularly described in a forth coming definitive purchase agreement (the “Software Purchase Agreement and (ii) Buyer’s entering into a one year service agreement (the “Service Agreement”) under which SSI would provide programming, design, migration and maintenance services for the Service Bureau, Data Exchange, and the Historical Data Base (with (i) and (ii) collectively referred to as the "Project").    Buyer and Seller are sometimes referred to individually as a "Party" and collectively as the "Parties".</w:t>
      </w:r>
    </w:p>
    <w:p>
      <w:pPr>
        <w:pStyle w:val="Normal"/>
        <w:bidi w:val="0"/>
        <w:spacing w:before="120" w:after="0"/>
        <w:ind w:firstLine="720"/>
        <w:jc w:val="both"/>
        <w:rPr>
          <w:rFonts w:ascii="Times New Roman" w:hAnsi="Times New Roman"/>
          <w:sz w:val="22"/>
        </w:rPr>
      </w:pPr>
      <w:r>
        <w:rPr>
          <w:rFonts w:ascii="Times New Roman" w:hAnsi="Times New Roman"/>
          <w:sz w:val="22"/>
        </w:rPr>
        <w:t>This Agreement is intended to set forth certain basic terms of the understanding reached to date and to serve as a basis for further discussions and negotiations among the Parties with respect to the Project.    The matters set forth in the first paragraph of this Agreement and in Article I are not intended to, and do not, constitute a binding agreement of the Parties with respect to the Project.    Any such binding agreement will only arise upon the negotiation, execution and delivery of one or more mutually satisfactory definitive agreements (“Definitive Agreement(s)”) and the satisfaction of the conditions set forth therein, including the approval of such agreements by each Party.    The matters set forth in Article II do constitute binding agreements of the Parties.</w:t>
      </w:r>
    </w:p>
    <w:p>
      <w:pPr>
        <w:pStyle w:val="Normal"/>
        <w:bidi w:val="0"/>
        <w:spacing w:before="120" w:after="0"/>
        <w:ind w:firstLine="720"/>
        <w:jc w:val="both"/>
        <w:rPr>
          <w:rFonts w:ascii="Times New Roman" w:hAnsi="Times New Roman"/>
          <w:sz w:val="22"/>
        </w:rPr>
      </w:pPr>
      <w:r>
        <w:rPr>
          <w:rFonts w:ascii="Times New Roman" w:hAnsi="Times New Roman"/>
          <w:sz w:val="22"/>
        </w:rPr>
        <w:t>In consideration of the rights and obligations of the Parties hereunder, and other good and valuable consideration, the receipt and sufficiency of which being hereby acknowledged by the Parties, the Parties hereby agree as follows:</w:t>
      </w:r>
    </w:p>
    <w:p>
      <w:pPr>
        <w:pStyle w:val="Heading3"/>
        <w:bidi w:val="0"/>
        <w:rPr>
          <w:rFonts w:ascii="Times New Roman" w:hAnsi="Times New Roman"/>
        </w:rPr>
      </w:pPr>
      <w:r>
        <w:rPr>
          <w:rFonts w:ascii="Times New Roman" w:hAnsi="Times New Roman"/>
        </w:rPr>
        <w:t>Article I</w:t>
      </w:r>
    </w:p>
    <w:p>
      <w:pPr>
        <w:pStyle w:val="Heading3"/>
        <w:bidi w:val="0"/>
        <w:spacing w:before="0" w:after="0"/>
        <w:rPr>
          <w:rFonts w:ascii="Times New Roman" w:hAnsi="Times New Roman"/>
        </w:rPr>
      </w:pPr>
      <w:r>
        <w:rPr>
          <w:rFonts w:ascii="Times New Roman" w:hAnsi="Times New Roman"/>
        </w:rPr>
        <w:t>The Project</w:t>
      </w:r>
    </w:p>
    <w:p>
      <w:pPr>
        <w:pStyle w:val="Normal"/>
        <w:numPr>
          <w:ilvl w:val="0"/>
          <w:numId w:val="1"/>
        </w:numPr>
        <w:bidi w:val="0"/>
        <w:spacing w:before="120" w:after="0"/>
        <w:ind w:firstLine="810" w:start="-90"/>
        <w:jc w:val="both"/>
        <w:rPr>
          <w:rFonts w:ascii="Times New Roman" w:hAnsi="Times New Roman"/>
          <w:sz w:val="22"/>
        </w:rPr>
      </w:pPr>
      <w:bookmarkStart w:id="0" w:name="_Toc298128499"/>
      <w:bookmarkEnd w:id="0"/>
      <w:r>
        <w:rPr>
          <w:rFonts w:ascii="Times New Roman" w:hAnsi="Times New Roman"/>
          <w:b/>
          <w:smallCaps/>
          <w:sz w:val="22"/>
        </w:rPr>
        <w:t xml:space="preserve">Meeting.    </w:t>
      </w:r>
      <w:r>
        <w:rPr>
          <w:rFonts w:ascii="Times New Roman" w:hAnsi="Times New Roman"/>
          <w:sz w:val="22"/>
        </w:rPr>
        <w:t xml:space="preserve">The Parties will meet to discuss the Project and the necessary agreements relating thereto.    Buyer may conduct a due diligence investigation regarding the Assets.    Seller will assist Buyer in such investigation and Seller will disclose to buyer all relevant information in Seller's possession pertaining thereto.    </w:t>
      </w:r>
    </w:p>
    <w:p>
      <w:pPr>
        <w:pStyle w:val="Normal"/>
        <w:numPr>
          <w:ilvl w:val="0"/>
          <w:numId w:val="1"/>
        </w:numPr>
        <w:bidi w:val="0"/>
        <w:spacing w:before="120" w:after="0"/>
        <w:ind w:firstLine="810" w:start="-90"/>
        <w:jc w:val="both"/>
        <w:rPr>
          <w:rFonts w:ascii="Times New Roman" w:hAnsi="Times New Roman"/>
          <w:sz w:val="22"/>
        </w:rPr>
      </w:pPr>
      <w:r>
        <w:rPr>
          <w:rFonts w:ascii="Times New Roman" w:hAnsi="Times New Roman"/>
          <w:sz w:val="22"/>
        </w:rPr>
        <w:t>N</w:t>
      </w:r>
      <w:r>
        <w:rPr>
          <w:rFonts w:ascii="Times New Roman" w:hAnsi="Times New Roman"/>
          <w:b/>
          <w:smallCaps/>
          <w:sz w:val="22"/>
        </w:rPr>
        <w:t xml:space="preserve">otional Purchase Price and Database Usage Rights.    </w:t>
      </w:r>
      <w:r>
        <w:rPr>
          <w:rFonts w:ascii="Times New Roman" w:hAnsi="Times New Roman"/>
          <w:sz w:val="22"/>
        </w:rPr>
        <w:t xml:space="preserve">Neither Party is obligated hereunder to enter into any Definitive Agreement with the other, with respect to the Project.    Based solely on representations and statements made by Seller, it is currently anticipated that the value of the Project would support a purchase price for the Assets of approximately </w:t>
      </w:r>
      <w:r>
        <w:rPr>
          <w:rFonts w:ascii="Times New Roman" w:hAnsi="Times New Roman"/>
          <w:strike/>
          <w:sz w:val="22"/>
        </w:rPr>
        <w:t>{[$_____________]}</w:t>
      </w:r>
      <w:r>
        <w:rPr>
          <w:rFonts w:ascii="Times New Roman" w:hAnsi="Times New Roman"/>
          <w:sz w:val="22"/>
        </w:rPr>
        <w:t xml:space="preserve"> </w:t>
      </w:r>
      <w:r>
        <w:rPr>
          <w:rFonts w:ascii="Times New Roman" w:hAnsi="Times New Roman"/>
          <w:b/>
          <w:sz w:val="22"/>
        </w:rPr>
        <w:t>[Two Million]</w:t>
      </w:r>
      <w:r>
        <w:rPr>
          <w:rFonts w:ascii="Times New Roman" w:hAnsi="Times New Roman"/>
          <w:sz w:val="22"/>
        </w:rPr>
        <w:t xml:space="preserve"> Dollars </w:t>
      </w:r>
      <w:r>
        <w:rPr>
          <w:rFonts w:ascii="Times New Roman" w:hAnsi="Times New Roman"/>
          <w:strike/>
          <w:sz w:val="22"/>
        </w:rPr>
        <w:t>{($2,000,000.00)}</w:t>
      </w:r>
      <w:r>
        <w:rPr>
          <w:rFonts w:ascii="Times New Roman" w:hAnsi="Times New Roman"/>
          <w:b/>
          <w:sz w:val="22"/>
        </w:rPr>
        <w:t>[($2,000,000)]</w:t>
      </w:r>
      <w:r>
        <w:rPr>
          <w:rFonts w:ascii="Times New Roman" w:hAnsi="Times New Roman"/>
          <w:sz w:val="22"/>
        </w:rPr>
        <w:t xml:space="preserve"> and Buyer’s payment of a monthly fee of approximately </w:t>
      </w:r>
      <w:r>
        <w:rPr>
          <w:rFonts w:ascii="Times New Roman" w:hAnsi="Times New Roman"/>
          <w:strike/>
          <w:sz w:val="22"/>
        </w:rPr>
        <w:t>{[$ _____________] U.S.}</w:t>
      </w:r>
      <w:r>
        <w:rPr>
          <w:rFonts w:ascii="Times New Roman" w:hAnsi="Times New Roman"/>
          <w:sz w:val="22"/>
        </w:rPr>
        <w:t xml:space="preserve"> </w:t>
      </w:r>
      <w:r>
        <w:rPr>
          <w:rFonts w:ascii="Times New Roman" w:hAnsi="Times New Roman"/>
          <w:b/>
          <w:sz w:val="22"/>
        </w:rPr>
        <w:t>[Four Hundred Thousand]</w:t>
      </w:r>
      <w:r>
        <w:rPr>
          <w:rFonts w:ascii="Times New Roman" w:hAnsi="Times New Roman"/>
          <w:sz w:val="22"/>
        </w:rPr>
        <w:t xml:space="preserve"> Dollars </w:t>
      </w:r>
      <w:r>
        <w:rPr>
          <w:rFonts w:ascii="Times New Roman" w:hAnsi="Times New Roman"/>
          <w:b/>
          <w:sz w:val="22"/>
        </w:rPr>
        <w:t>[($400,000)]</w:t>
      </w:r>
      <w:r>
        <w:rPr>
          <w:rFonts w:ascii="Times New Roman" w:hAnsi="Times New Roman"/>
          <w:sz w:val="22"/>
        </w:rPr>
        <w:t xml:space="preserve"> pursuant to the Service Agreement.    Because Seller desires to retain limited usage rights as to the Historical Data Base for the limited purpose of continuing is consultancy services, the Definitive Agreement(s) will provide Seller certain rights to use the Historical Data Base as an analytic resource to the extent such use is not competitive with Buyer’s plans for marketing products and services that utilize the Assets.    The extent to which Seller chooses to access the Historical Data Base will impact the size of the monthly fee Buyer is willing to pay under the Services Agreement.</w:t>
      </w:r>
    </w:p>
    <w:p>
      <w:pPr>
        <w:pStyle w:val="Normal"/>
        <w:numPr>
          <w:ilvl w:val="0"/>
          <w:numId w:val="1"/>
        </w:numPr>
        <w:bidi w:val="0"/>
        <w:spacing w:before="120" w:after="0"/>
        <w:ind w:firstLine="810" w:start="-90"/>
        <w:jc w:val="both"/>
        <w:rPr>
          <w:rFonts w:ascii="Times New Roman" w:hAnsi="Times New Roman"/>
          <w:sz w:val="22"/>
        </w:rPr>
      </w:pPr>
      <w:bookmarkStart w:id="1" w:name="_Toc298128499"/>
      <w:bookmarkEnd w:id="1"/>
      <w:r>
        <w:rPr>
          <w:rFonts w:ascii="Times New Roman" w:hAnsi="Times New Roman"/>
          <w:b/>
          <w:smallCaps/>
          <w:sz w:val="22"/>
        </w:rPr>
        <w:t xml:space="preserve">Milestones. </w:t>
      </w:r>
      <w:r>
        <w:rPr>
          <w:rFonts w:ascii="Times New Roman" w:hAnsi="Times New Roman"/>
          <w:sz w:val="22"/>
        </w:rPr>
        <w:t>Within ten (10) working days after the effective date hereof, the Parties shall hold a meeting to establish certain milestones to be achieved and a schedule for their achievement, such as conducting due diligence, preparing a purchase agreement, service agreement and other related matters.</w:t>
      </w:r>
    </w:p>
    <w:p>
      <w:pPr>
        <w:pStyle w:val="Heading3"/>
        <w:bidi w:val="0"/>
        <w:rPr>
          <w:rFonts w:ascii="Times New Roman" w:hAnsi="Times New Roman"/>
        </w:rPr>
      </w:pPr>
      <w:r>
        <w:rPr>
          <w:rFonts w:ascii="Times New Roman" w:hAnsi="Times New Roman"/>
        </w:rPr>
        <w:t>Article II</w:t>
      </w:r>
    </w:p>
    <w:p>
      <w:pPr>
        <w:pStyle w:val="Heading3"/>
        <w:bidi w:val="0"/>
        <w:spacing w:before="0" w:after="0"/>
        <w:rPr>
          <w:rFonts w:ascii="Times New Roman" w:hAnsi="Times New Roman"/>
        </w:rPr>
      </w:pPr>
      <w:r>
        <w:rPr>
          <w:rFonts w:ascii="Times New Roman" w:hAnsi="Times New Roman"/>
        </w:rPr>
        <w:t>Binding Agreements</w:t>
      </w:r>
    </w:p>
    <w:p>
      <w:pPr>
        <w:pStyle w:val="Normal"/>
        <w:numPr>
          <w:ilvl w:val="0"/>
          <w:numId w:val="1"/>
        </w:numPr>
        <w:bidi w:val="0"/>
        <w:spacing w:before="120" w:after="0"/>
        <w:ind w:firstLine="720"/>
        <w:jc w:val="both"/>
        <w:rPr>
          <w:rFonts w:ascii="Times New Roman" w:hAnsi="Times New Roman"/>
          <w:sz w:val="22"/>
        </w:rPr>
      </w:pPr>
      <w:r>
        <w:rPr>
          <w:rFonts w:ascii="Times New Roman" w:hAnsi="Times New Roman"/>
          <w:b/>
          <w:smallCaps/>
          <w:sz w:val="22"/>
        </w:rPr>
        <w:t>Term</w:t>
      </w:r>
      <w:r>
        <w:rPr>
          <w:rFonts w:ascii="Times New Roman" w:hAnsi="Times New Roman"/>
          <w:sz w:val="22"/>
        </w:rPr>
        <w:t>.    This Agreement shall be in force and effect beginning on the date execution of this Agreement by the Seller and ending August 31, 2001 (the "Term").    The provisions of Section 3, Confidentiality, shall survive any termination of this Agreement, as necessary for them to expire according to their terms as expressed in that section.</w:t>
      </w:r>
    </w:p>
    <w:p>
      <w:pPr>
        <w:pStyle w:val="Normal"/>
        <w:numPr>
          <w:ilvl w:val="0"/>
          <w:numId w:val="1"/>
        </w:numPr>
        <w:bidi w:val="0"/>
        <w:spacing w:before="120" w:after="0"/>
        <w:ind w:firstLine="720"/>
        <w:jc w:val="both"/>
        <w:rPr>
          <w:rFonts w:ascii="Times New Roman" w:hAnsi="Times New Roman"/>
          <w:b/>
          <w:sz w:val="22"/>
        </w:rPr>
      </w:pPr>
      <w:r>
        <w:rPr>
          <w:rFonts w:ascii="Times New Roman" w:hAnsi="Times New Roman"/>
          <w:b/>
          <w:smallCaps/>
          <w:sz w:val="22"/>
        </w:rPr>
        <w:t>Exclusivity</w:t>
      </w:r>
      <w:r>
        <w:rPr>
          <w:rFonts w:ascii="Times New Roman" w:hAnsi="Times New Roman"/>
          <w:b/>
          <w:smallCaps/>
          <w:strike/>
          <w:sz w:val="22"/>
        </w:rPr>
        <w:t>{.}</w:t>
      </w:r>
      <w:r>
        <w:rPr>
          <w:rFonts w:ascii="Times New Roman" w:hAnsi="Times New Roman"/>
          <w:b/>
          <w:smallCaps/>
          <w:sz w:val="22"/>
        </w:rPr>
        <w:t xml:space="preserve"> [and breakage fee</w:t>
      </w:r>
      <w:r>
        <w:rPr>
          <w:rFonts w:ascii="Times New Roman" w:hAnsi="Times New Roman"/>
          <w:b/>
          <w:sz w:val="22"/>
        </w:rPr>
        <w:t>.</w:t>
      </w:r>
    </w:p>
    <w:p>
      <w:pPr>
        <w:pStyle w:val="BodyTextIndent2"/>
        <w:tabs>
          <w:tab w:val="clear" w:pos="720"/>
          <w:tab w:val="left" w:pos="1440" w:leader="none"/>
        </w:tabs>
        <w:bidi w:val="0"/>
        <w:rPr>
          <w:rFonts w:ascii="Times New Roman" w:hAnsi="Times New Roman"/>
          <w:b/>
        </w:rPr>
      </w:pPr>
      <w:r>
        <w:rPr>
          <w:rFonts w:ascii="Times New Roman" w:hAnsi="Times New Roman"/>
          <w:b/>
        </w:rPr>
        <w:t>(a)]</w:t>
      </w:r>
      <w:r>
        <w:rPr>
          <w:rFonts w:ascii="Times New Roman" w:hAnsi="Times New Roman"/>
        </w:rPr>
        <w:tab/>
        <w:t xml:space="preserve">In consideration of the efforts to be expended by Seller in providing information with respect to the Assets and the exclusivity rights granted </w:t>
      </w:r>
      <w:r>
        <w:rPr>
          <w:rFonts w:ascii="Times New Roman" w:hAnsi="Times New Roman"/>
          <w:b/>
        </w:rPr>
        <w:t>[in (b)]</w:t>
      </w:r>
      <w:r>
        <w:rPr>
          <w:rFonts w:ascii="Times New Roman" w:hAnsi="Times New Roman"/>
        </w:rPr>
        <w:t xml:space="preserve"> below, Buyer agrees to pay Seller </w:t>
      </w:r>
      <w:r>
        <w:rPr>
          <w:rFonts w:ascii="Times New Roman" w:hAnsi="Times New Roman"/>
          <w:strike/>
        </w:rPr>
        <w:t>{________________ Dollars ($___________) as an earnest payment “Earnest Payment”, within ___ days of the execution of this Agreement.}</w:t>
      </w:r>
      <w:r>
        <w:rPr>
          <w:rFonts w:ascii="Times New Roman" w:hAnsi="Times New Roman"/>
        </w:rPr>
        <w:t xml:space="preserve"> </w:t>
      </w:r>
      <w:r>
        <w:rPr>
          <w:rFonts w:ascii="Times New Roman" w:hAnsi="Times New Roman"/>
          <w:b/>
        </w:rPr>
        <w:t>[Fifty Thousand Dollars ($50,000) as a breakage fee (the “Breakage Fee”), within ten (10) days of Buyer’s determination to cease its pursuit of the Project with Seller.    Payment of the Breakage Fee shall be the sole and exclusive remedy available to Seller in the event that Buyer determines to cease pursuit of the Project.    No Breakage Fee shall be payable if it is Seller who elects not to consummate the Project or if the Term of this Agreement expires prior to the execution of the Definitive Agreement(s) due in whole or in part to Seller’s refusal to accept Buyer’s reasonably proposed terms.    If at any time following payment of the Breakage Fee the Parties consummate the Project, the Breakage shall be credited against the purchase price for the Assets set forth in the Definitive Agreement(s).</w:t>
      </w:r>
    </w:p>
    <w:p>
      <w:pPr>
        <w:pStyle w:val="BodyTextIndent2"/>
        <w:tabs>
          <w:tab w:val="clear" w:pos="720"/>
          <w:tab w:val="left" w:pos="1440" w:leader="none"/>
        </w:tabs>
        <w:bidi w:val="0"/>
        <w:rPr>
          <w:rFonts w:ascii="Times New Roman" w:hAnsi="Times New Roman"/>
        </w:rPr>
      </w:pPr>
      <w:r>
        <w:rPr>
          <w:rFonts w:ascii="Times New Roman" w:hAnsi="Times New Roman"/>
          <w:b/>
        </w:rPr>
        <w:t>(b)]</w:t>
      </w:r>
      <w:r>
        <w:rPr>
          <w:rFonts w:ascii="Times New Roman" w:hAnsi="Times New Roman"/>
        </w:rPr>
        <w:tab/>
        <w:t xml:space="preserve">In consideration of the efforts to be expended by Buyer in undertaking its due diligence review of the Project and Assets, Seller hereby grants to Buyer, during the Term of this Agreement (the "Exclusivity Period") the exclusive right to pursue the Project with Seller.    During the Exclusivity Period Seller shall not work with any other persons with regard to the Project or pursue any other transaction involving the Assets. </w:t>
      </w:r>
      <w:r>
        <w:rPr>
          <w:rFonts w:ascii="Times New Roman" w:hAnsi="Times New Roman"/>
          <w:strike/>
        </w:rPr>
        <w:t>{The Earnest Payment shall be credited against the agreed upon purchase price for the Assets set forth in the Definitive Agreement(s). If the Parties do not complete a sale of the Assets, Seller shall retain the Earnest Payment without further obligation to Buyer.}</w:t>
      </w:r>
    </w:p>
    <w:p>
      <w:pPr>
        <w:pStyle w:val="Normal"/>
        <w:numPr>
          <w:ilvl w:val="0"/>
          <w:numId w:val="1"/>
        </w:numPr>
        <w:bidi w:val="0"/>
        <w:spacing w:before="120" w:after="0"/>
        <w:ind w:firstLine="720"/>
        <w:jc w:val="both"/>
        <w:rPr>
          <w:rFonts w:ascii="Times New Roman" w:hAnsi="Times New Roman"/>
          <w:sz w:val="22"/>
        </w:rPr>
      </w:pPr>
      <w:r>
        <w:rPr>
          <w:rFonts w:ascii="Times New Roman" w:hAnsi="Times New Roman"/>
          <w:b/>
          <w:smallCaps/>
          <w:sz w:val="22"/>
        </w:rPr>
        <w:t>Confidentiality</w:t>
      </w:r>
      <w:r>
        <w:rPr>
          <w:rFonts w:ascii="Times New Roman" w:hAnsi="Times New Roman"/>
          <w:sz w:val="22"/>
        </w:rPr>
        <w:t>.    All confidential information exchanged between the Parties pursuant to this Agreement shall be subject to the terms of that certain Confidentiality Letter Agreement between SSI, CCI, and ENA dated February 21, 2001.</w:t>
      </w:r>
    </w:p>
    <w:p>
      <w:pPr>
        <w:pStyle w:val="Normal"/>
        <w:numPr>
          <w:ilvl w:val="0"/>
          <w:numId w:val="1"/>
        </w:numPr>
        <w:bidi w:val="0"/>
        <w:spacing w:before="120" w:after="0"/>
        <w:ind w:firstLine="720"/>
        <w:jc w:val="both"/>
        <w:rPr>
          <w:rFonts w:ascii="Times New Roman" w:hAnsi="Times New Roman"/>
          <w:sz w:val="22"/>
        </w:rPr>
      </w:pPr>
      <w:r>
        <w:rPr>
          <w:rFonts w:ascii="Times New Roman" w:hAnsi="Times New Roman"/>
          <w:b/>
          <w:smallCaps/>
          <w:sz w:val="22"/>
        </w:rPr>
        <w:t>Representations and Warranties</w:t>
      </w:r>
      <w:r>
        <w:rPr>
          <w:rFonts w:ascii="Times New Roman" w:hAnsi="Times New Roman"/>
          <w:sz w:val="22"/>
        </w:rPr>
        <w:t>.    Each Party hereby represents and warrants to the other Party that this Agreement (a) has been validly executed and delivered, (b) has been duly authorized by all action necessary for the authorization hereof, and (c) is the legal, valid and binding obligation of such Party, enforceable in accordance with its terms.</w:t>
      </w:r>
    </w:p>
    <w:p>
      <w:pPr>
        <w:pStyle w:val="Normal"/>
        <w:numPr>
          <w:ilvl w:val="0"/>
          <w:numId w:val="1"/>
        </w:numPr>
        <w:bidi w:val="0"/>
        <w:spacing w:before="120" w:after="0"/>
        <w:ind w:firstLine="720"/>
        <w:jc w:val="both"/>
        <w:rPr>
          <w:rFonts w:ascii="Times New Roman" w:hAnsi="Times New Roman"/>
          <w:sz w:val="22"/>
        </w:rPr>
      </w:pPr>
      <w:r>
        <w:rPr>
          <w:rFonts w:ascii="Times New Roman" w:hAnsi="Times New Roman"/>
          <w:b/>
          <w:smallCaps/>
          <w:sz w:val="22"/>
        </w:rPr>
        <w:t>Expenses</w:t>
      </w:r>
      <w:r>
        <w:rPr>
          <w:rFonts w:ascii="Times New Roman" w:hAnsi="Times New Roman"/>
          <w:sz w:val="22"/>
        </w:rPr>
        <w:t>.    Each Party shall bear its own costs associated with negotiating and performing under this Agreement.</w:t>
      </w:r>
    </w:p>
    <w:p>
      <w:pPr>
        <w:pStyle w:val="Normal"/>
        <w:numPr>
          <w:ilvl w:val="0"/>
          <w:numId w:val="1"/>
        </w:numPr>
        <w:bidi w:val="0"/>
        <w:spacing w:before="120" w:after="0"/>
        <w:ind w:firstLine="720"/>
        <w:jc w:val="both"/>
        <w:rPr>
          <w:rFonts w:ascii="Times New Roman" w:hAnsi="Times New Roman"/>
          <w:sz w:val="22"/>
        </w:rPr>
      </w:pPr>
      <w:r>
        <w:rPr>
          <w:rFonts w:ascii="Times New Roman" w:hAnsi="Times New Roman"/>
          <w:b/>
          <w:smallCaps/>
          <w:sz w:val="22"/>
        </w:rPr>
        <w:t>Approval</w:t>
      </w:r>
      <w:r>
        <w:rPr>
          <w:rFonts w:ascii="Times New Roman" w:hAnsi="Times New Roman"/>
          <w:sz w:val="22"/>
        </w:rPr>
        <w:t xml:space="preserve">.    No Party shall be bound to perform any duty or obligation of any kind as to the Assets, the Project or otherwise except as specifically provided in this Article II, unless and until (a) such Party's respective management, or other governing body, shall have approved the Definitive Agreement, (b) such Party shall have executed the Definitive Agreement. </w:t>
      </w:r>
    </w:p>
    <w:p>
      <w:pPr>
        <w:pStyle w:val="Normal"/>
        <w:numPr>
          <w:ilvl w:val="0"/>
          <w:numId w:val="1"/>
        </w:numPr>
        <w:bidi w:val="0"/>
        <w:spacing w:before="120" w:after="0"/>
        <w:ind w:firstLine="720"/>
        <w:jc w:val="both"/>
        <w:rPr>
          <w:rFonts w:ascii="Times New Roman" w:hAnsi="Times New Roman"/>
          <w:sz w:val="22"/>
        </w:rPr>
      </w:pPr>
      <w:r>
        <w:rPr>
          <w:rFonts w:ascii="Times New Roman" w:hAnsi="Times New Roman"/>
          <w:b/>
          <w:smallCaps/>
          <w:sz w:val="22"/>
        </w:rPr>
        <w:t>Entire Agreement</w:t>
      </w:r>
      <w:r>
        <w:rPr>
          <w:rFonts w:ascii="Times New Roman" w:hAnsi="Times New Roman"/>
          <w:sz w:val="22"/>
        </w:rPr>
        <w:t>.    This Agreement and the Confidentiality Letter Agreement constitute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numPr>
          <w:ilvl w:val="0"/>
          <w:numId w:val="1"/>
        </w:numPr>
        <w:bidi w:val="0"/>
        <w:spacing w:before="120" w:after="0"/>
        <w:ind w:firstLine="720"/>
        <w:jc w:val="both"/>
        <w:rPr>
          <w:rFonts w:ascii="Times New Roman" w:hAnsi="Times New Roman"/>
          <w:sz w:val="22"/>
        </w:rPr>
      </w:pPr>
      <w:r>
        <w:rPr>
          <w:rFonts w:ascii="Times New Roman" w:hAnsi="Times New Roman"/>
          <w:b/>
          <w:smallCaps/>
          <w:sz w:val="22"/>
        </w:rPr>
        <w:t>Governing Law</w:t>
      </w:r>
      <w:r>
        <w:rPr>
          <w:rFonts w:ascii="Times New Roman" w:hAnsi="Times New Roman"/>
          <w:sz w:val="22"/>
        </w:rPr>
        <w:t xml:space="preserve">.    </w:t>
      </w:r>
      <w:r>
        <w:rPr>
          <w:rFonts w:ascii="Times New Roman" w:hAnsi="Times New Roman"/>
          <w:smallCaps/>
          <w:sz w:val="22"/>
        </w:rPr>
        <w:t>This Agreement shall be governed by and construed in accordance with the laws of the State of Texas, without giving effect to conflict of laws principles.</w:t>
      </w:r>
    </w:p>
    <w:p>
      <w:pPr>
        <w:pStyle w:val="Normal"/>
        <w:numPr>
          <w:ilvl w:val="0"/>
          <w:numId w:val="1"/>
        </w:numPr>
        <w:bidi w:val="0"/>
        <w:spacing w:before="120" w:after="0"/>
        <w:ind w:firstLine="720"/>
        <w:jc w:val="both"/>
        <w:rPr>
          <w:rFonts w:ascii="Times New Roman" w:hAnsi="Times New Roman"/>
          <w:sz w:val="22"/>
        </w:rPr>
      </w:pPr>
      <w:r>
        <w:rPr>
          <w:rFonts w:ascii="Times New Roman" w:hAnsi="Times New Roman"/>
          <w:b/>
          <w:smallCaps/>
          <w:sz w:val="22"/>
        </w:rPr>
        <w:t>Non-Inclusive; Non-Binding</w:t>
      </w:r>
      <w:r>
        <w:rPr>
          <w:rFonts w:ascii="Times New Roman" w:hAnsi="Times New Roman"/>
          <w:sz w:val="22"/>
        </w:rPr>
        <w:t>.    This Agreement does not contain all matters upon which agreement must be reached in order for the Project to be completed.    This Agreement does not create and is not intended to create a binding and enforceable contract between the Parties with respect to any matters addressed in any portion of this Agreement other than in Article II hereof and it may not be relied upon by a Party as the basis for a contract by estoppel or otherwise.    A binding commitment with respect to the Project can only result from the execution and delivery of the Definitive Agreement(s).</w:t>
      </w:r>
    </w:p>
    <w:p>
      <w:pPr>
        <w:pStyle w:val="Normal"/>
        <w:numPr>
          <w:ilvl w:val="0"/>
          <w:numId w:val="1"/>
        </w:numPr>
        <w:bidi w:val="0"/>
        <w:spacing w:before="120" w:after="0"/>
        <w:ind w:firstLine="720"/>
        <w:jc w:val="both"/>
        <w:rPr>
          <w:rFonts w:ascii="Times New Roman" w:hAnsi="Times New Roman"/>
          <w:sz w:val="22"/>
        </w:rPr>
      </w:pPr>
      <w:r>
        <w:rPr>
          <w:rFonts w:ascii="Times New Roman" w:hAnsi="Times New Roman"/>
          <w:b/>
          <w:smallCaps/>
          <w:sz w:val="22"/>
        </w:rPr>
        <w:t>Relationship of the Parties</w:t>
      </w:r>
      <w:r>
        <w:rPr>
          <w:rFonts w:ascii="Times New Roman" w:hAnsi="Times New Roman"/>
          <w:sz w:val="22"/>
        </w:rPr>
        <w:t>.    The Parties shall not be deemed in a relationship of partners or joint venturers by virtue of this Agreement, nor shall either Party be an agent, representative, trustee or fiduciary of the other.    Neither Party shall have any authority to bind the other to any agreement.</w:t>
      </w:r>
    </w:p>
    <w:p>
      <w:pPr>
        <w:pStyle w:val="Normal"/>
        <w:numPr>
          <w:ilvl w:val="0"/>
          <w:numId w:val="1"/>
        </w:numPr>
        <w:bidi w:val="0"/>
        <w:spacing w:before="120" w:after="0"/>
        <w:ind w:firstLine="720"/>
        <w:jc w:val="both"/>
        <w:rPr>
          <w:rFonts w:ascii="Times New Roman" w:hAnsi="Times New Roman"/>
          <w:sz w:val="22"/>
        </w:rPr>
      </w:pPr>
      <w:r>
        <w:rPr>
          <w:rFonts w:ascii="Times New Roman" w:hAnsi="Times New Roman"/>
          <w:b/>
          <w:smallCaps/>
          <w:sz w:val="22"/>
        </w:rPr>
        <w:t>Limitation of Liability</w:t>
      </w:r>
      <w:r>
        <w:rPr>
          <w:rFonts w:ascii="Times New Roman" w:hAnsi="Times New Roman"/>
          <w:sz w:val="22"/>
        </w:rPr>
        <w:t xml:space="preserve">.    </w:t>
      </w:r>
      <w:r>
        <w:rPr>
          <w:rFonts w:ascii="Times New Roman" w:hAnsi="Times New Roman"/>
          <w:b/>
          <w:smallCaps/>
          <w:sz w:val="22"/>
        </w:rPr>
        <w:t>Notwithstanding anything herein to the contrary, neither Party nor their respective directors, officers, shareholders, managers, or employees will be liable to the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damages actual arising from the breaching Party's willful breach or sole, joint or concurrent negligence.</w:t>
      </w:r>
    </w:p>
    <w:p>
      <w:pPr>
        <w:pStyle w:val="Normal"/>
        <w:numPr>
          <w:ilvl w:val="0"/>
          <w:numId w:val="1"/>
        </w:numPr>
        <w:bidi w:val="0"/>
        <w:spacing w:before="120" w:after="0"/>
        <w:ind w:firstLine="720"/>
        <w:jc w:val="both"/>
        <w:rPr>
          <w:rFonts w:ascii="Times New Roman" w:hAnsi="Times New Roman"/>
          <w:sz w:val="22"/>
        </w:rPr>
      </w:pPr>
      <w:r>
        <w:rPr>
          <w:rFonts w:ascii="Times New Roman" w:hAnsi="Times New Roman"/>
          <w:b/>
          <w:smallCaps/>
          <w:sz w:val="22"/>
        </w:rPr>
        <w:t>Assignment</w:t>
      </w:r>
      <w:r>
        <w:rPr>
          <w:rFonts w:ascii="Times New Roman" w:hAnsi="Times New Roman"/>
          <w:sz w:val="22"/>
        </w:rPr>
        <w:t>.    Neither Party may assign this Agreement without the prior written approval of the other Party, which approval shall not be unreasonably withheld or delayed.    Notwithstanding the foregoing, however, Buyer may assign its obligations hereunder to any of its affiliates.</w:t>
      </w:r>
    </w:p>
    <w:p>
      <w:pPr>
        <w:pStyle w:val="Normal"/>
        <w:bidi w:val="0"/>
        <w:spacing w:before="120" w:after="0"/>
        <w:ind w:firstLine="720"/>
        <w:jc w:val="both"/>
        <w:rPr>
          <w:rFonts w:ascii="Times New Roman" w:hAnsi="Times New Roman"/>
          <w:sz w:val="22"/>
        </w:rPr>
      </w:pPr>
      <w:r>
        <w:rPr>
          <w:rFonts w:ascii="Times New Roman" w:hAnsi="Times New Roman"/>
          <w:sz w:val="22"/>
        </w:rPr>
        <w:t>If the provisions of Article I correctly set forth our current understanding and the provisions of Article II set forth our binding agreement,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bidi w:val="0"/>
        <w:spacing w:before="240" w:after="0"/>
        <w:ind w:hanging="0" w:start="5040"/>
        <w:jc w:val="both"/>
        <w:rPr>
          <w:rFonts w:ascii="Times New Roman" w:hAnsi="Times New Roman"/>
          <w:sz w:val="22"/>
        </w:rPr>
      </w:pPr>
      <w:r>
        <w:rPr>
          <w:rFonts w:ascii="Times New Roman" w:hAnsi="Times New Roman"/>
          <w:sz w:val="22"/>
        </w:rPr>
        <w:t>Very truly yours,</w:t>
      </w:r>
    </w:p>
    <w:p>
      <w:pPr>
        <w:pStyle w:val="Normal"/>
        <w:bidi w:val="0"/>
        <w:spacing w:before="360" w:after="0"/>
        <w:ind w:hanging="0" w:start="5040"/>
        <w:jc w:val="both"/>
        <w:rPr>
          <w:rFonts w:ascii="Times New Roman" w:hAnsi="Times New Roman"/>
          <w:b/>
          <w:sz w:val="22"/>
        </w:rPr>
      </w:pPr>
      <w:r>
        <w:rPr>
          <w:rFonts w:ascii="Times New Roman" w:hAnsi="Times New Roman"/>
          <w:b/>
          <w:sz w:val="22"/>
        </w:rPr>
        <w:t>Enron North America Corp.</w:t>
      </w:r>
    </w:p>
    <w:p>
      <w:pPr>
        <w:pStyle w:val="Normal"/>
        <w:tabs>
          <w:tab w:val="clear" w:pos="720"/>
          <w:tab w:val="left" w:pos="9360" w:leader="none"/>
        </w:tabs>
        <w:bidi w:val="0"/>
        <w:ind w:hanging="0" w:start="5040"/>
        <w:jc w:val="both"/>
        <w:rPr>
          <w:rFonts w:ascii="Times New Roman" w:hAnsi="Times New Roman"/>
          <w:sz w:val="22"/>
        </w:rPr>
      </w:pPr>
      <w:r>
        <w:rPr>
          <w:rFonts w:ascii="Times New Roman" w:hAnsi="Times New Roman"/>
          <w:sz w:val="22"/>
        </w:rPr>
      </w:r>
    </w:p>
    <w:p>
      <w:pPr>
        <w:pStyle w:val="Normal"/>
        <w:tabs>
          <w:tab w:val="clear" w:pos="720"/>
          <w:tab w:val="left" w:pos="9360" w:leader="none"/>
        </w:tabs>
        <w:bidi w:val="0"/>
        <w:ind w:hanging="0" w:start="5040"/>
        <w:jc w:val="both"/>
        <w:rPr>
          <w:rFonts w:ascii="Times New Roman" w:hAnsi="Times New Roman"/>
          <w:sz w:val="22"/>
        </w:rPr>
      </w:pPr>
      <w:r>
        <w:rPr>
          <w:rFonts w:ascii="Times New Roman" w:hAnsi="Times New Roman"/>
          <w:sz w:val="22"/>
        </w:rPr>
        <w:t xml:space="preserve">By:    </w:t>
      </w:r>
      <w:r>
        <w:rPr>
          <w:rFonts w:ascii="Times New Roman" w:hAnsi="Times New Roman"/>
          <w:sz w:val="22"/>
          <w:u w:val="single"/>
        </w:rPr>
        <w:tab/>
      </w:r>
    </w:p>
    <w:p>
      <w:pPr>
        <w:pStyle w:val="Normal"/>
        <w:tabs>
          <w:tab w:val="clear" w:pos="720"/>
          <w:tab w:val="left" w:pos="9360" w:leader="none"/>
        </w:tabs>
        <w:bidi w:val="0"/>
        <w:ind w:hanging="0" w:start="5040"/>
        <w:jc w:val="both"/>
        <w:rPr>
          <w:rFonts w:ascii="Times New Roman" w:hAnsi="Times New Roman"/>
          <w:sz w:val="22"/>
        </w:rPr>
      </w:pPr>
      <w:r>
        <w:rPr>
          <w:rFonts w:ascii="Times New Roman" w:hAnsi="Times New Roman"/>
          <w:sz w:val="22"/>
        </w:rPr>
        <w:t xml:space="preserve">Name:    </w:t>
      </w:r>
      <w:r>
        <w:rPr>
          <w:rFonts w:ascii="Times New Roman" w:hAnsi="Times New Roman"/>
          <w:sz w:val="22"/>
          <w:u w:val="single"/>
        </w:rPr>
        <w:tab/>
      </w:r>
    </w:p>
    <w:p>
      <w:pPr>
        <w:pStyle w:val="Normal"/>
        <w:tabs>
          <w:tab w:val="clear" w:pos="720"/>
          <w:tab w:val="left" w:pos="9360" w:leader="none"/>
        </w:tabs>
        <w:bidi w:val="0"/>
        <w:ind w:hanging="0" w:start="5040"/>
        <w:jc w:val="both"/>
        <w:rPr>
          <w:rFonts w:ascii="Times New Roman" w:hAnsi="Times New Roman"/>
          <w:sz w:val="22"/>
          <w:u w:val="single"/>
        </w:rPr>
      </w:pPr>
      <w:r>
        <w:rPr>
          <w:rFonts w:ascii="Times New Roman" w:hAnsi="Times New Roman"/>
          <w:sz w:val="22"/>
        </w:rPr>
        <w:t xml:space="preserve">Title:    </w:t>
      </w:r>
      <w:r>
        <w:rPr>
          <w:rFonts w:ascii="Times New Roman" w:hAnsi="Times New Roman"/>
          <w:sz w:val="22"/>
          <w:u w:val="single"/>
        </w:rPr>
        <w:tab/>
      </w:r>
    </w:p>
    <w:p>
      <w:pPr>
        <w:pStyle w:val="Normal"/>
        <w:bidi w:val="0"/>
        <w:spacing w:before="240" w:after="0"/>
        <w:jc w:val="both"/>
        <w:rPr>
          <w:rFonts w:ascii="Times New Roman" w:hAnsi="Times New Roman"/>
          <w:b/>
          <w:sz w:val="22"/>
        </w:rPr>
      </w:pPr>
      <w:r>
        <w:rPr>
          <w:rFonts w:ascii="Times New Roman" w:hAnsi="Times New Roman"/>
          <w:b/>
          <w:sz w:val="22"/>
        </w:rPr>
      </w:r>
    </w:p>
    <w:p>
      <w:pPr>
        <w:pStyle w:val="Normal"/>
        <w:bidi w:val="0"/>
        <w:spacing w:before="240" w:after="0"/>
        <w:jc w:val="both"/>
        <w:rPr>
          <w:rFonts w:ascii="Times New Roman" w:hAnsi="Times New Roman"/>
          <w:b/>
          <w:sz w:val="22"/>
        </w:rPr>
      </w:pPr>
      <w:r>
        <w:rPr>
          <w:rFonts w:ascii="Times New Roman" w:hAnsi="Times New Roman"/>
          <w:b/>
          <w:sz w:val="22"/>
        </w:rPr>
      </w:r>
    </w:p>
    <w:p>
      <w:pPr>
        <w:pStyle w:val="Normal"/>
        <w:bidi w:val="0"/>
        <w:spacing w:before="240" w:after="0"/>
        <w:jc w:val="both"/>
        <w:rPr>
          <w:rFonts w:ascii="Times New Roman" w:hAnsi="Times New Roman"/>
          <w:b/>
          <w:sz w:val="22"/>
        </w:rPr>
      </w:pPr>
      <w:r>
        <w:rPr>
          <w:rFonts w:ascii="Times New Roman" w:hAnsi="Times New Roman"/>
          <w:b/>
          <w:sz w:val="22"/>
        </w:rPr>
        <w:t>Acknowledged, Agreed to and Accepted,</w:t>
      </w:r>
    </w:p>
    <w:p>
      <w:pPr>
        <w:pStyle w:val="Normal"/>
        <w:bidi w:val="0"/>
        <w:jc w:val="both"/>
        <w:rPr>
          <w:rFonts w:ascii="Times New Roman" w:hAnsi="Times New Roman"/>
          <w:b/>
          <w:sz w:val="22"/>
        </w:rPr>
      </w:pPr>
      <w:r>
        <w:rPr>
          <w:rFonts w:ascii="Times New Roman" w:hAnsi="Times New Roman"/>
          <w:b/>
          <w:sz w:val="22"/>
        </w:rPr>
        <w:t>this ___ day of June, 2001.</w:t>
      </w:r>
    </w:p>
    <w:p>
      <w:pPr>
        <w:pStyle w:val="Normal"/>
        <w:bidi w:val="0"/>
        <w:spacing w:before="240" w:after="0"/>
        <w:jc w:val="both"/>
        <w:rPr>
          <w:rFonts w:ascii="Times New Roman" w:hAnsi="Times New Roman"/>
          <w:b/>
          <w:sz w:val="22"/>
        </w:rPr>
      </w:pPr>
      <w:r>
        <w:rPr>
          <w:rFonts w:ascii="Times New Roman" w:hAnsi="Times New Roman"/>
          <w:b/>
          <w:sz w:val="22"/>
        </w:rPr>
      </w:r>
    </w:p>
    <w:p>
      <w:pPr>
        <w:pStyle w:val="Normal"/>
        <w:bidi w:val="0"/>
        <w:spacing w:before="240" w:after="0"/>
        <w:jc w:val="both"/>
        <w:rPr>
          <w:rFonts w:ascii="Times New Roman" w:hAnsi="Times New Roman"/>
          <w:b/>
          <w:sz w:val="22"/>
        </w:rPr>
      </w:pPr>
      <w:r>
        <w:rPr>
          <w:rFonts w:ascii="Times New Roman" w:hAnsi="Times New Roman"/>
          <w:b/>
          <w:sz w:val="22"/>
        </w:rPr>
        <w:t>Skipping Stone, Inc.</w:t>
      </w:r>
    </w:p>
    <w:p>
      <w:pPr>
        <w:pStyle w:val="Normal"/>
        <w:tabs>
          <w:tab w:val="clear" w:pos="720"/>
          <w:tab w:val="left" w:pos="4320" w:leader="none"/>
        </w:tabs>
        <w:bidi w:val="0"/>
        <w:spacing w:before="600" w:after="0"/>
        <w:jc w:val="both"/>
        <w:rPr>
          <w:rFonts w:ascii="Times New Roman" w:hAnsi="Times New Roman"/>
          <w:sz w:val="22"/>
        </w:rPr>
      </w:pPr>
      <w:r>
        <w:rPr>
          <w:rFonts w:ascii="Times New Roman" w:hAnsi="Times New Roman"/>
          <w:sz w:val="22"/>
        </w:rPr>
        <w:t xml:space="preserve">By:    </w:t>
      </w:r>
      <w:r>
        <w:rPr>
          <w:rFonts w:ascii="Times New Roman" w:hAnsi="Times New Roman"/>
          <w:sz w:val="22"/>
          <w:u w:val="single"/>
        </w:rPr>
        <w:tab/>
      </w:r>
    </w:p>
    <w:p>
      <w:pPr>
        <w:pStyle w:val="Normal"/>
        <w:tabs>
          <w:tab w:val="clear" w:pos="720"/>
          <w:tab w:val="left" w:pos="4320" w:leader="none"/>
        </w:tabs>
        <w:bidi w:val="0"/>
        <w:jc w:val="both"/>
        <w:rPr>
          <w:rFonts w:ascii="Times New Roman" w:hAnsi="Times New Roman"/>
          <w:sz w:val="22"/>
        </w:rPr>
      </w:pPr>
      <w:r>
        <w:rPr>
          <w:rFonts w:ascii="Times New Roman" w:hAnsi="Times New Roman"/>
          <w:sz w:val="22"/>
        </w:rPr>
        <w:t xml:space="preserve">Printed Name: </w:t>
      </w:r>
      <w:r>
        <w:rPr>
          <w:rFonts w:ascii="Times New Roman" w:hAnsi="Times New Roman"/>
          <w:sz w:val="22"/>
          <w:u w:val="single"/>
        </w:rPr>
        <w:tab/>
      </w:r>
    </w:p>
    <w:p>
      <w:pPr>
        <w:pStyle w:val="Normal"/>
        <w:tabs>
          <w:tab w:val="clear" w:pos="720"/>
          <w:tab w:val="left" w:pos="4320" w:leader="none"/>
        </w:tabs>
        <w:bidi w:val="0"/>
        <w:jc w:val="both"/>
        <w:rPr>
          <w:rFonts w:ascii="Times New Roman" w:hAnsi="Times New Roman"/>
          <w:sz w:val="22"/>
          <w:u w:val="single"/>
        </w:rPr>
      </w:pPr>
      <w:r>
        <w:rPr>
          <w:rFonts w:ascii="Times New Roman" w:hAnsi="Times New Roman"/>
          <w:sz w:val="22"/>
        </w:rPr>
        <w:t xml:space="preserve">Title: </w:t>
      </w:r>
      <w:r>
        <w:rPr>
          <w:rFonts w:ascii="Times New Roman" w:hAnsi="Times New Roman"/>
          <w:sz w:val="22"/>
          <w:u w:val="single"/>
        </w:rPr>
        <w:tab/>
      </w:r>
    </w:p>
    <w:p>
      <w:pPr>
        <w:pStyle w:val="Normal"/>
        <w:bidi w:val="0"/>
        <w:spacing w:before="240" w:after="0"/>
        <w:jc w:val="both"/>
        <w:rPr>
          <w:rFonts w:ascii="Times New Roman" w:hAnsi="Times New Roman"/>
          <w:b/>
          <w:sz w:val="22"/>
        </w:rPr>
      </w:pPr>
      <w:r>
        <w:rPr>
          <w:rFonts w:ascii="Times New Roman" w:hAnsi="Times New Roman"/>
          <w:b/>
          <w:sz w:val="22"/>
        </w:rPr>
        <w:t>Capacity Center, Inc.</w:t>
      </w:r>
    </w:p>
    <w:p>
      <w:pPr>
        <w:pStyle w:val="Normal"/>
        <w:tabs>
          <w:tab w:val="clear" w:pos="720"/>
          <w:tab w:val="left" w:pos="4320" w:leader="none"/>
        </w:tabs>
        <w:bidi w:val="0"/>
        <w:spacing w:before="600" w:after="0"/>
        <w:jc w:val="both"/>
        <w:rPr>
          <w:rFonts w:ascii="Times New Roman" w:hAnsi="Times New Roman"/>
          <w:sz w:val="22"/>
        </w:rPr>
      </w:pPr>
      <w:r>
        <w:rPr>
          <w:rFonts w:ascii="Times New Roman" w:hAnsi="Times New Roman"/>
          <w:sz w:val="22"/>
        </w:rPr>
        <w:t xml:space="preserve">By:    </w:t>
      </w:r>
      <w:r>
        <w:rPr>
          <w:rFonts w:ascii="Times New Roman" w:hAnsi="Times New Roman"/>
          <w:sz w:val="22"/>
          <w:u w:val="single"/>
        </w:rPr>
        <w:tab/>
      </w:r>
    </w:p>
    <w:p>
      <w:pPr>
        <w:pStyle w:val="Normal"/>
        <w:tabs>
          <w:tab w:val="clear" w:pos="720"/>
          <w:tab w:val="left" w:pos="4320" w:leader="none"/>
        </w:tabs>
        <w:bidi w:val="0"/>
        <w:jc w:val="both"/>
        <w:rPr>
          <w:rFonts w:ascii="Times New Roman" w:hAnsi="Times New Roman"/>
          <w:sz w:val="22"/>
        </w:rPr>
      </w:pPr>
      <w:r>
        <w:rPr>
          <w:rFonts w:ascii="Times New Roman" w:hAnsi="Times New Roman"/>
          <w:sz w:val="22"/>
        </w:rPr>
        <w:t xml:space="preserve">Printed Name: </w:t>
      </w:r>
      <w:r>
        <w:rPr>
          <w:rFonts w:ascii="Times New Roman" w:hAnsi="Times New Roman"/>
          <w:sz w:val="22"/>
          <w:u w:val="single"/>
        </w:rPr>
        <w:tab/>
      </w:r>
    </w:p>
    <w:p>
      <w:pPr>
        <w:pStyle w:val="Normal"/>
        <w:tabs>
          <w:tab w:val="clear" w:pos="720"/>
          <w:tab w:val="left" w:pos="4320" w:leader="none"/>
        </w:tabs>
        <w:bidi w:val="0"/>
        <w:jc w:val="both"/>
        <w:rPr>
          <w:rFonts w:ascii="Times New Roman" w:hAnsi="Times New Roman"/>
          <w:sz w:val="22"/>
          <w:u w:val="single"/>
        </w:rPr>
      </w:pPr>
      <w:r>
        <w:rPr>
          <w:rFonts w:ascii="Times New Roman" w:hAnsi="Times New Roman"/>
          <w:sz w:val="22"/>
        </w:rPr>
        <w:t xml:space="preserve">Title: </w:t>
      </w:r>
      <w:r>
        <w:rPr>
          <w:rFonts w:ascii="Times New Roman" w:hAnsi="Times New Roman"/>
          <w:sz w:val="22"/>
          <w:u w:val="single"/>
        </w:rPr>
        <w:tab/>
      </w:r>
    </w:p>
    <w:p>
      <w:pPr>
        <w:pStyle w:val="Normal"/>
        <w:tabs>
          <w:tab w:val="clear" w:pos="720"/>
          <w:tab w:val="left" w:pos="4320" w:leader="none"/>
        </w:tabs>
        <w:bidi w:val="0"/>
        <w:jc w:val="both"/>
        <w:rPr>
          <w:rFonts w:ascii="Times New Roman" w:hAnsi="Times New Roman"/>
          <w:sz w:val="22"/>
          <w:u w:val="single"/>
        </w:rPr>
      </w:pPr>
      <w:r>
        <w:rPr>
          <w:rFonts w:ascii="Times New Roman" w:hAnsi="Times New Roman"/>
          <w:sz w:val="22"/>
          <w:u w:val="single"/>
        </w:rPr>
      </w:r>
    </w:p>
    <w:p>
      <w:pPr>
        <w:pStyle w:val="Normal"/>
        <w:tabs>
          <w:tab w:val="clear" w:pos="720"/>
          <w:tab w:val="left" w:pos="4320" w:leader="none"/>
        </w:tabs>
        <w:bidi w:val="0"/>
        <w:jc w:val="both"/>
        <w:rPr>
          <w:rFonts w:ascii="Times New Roman" w:hAnsi="Times New Roman"/>
          <w:sz w:val="22"/>
          <w:u w:val="single"/>
        </w:rPr>
      </w:pPr>
      <w:r>
        <w:rPr>
          <w:rFonts w:ascii="Times New Roman" w:hAnsi="Times New Roman"/>
          <w:sz w:val="22"/>
          <w:u w:val="single"/>
        </w:rPr>
      </w:r>
      <w:r>
        <w:br w:type="page"/>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 REVISION LIST ----------------------</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The bracketed numbers refer to the Page and Paragraph for the start of the paragraph in both the old and the new documents.</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[1:1 1:1] Changed</w:t>
        <w:tab/>
        <w:t>"13" to "19"</w:t>
      </w:r>
    </w:p>
    <w:p>
      <w:pPr>
        <w:pStyle w:val="Normal"/>
        <w:bidi w:val="0"/>
        <w:spacing w:lineRule="atLeast" w:line="240"/>
        <w:jc w:val="start"/>
        <w:rPr>
          <w:rFonts w:ascii="Times New Roman" w:hAnsi="Times New Roman"/>
        </w:rPr>
      </w:pPr>
      <w:r>
        <w:rPr>
          <w:rFonts w:ascii="Times New Roman" w:hAnsi="Times New Roman"/>
        </w:rPr>
        <w:t>[1:14 1:14] Changed</w:t>
        <w:tab/>
        <w:t>"[$_____________] " to "Two Million "</w:t>
      </w:r>
    </w:p>
    <w:p>
      <w:pPr>
        <w:pStyle w:val="Normal"/>
        <w:bidi w:val="0"/>
        <w:spacing w:lineRule="atLeast" w:line="240"/>
        <w:jc w:val="start"/>
        <w:rPr>
          <w:rFonts w:ascii="Times New Roman" w:hAnsi="Times New Roman"/>
        </w:rPr>
      </w:pPr>
      <w:r>
        <w:rPr>
          <w:rFonts w:ascii="Times New Roman" w:hAnsi="Times New Roman"/>
        </w:rPr>
        <w:t>[1:14 1:14] Changed</w:t>
        <w:tab/>
        <w:t>"($2,000,000.00) " to "($2,000,000) "</w:t>
      </w:r>
    </w:p>
    <w:p>
      <w:pPr>
        <w:pStyle w:val="Normal"/>
        <w:bidi w:val="0"/>
        <w:spacing w:lineRule="atLeast" w:line="240"/>
        <w:jc w:val="start"/>
        <w:rPr>
          <w:rFonts w:ascii="Times New Roman" w:hAnsi="Times New Roman"/>
        </w:rPr>
      </w:pPr>
      <w:r>
        <w:rPr>
          <w:rFonts w:ascii="Times New Roman" w:hAnsi="Times New Roman"/>
        </w:rPr>
        <w:t>[1:14 1:14] Changed</w:t>
        <w:tab/>
        <w:t>"[$ _____________] U.S. " to "Four Hundred Thousand "</w:t>
      </w:r>
    </w:p>
    <w:p>
      <w:pPr>
        <w:pStyle w:val="Normal"/>
        <w:bidi w:val="0"/>
        <w:spacing w:lineRule="atLeast" w:line="240"/>
        <w:jc w:val="start"/>
        <w:rPr>
          <w:rFonts w:ascii="Times New Roman" w:hAnsi="Times New Roman"/>
        </w:rPr>
      </w:pPr>
      <w:r>
        <w:rPr>
          <w:rFonts w:ascii="Times New Roman" w:hAnsi="Times New Roman"/>
        </w:rPr>
        <w:t>[1:14 1:14] Changed</w:t>
        <w:tab/>
        <w:t>"Dollars pursuant" to "Dollars ($400,000) pursuant"</w:t>
      </w:r>
    </w:p>
    <w:p>
      <w:pPr>
        <w:pStyle w:val="Normal"/>
        <w:bidi w:val="0"/>
        <w:spacing w:lineRule="atLeast" w:line="240"/>
        <w:jc w:val="start"/>
        <w:rPr>
          <w:rFonts w:ascii="Times New Roman" w:hAnsi="Times New Roman"/>
        </w:rPr>
      </w:pPr>
      <w:r>
        <w:rPr>
          <w:rFonts w:ascii="Times New Roman" w:hAnsi="Times New Roman"/>
        </w:rPr>
        <w:t>[1:19 1:19] Changed</w:t>
        <w:tab/>
        <w:t>"Exclusivity." to "Exclusivity and breakage fee."</w:t>
      </w:r>
    </w:p>
    <w:p>
      <w:pPr>
        <w:pStyle w:val="Normal"/>
        <w:bidi w:val="0"/>
        <w:spacing w:lineRule="atLeast" w:line="240"/>
        <w:jc w:val="start"/>
        <w:rPr>
          <w:rFonts w:ascii="Times New Roman" w:hAnsi="Times New Roman"/>
        </w:rPr>
      </w:pPr>
      <w:r>
        <w:rPr>
          <w:rFonts w:ascii="Times New Roman" w:hAnsi="Times New Roman"/>
        </w:rPr>
        <w:t>[1:19 1:20] Changed</w:t>
        <w:tab/>
        <w:t>"Exclusivity. In" to "(a) In"</w:t>
      </w:r>
    </w:p>
    <w:p>
      <w:pPr>
        <w:pStyle w:val="Normal"/>
        <w:bidi w:val="0"/>
        <w:spacing w:lineRule="atLeast" w:line="240"/>
        <w:jc w:val="start"/>
        <w:rPr>
          <w:rFonts w:ascii="Times New Roman" w:hAnsi="Times New Roman"/>
        </w:rPr>
      </w:pPr>
      <w:r>
        <w:rPr>
          <w:rFonts w:ascii="Times New Roman" w:hAnsi="Times New Roman"/>
        </w:rPr>
        <w:t>[1:19 1:20] Changed</w:t>
        <w:tab/>
        <w:t>"granted below," to "granted in (b) below,"</w:t>
      </w:r>
    </w:p>
    <w:p>
      <w:pPr>
        <w:pStyle w:val="Normal"/>
        <w:bidi w:val="0"/>
        <w:spacing w:lineRule="atLeast" w:line="240"/>
        <w:jc w:val="start"/>
        <w:rPr>
          <w:rFonts w:ascii="Times New Roman" w:hAnsi="Times New Roman"/>
        </w:rPr>
      </w:pPr>
      <w:r>
        <w:rPr>
          <w:rFonts w:ascii="Times New Roman" w:hAnsi="Times New Roman"/>
        </w:rPr>
        <w:t>[1:19 1:20] Changed</w:t>
        <w:tab/>
        <w:t>"Seller ________________" to "Seller Fifty    ...    Agreement(s)."</w:t>
      </w:r>
    </w:p>
    <w:p>
      <w:pPr>
        <w:pStyle w:val="Normal"/>
        <w:bidi w:val="0"/>
        <w:spacing w:lineRule="atLeast" w:line="240"/>
        <w:jc w:val="start"/>
        <w:rPr>
          <w:rFonts w:ascii="Times New Roman" w:hAnsi="Times New Roman"/>
        </w:rPr>
      </w:pPr>
      <w:r>
        <w:rPr>
          <w:rFonts w:ascii="Times New Roman" w:hAnsi="Times New Roman"/>
        </w:rPr>
        <w:t>[1:19 1:21] Changed</w:t>
        <w:tab/>
        <w:t>"________________    ...    Agreement. " to "(b) "</w:t>
      </w:r>
    </w:p>
    <w:p>
      <w:pPr>
        <w:pStyle w:val="Normal"/>
        <w:bidi w:val="0"/>
        <w:spacing w:lineRule="atLeast" w:line="240"/>
        <w:jc w:val="start"/>
        <w:rPr>
          <w:rFonts w:ascii="Times New Roman" w:hAnsi="Times New Roman"/>
        </w:rPr>
      </w:pPr>
      <w:r>
        <w:rPr>
          <w:rFonts w:ascii="Times New Roman" w:hAnsi="Times New Roman"/>
        </w:rPr>
        <w:t>[1:19 1:21] Changed</w:t>
        <w:tab/>
        <w:t>"Assets. The    ...    to Buyer." to "Assets."</w:t>
      </w:r>
    </w:p>
    <w:p>
      <w:pPr>
        <w:pStyle w:val="Normal"/>
        <w:bidi w:val="0"/>
        <w:spacing w:lineRule="atLeast" w:line="240"/>
        <w:jc w:val="start"/>
        <w:rPr>
          <w:rFonts w:ascii="Times New Roman" w:hAnsi="Times New Roman"/>
        </w:rPr>
      </w:pPr>
      <w:r>
        <w:rPr>
          <w:rFonts w:ascii="Times New Roman" w:hAnsi="Times New Roman"/>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296" w:right="1296" w:gutter="0" w:header="720" w:top="1440" w:footer="720" w:bottom="1440"/>
      <w:pgNumType w:start="1" w:fmt="decimal"/>
      <w:formProt w:val="false"/>
      <w:titlePg/>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rFonts w:ascii="Times New Roman" w:hAnsi="Times New Roman"/>
        <w:sz w:val="12"/>
      </w:rPr>
      <w:fldChar w:fldCharType="begin"/>
    </w:r>
    <w:r>
      <w:rPr>
        <w:sz w:val="12"/>
        <w:rFonts w:ascii="Times New Roman" w:hAnsi="Times New Roman"/>
      </w:rPr>
      <w:instrText xml:space="preserve"> FILENAME \p </w:instrText>
    </w:r>
    <w:r>
      <w:rPr>
        <w:sz w:val="12"/>
        <w:rFonts w:ascii="Times New Roman" w:hAnsi="Times New Roman"/>
      </w:rPr>
      <w:fldChar w:fldCharType="separate"/>
    </w:r>
    <w:r>
      <w:rPr>
        <w:sz w:val="12"/>
        <w:rFonts w:ascii="Times New Roman" w:hAnsi="Times New Roman"/>
      </w:rPr>
      <w:t>/mnt/main-storage/datasets/enron-docs/doc/LOI__6_19_01_redline.doc</w:t>
    </w:r>
    <w:r>
      <w:rPr>
        <w:sz w:val="12"/>
        <w:rFonts w:ascii="Times New Roman" w:hAnsi="Times New Roman"/>
      </w:rPr>
      <w:fldChar w:fldCharType="end"/>
    </w:r>
  </w:p>
  <w:p>
    <w:pPr>
      <w:pStyle w:val="Footer"/>
      <w:bidi w:val="0"/>
      <w:jc w:val="start"/>
      <w:rPr>
        <w:rFonts w:ascii="Times New Roman" w:hAnsi="Times New Roman"/>
      </w:rPr>
    </w:pPr>
    <w:r>
      <w:rPr>
        <w:rFonts w:ascii="Times New Roman" w:hAnsi="Times New Roman"/>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rFonts w:ascii="Times New Roman" w:hAnsi="Times New Roman"/>
        <w:sz w:val="12"/>
      </w:rPr>
      <w:fldChar w:fldCharType="begin"/>
    </w:r>
    <w:r>
      <w:rPr>
        <w:sz w:val="12"/>
        <w:rFonts w:ascii="Times New Roman" w:hAnsi="Times New Roman"/>
      </w:rPr>
      <w:instrText xml:space="preserve"> FILENAME \p </w:instrText>
    </w:r>
    <w:r>
      <w:rPr>
        <w:sz w:val="12"/>
        <w:rFonts w:ascii="Times New Roman" w:hAnsi="Times New Roman"/>
      </w:rPr>
      <w:fldChar w:fldCharType="separate"/>
    </w:r>
    <w:r>
      <w:rPr>
        <w:sz w:val="12"/>
        <w:rFonts w:ascii="Times New Roman" w:hAnsi="Times New Roman"/>
      </w:rPr>
      <w:t>/mnt/main-storage/datasets/enron-docs/doc/LOI__6_19_01_redline.doc</w:t>
    </w:r>
    <w:r>
      <w:rPr>
        <w:sz w:val="12"/>
        <w:rFonts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3330" w:leader="none"/>
        <w:tab w:val="center" w:pos="4320" w:leader="none"/>
        <w:tab w:val="left" w:pos="7200" w:leader="none"/>
        <w:tab w:val="right" w:pos="9540" w:leader="none"/>
      </w:tabs>
      <w:bidi w:val="0"/>
      <w:jc w:val="both"/>
      <w:rPr>
        <w:rFonts w:ascii="Times New Roman" w:hAnsi="Times New Roman"/>
        <w:sz w:val="22"/>
      </w:rPr>
    </w:pPr>
    <w:r>
      <w:rPr>
        <w:rFonts w:ascii="Times New Roman" w:hAnsi="Times New Roman"/>
        <w:sz w:val="22"/>
      </w:rPr>
      <w:t>Skipping Stone, Inc.</w:t>
    </w:r>
  </w:p>
  <w:p>
    <w:pPr>
      <w:pStyle w:val="Header"/>
      <w:tabs>
        <w:tab w:val="clear" w:pos="8640"/>
        <w:tab w:val="left" w:pos="-3330" w:leader="none"/>
        <w:tab w:val="center" w:pos="4320" w:leader="none"/>
        <w:tab w:val="left" w:pos="7200" w:leader="none"/>
        <w:tab w:val="right" w:pos="9540" w:leader="none"/>
      </w:tabs>
      <w:bidi w:val="0"/>
      <w:jc w:val="start"/>
      <w:rPr>
        <w:rFonts w:ascii="Times New Roman" w:hAnsi="Times New Roman"/>
        <w:sz w:val="22"/>
      </w:rPr>
    </w:pPr>
    <w:r>
      <w:rPr>
        <w:rFonts w:ascii="Times New Roman" w:hAnsi="Times New Roman"/>
        <w:sz w:val="22"/>
      </w:rPr>
      <w:t>June 19, 2001</w:t>
    </w:r>
  </w:p>
  <w:p>
    <w:pPr>
      <w:pStyle w:val="Header"/>
      <w:bidi w:val="0"/>
      <w:jc w:val="start"/>
      <w:rPr>
        <w:rStyle w:val="PageNumber"/>
        <w:rFonts w:ascii="Times New Roman" w:hAnsi="Times New Roman"/>
        <w:sz w:val="22"/>
      </w:rPr>
    </w:pPr>
    <w:r>
      <w:rPr>
        <w:rFonts w:ascii="Times New Roman" w:hAnsi="Times New Roman"/>
        <w:sz w:val="22"/>
      </w:rPr>
      <w:t xml:space="preserve">Page </w:t>
    </w:r>
    <w:r>
      <w:rPr>
        <w:rStyle w:val="PageNumber"/>
        <w:rFonts w:ascii="Times New Roman" w:hAnsi="Times New Roman"/>
        <w:sz w:val="22"/>
      </w:rPr>
      <w:fldChar w:fldCharType="begin"/>
    </w:r>
    <w:r>
      <w:rPr>
        <w:rStyle w:val="PageNumber"/>
        <w:sz w:val="22"/>
        <w:rFonts w:ascii="Times New Roman" w:hAnsi="Times New Roman"/>
      </w:rPr>
      <w:instrText xml:space="preserve"> PAGE </w:instrText>
    </w:r>
    <w:r>
      <w:rPr>
        <w:rStyle w:val="PageNumber"/>
        <w:sz w:val="22"/>
        <w:rFonts w:ascii="Times New Roman" w:hAnsi="Times New Roman"/>
      </w:rPr>
      <w:fldChar w:fldCharType="separate"/>
    </w:r>
    <w:r>
      <w:rPr>
        <w:rStyle w:val="PageNumber"/>
        <w:sz w:val="22"/>
        <w:rFonts w:ascii="Times New Roman" w:hAnsi="Times New Roman"/>
      </w:rPr>
      <w:t>6</w:t>
    </w:r>
    <w:r>
      <w:rPr>
        <w:rStyle w:val="PageNumber"/>
        <w:sz w:val="22"/>
        <w:rFonts w:ascii="Times New Roman" w:hAnsi="Times New Roman"/>
      </w:rPr>
      <w:fldChar w:fldCharType="end"/>
    </w:r>
  </w:p>
  <w:p>
    <w:pPr>
      <w:pStyle w:val="Header"/>
      <w:bidi w:val="0"/>
      <w:jc w:val="start"/>
      <w:rPr>
        <w:rStyle w:val="PageNumber"/>
        <w:rFonts w:ascii="Times New Roman" w:hAnsi="Times New Roman"/>
        <w:sz w:val="22"/>
      </w:rPr>
    </w:pPr>
    <w:r>
      <w:rPr>
        <w:rFonts w:ascii="Times New Roman" w:hAnsi="Times New Roman"/>
        <w:sz w:val="22"/>
      </w:rPr>
    </w:r>
  </w:p>
  <w:p>
    <w:pPr>
      <w:pStyle w:val="Header"/>
      <w:bidi w:val="0"/>
      <w:jc w:val="start"/>
      <w:rPr>
        <w:rFonts w:ascii="Times New Roman" w:hAnsi="Times New Roman"/>
        <w:sz w:val="22"/>
      </w:rPr>
    </w:pPr>
    <w:r>
      <w:rPr>
        <w:rFonts w:ascii="Times New Roman" w:hAnsi="Times New Roman"/>
        <w:sz w:val="2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3330" w:leader="none"/>
        <w:tab w:val="center" w:pos="4320" w:leader="none"/>
        <w:tab w:val="left" w:pos="7200" w:leader="none"/>
        <w:tab w:val="right" w:pos="9540" w:leader="none"/>
      </w:tabs>
      <w:bidi w:val="0"/>
      <w:jc w:val="start"/>
      <w:rPr>
        <w:rFonts w:ascii="Times New Roman" w:hAnsi="Times New Roman"/>
        <w:b/>
        <w:sz w:val="22"/>
      </w:rPr>
    </w:pPr>
    <w:r>
      <w:rPr>
        <w:rFonts w:ascii="Times New Roman" w:hAnsi="Times New Roman"/>
        <w:b/>
        <w:sz w:val="22"/>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1">
    <w:name w:val="heading 1"/>
    <w:basedOn w:val="Heading"/>
    <w:qFormat/>
    <w:pPr>
      <w:keepNext w:val="true"/>
      <w:widowControl w:val="false"/>
      <w:spacing w:before="240" w:after="120"/>
      <w:jc w:val="both"/>
    </w:pPr>
    <w:rPr>
      <w:b/>
      <w:sz w:val="22"/>
    </w:rPr>
  </w:style>
  <w:style w:type="paragraph" w:styleId="Heading2">
    <w:name w:val="heading 2"/>
    <w:basedOn w:val="Heading"/>
    <w:qFormat/>
    <w:pPr>
      <w:keepNext w:val="true"/>
      <w:widowControl w:val="false"/>
      <w:jc w:val="center"/>
    </w:pPr>
    <w:rPr>
      <w:b/>
      <w:smallCaps/>
      <w:sz w:val="28"/>
    </w:rPr>
  </w:style>
  <w:style w:type="paragraph" w:styleId="Heading3">
    <w:name w:val="heading 3"/>
    <w:basedOn w:val="Heading"/>
    <w:qFormat/>
    <w:pPr>
      <w:keepNext w:val="true"/>
      <w:spacing w:before="120" w:after="120"/>
      <w:jc w:val="center"/>
    </w:pPr>
    <w:rPr>
      <w:b/>
      <w:smallCaps/>
      <w:sz w:val="22"/>
    </w:rPr>
  </w:style>
  <w:style w:type="character" w:styleId="DefaultParagraphFont">
    <w:name w:val="Default Paragraph Font"/>
    <w:qFormat/>
    <w:rPr>
      <w:sz w:val="20"/>
    </w:rPr>
  </w:style>
  <w:style w:type="character" w:styleId="PageNumber">
    <w:name w:val="page number"/>
    <w:basedOn w:val="DefaultParagraphFont"/>
    <w:rPr/>
  </w:style>
  <w:style w:type="character" w:styleId="Emphasis">
    <w:name w:val="Emphasis"/>
    <w:basedOn w:val="DefaultParagraphFont"/>
    <w:qFormat/>
    <w:rPr>
      <w:i/>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120" w:after="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HeaderandFooter"/>
    <w:pPr>
      <w:widowControl w:val="false"/>
      <w:tabs>
        <w:tab w:val="clear" w:pos="720"/>
        <w:tab w:val="center" w:pos="4320" w:leader="none"/>
        <w:tab w:val="right" w:pos="8640" w:leader="none"/>
      </w:tabs>
    </w:pPr>
    <w:rPr>
      <w:sz w:val="26"/>
    </w:rPr>
  </w:style>
  <w:style w:type="paragraph" w:styleId="Footer">
    <w:name w:val="footer"/>
    <w:basedOn w:val="HeaderandFooter"/>
    <w:pPr>
      <w:widowControl w:val="false"/>
      <w:tabs>
        <w:tab w:val="clear" w:pos="720"/>
        <w:tab w:val="center" w:pos="4320" w:leader="none"/>
        <w:tab w:val="right" w:pos="8640" w:leader="none"/>
      </w:tabs>
    </w:pPr>
    <w:rPr>
      <w:sz w:val="26"/>
    </w:rPr>
  </w:style>
  <w:style w:type="paragraph" w:styleId="BodyTextIndent">
    <w:name w:val="Body Text Indent"/>
    <w:basedOn w:val="BodyText"/>
    <w:pPr>
      <w:widowControl w:val="false"/>
      <w:ind w:firstLine="720"/>
      <w:jc w:val="both"/>
    </w:pPr>
    <w:rPr>
      <w:b/>
      <w:sz w:val="22"/>
    </w:rPr>
  </w:style>
  <w:style w:type="paragraph" w:styleId="BlockText">
    <w:name w:val="Block Text"/>
    <w:qFormat/>
    <w:pPr>
      <w:widowControl w:val="false"/>
      <w:bidi w:val="0"/>
      <w:spacing w:before="480" w:after="0"/>
      <w:ind w:hanging="0" w:start="720" w:end="1008"/>
      <w:jc w:val="both"/>
    </w:pPr>
    <w:rPr>
      <w:rFonts w:ascii="Liberation Serif" w:hAnsi="Liberation Serif" w:eastAsia="Liberation Sans" w:cs="NotoSans NF"/>
      <w:color w:val="auto"/>
      <w:kern w:val="2"/>
      <w:sz w:val="22"/>
      <w:szCs w:val="24"/>
      <w:lang w:val="en-CA" w:eastAsia="zh-CN" w:bidi="hi-IN"/>
    </w:rPr>
  </w:style>
  <w:style w:type="paragraph" w:styleId="BodyTextIndent2">
    <w:name w:val="Body Text Indent 2"/>
    <w:qFormat/>
    <w:pPr>
      <w:widowControl w:val="false"/>
      <w:bidi w:val="0"/>
      <w:spacing w:before="120" w:after="0"/>
      <w:ind w:hanging="720" w:start="1440"/>
      <w:jc w:val="both"/>
    </w:pPr>
    <w:rPr>
      <w:rFonts w:ascii="Liberation Serif" w:hAnsi="Liberation Serif" w:eastAsia="Liberation Sans" w:cs="NotoSans NF"/>
      <w:color w:val="auto"/>
      <w:kern w:val="2"/>
      <w:sz w:val="22"/>
      <w:szCs w:val="24"/>
      <w:lang w:val="en-CA"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1480</Words>
  <CharactersWithSpaces>8437</CharactersWithSpaces>
  <Company>Enron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2001-06-19T11:43:00Z</dcterms:created>
  <dc:creator>ECT</dc:creator>
  <dc:description/>
  <dc:language>en-CA</dc:language>
  <cp:lastModifiedBy/>
  <cp:lastPrinted>2001-06-12T16:25:00Z</cp:lastPrinted>
  <dcterms:modified xsi:type="dcterms:W3CDTF">2001-06-19T12:11:00Z</dcterms:modified>
  <cp:revision>4</cp:revision>
  <dc:subject/>
  <dc:title>[ECT Letterhead]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svanhoo</vt:lpwstr>
  </property>
</Properties>
</file>