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June 19,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sz w:val="22"/>
        </w:rPr>
        <w:t>Skipping Stone, Inc.</w:t>
      </w:r>
      <w:r>
        <w:rPr>
          <w:sz w:val="22"/>
        </w:rPr>
        <w:t xml:space="preserve">, a Delaware corporation, (“SSI”) and its affiliate </w:t>
      </w:r>
      <w:r>
        <w:rPr>
          <w:b/>
          <w:sz w:val="22"/>
        </w:rPr>
        <w:t>Capacity Center, Inc.</w:t>
      </w:r>
      <w:r>
        <w:rPr>
          <w:sz w:val="22"/>
        </w:rPr>
        <w:t>, a corporation (“CCI”) (SSI and CCI collectively referred to as "Seller") and</w:t>
      </w:r>
      <w:r>
        <w:rPr>
          <w:b/>
          <w:sz w:val="22"/>
        </w:rPr>
        <w:t xml:space="preserve"> Enron North America Corp.</w:t>
      </w:r>
      <w:r>
        <w:rPr>
          <w:sz w:val="22"/>
        </w:rPr>
        <w:t>, a Delaware corporation ("Buyer") pursue the following activities: (i) Buyer’s purchasing from Seller, various rights and source code for energy industry software that is commonly referred  to as the “Service Bureau”, the “Data Exchange”, and the “Historical Data Base” (the “Assets”) all to be more particularly described in a forth coming definitive purchase agreement (the “Software Purchase Agreement and (ii) Buyer’s entering into a one year service agreement (the “Service Agreement”) under which SSI would provide programming, design, migration and maintenance services for the Service Bureau, Data Exchange, and the Historical Data Base (with (i) and (ii) collectively referred to as the "Project").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the first paragraph of this Agreement and in Article I are not intended to, and do not, constitute a binding agreement of the Parties with respect to the Project.  Any such binding agreement will only arise upon the negotiation, execution and delivery of one or more mutually satisfactory definitive agreements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smallCaps/>
          <w:sz w:val="22"/>
        </w:rPr>
        <w:t xml:space="preserve">Meeting.  </w:t>
      </w:r>
      <w:r>
        <w:rPr>
          <w:sz w:val="22"/>
        </w:rPr>
        <w:t xml:space="preserve">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w:t>
      </w:r>
    </w:p>
    <w:p>
      <w:pPr>
        <w:pStyle w:val="Normal"/>
        <w:widowControl/>
        <w:numPr>
          <w:ilvl w:val="0"/>
          <w:numId w:val="2"/>
        </w:numPr>
        <w:spacing w:before="120" w:after="0"/>
        <w:ind w:firstLine="810" w:start="-90" w:end="0"/>
        <w:jc w:val="both"/>
        <w:rPr>
          <w:sz w:val="22"/>
        </w:rPr>
      </w:pPr>
      <w:r>
        <w:rPr>
          <w:sz w:val="22"/>
        </w:rPr>
        <w:t>N</w:t>
      </w:r>
      <w:r>
        <w:rPr>
          <w:b/>
          <w:smallCaps/>
          <w:sz w:val="22"/>
        </w:rPr>
        <w:t xml:space="preserve">otional Purchase Price and Database Usage Rights.  </w:t>
      </w:r>
      <w:r>
        <w:rPr>
          <w:sz w:val="22"/>
        </w:rPr>
        <w:t>Neither Party is obligated hereunder to enter into any Definitive Agreement with the other, with respect to the Project.  Based solely on representations and statements made by Seller, it is currently anticipated that the value of the Project would support a purchase price for the Assets of approximately Two Million Dollars ($2,000,000) and Buyer’s payment of a monthly fee of approximately Four Hundred Thousand Dollars ($400,000) pursuant to the Service Agreement.  Because Seller desires to retain limited usage rights as to the Historical Data Base for the limited purpose of continuing is consultancy services, the Definitive Agreement(s) will provide Seller certain rights to use the Historical Data Base as an analytic resource to the extent such use is not competitive with Buyer’s plans for marketing products and services that utilize the Assets.  The extent to which Seller chooses to access the Historical Data Base will impact the size of the monthly fee Buyer is willing to pay under the Services Agreement.</w:t>
      </w:r>
    </w:p>
    <w:p>
      <w:pPr>
        <w:pStyle w:val="Normal"/>
        <w:widowControl/>
        <w:numPr>
          <w:ilvl w:val="0"/>
          <w:numId w:val="2"/>
        </w:numPr>
        <w:spacing w:before="120" w:after="0"/>
        <w:ind w:firstLine="810" w:start="-90" w:end="0"/>
        <w:jc w:val="both"/>
        <w:rPr>
          <w:sz w:val="22"/>
        </w:rPr>
      </w:pPr>
      <w:r>
        <w:rPr>
          <w:b/>
          <w:bCs/>
          <w:smallCaps/>
          <w:sz w:val="22"/>
        </w:rPr>
        <w:t xml:space="preserve">Milestones. </w:t>
      </w:r>
      <w:r>
        <w:rPr>
          <w:sz w:val="22"/>
        </w:rPr>
        <w:t>Within ten (10) working days after the effective date hereof, the Parties shall hold a meeting to establish certain milestones to be achieved and a schedule for their achievement, such as conducting due diligence, preparing a purchase agreement, service agreement and other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be in force and effect beginning on the date execution of this Agreement by the Seller and ending August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s>
        <w:spacing w:before="120" w:after="0"/>
        <w:ind w:firstLine="720" w:start="0" w:end="0"/>
        <w:jc w:val="both"/>
        <w:rPr>
          <w:sz w:val="22"/>
        </w:rPr>
      </w:pPr>
      <w:r>
        <w:rPr>
          <w:b/>
          <w:smallCaps/>
          <w:sz w:val="22"/>
        </w:rPr>
        <w:t>Exclusivity and breakage fee</w:t>
      </w:r>
      <w:r>
        <w:rPr>
          <w:sz w:val="22"/>
        </w:rPr>
        <w:t>.</w:t>
      </w:r>
    </w:p>
    <w:p>
      <w:pPr>
        <w:pStyle w:val="BodyTextIndent2"/>
        <w:numPr>
          <w:ilvl w:val="0"/>
          <w:numId w:val="3"/>
        </w:numPr>
        <w:tabs>
          <w:tab w:val="clear" w:pos="720"/>
          <w:tab w:val="left" w:pos="1440" w:leader="none"/>
        </w:tabs>
        <w:ind w:hanging="720" w:start="1440" w:end="0"/>
        <w:rPr/>
      </w:pPr>
      <w:r>
        <w:rPr/>
        <w:t>In consideration of the efforts to be expended by Seller in providing information with respect to the Assets and the exclusivity rights granted in (b) below, Buyer agrees to pay Seller Fifty Thousand Dollars ($50,000) as a breakage fee (the “Breakage Fee”), within ten (10) days of Buyer’s determination to cease its pursuit of the Project with Seller.  Payment of the Breakage Fee shall be the sole and exclusive remedy available to Seller in the event that Buyer determines to cease pursuit of the Project.  No Breakage Fee shall be payable if it is Seller who elects not to consummate the Project or if the Term of this Agreement expires prior to the execution of the Definitive Agreement(s) due in whole or in part to Seller’s refusal to accept Buyer’s reasonably proposed terms.  If at any time following payment of the Breakage Fee the Parties consummate the Project, the Breakage shall be credited against the purchase price for the Assets set forth in the Definitive Agreement(s).</w:t>
      </w:r>
    </w:p>
    <w:p>
      <w:pPr>
        <w:pStyle w:val="BodyTextIndent2"/>
        <w:tabs>
          <w:tab w:val="clear" w:pos="720"/>
          <w:tab w:val="left" w:pos="1440" w:leader="none"/>
        </w:tabs>
        <w:rPr/>
      </w:pPr>
      <w:r>
        <w:rPr/>
        <w:t>(b)</w:t>
        <w:tab/>
        <w:t>In consideration of the efforts to be expended by Buyer in undertaking its due diligence review of the Project and Assets, Seller hereby grants to Buyer, during the Term of this Agreement (the "Exclusivity Period") the exclusive right to pursue the Project with Seller.  During the Exclusivity Period Seller shall not work with any other persons with regard to the Project or pursue any other transaction involving the Assets.</w:t>
      </w:r>
    </w:p>
    <w:p>
      <w:pPr>
        <w:pStyle w:val="Normal"/>
        <w:widowControl/>
        <w:numPr>
          <w:ilvl w:val="0"/>
          <w:numId w:val="4"/>
        </w:numPr>
        <w:tabs>
          <w:tab w:val="clear" w:pos="720"/>
        </w:tabs>
        <w:spacing w:before="120" w:after="0"/>
        <w:ind w:firstLine="720" w:start="0" w:end="0"/>
        <w:jc w:val="both"/>
        <w:rPr>
          <w:sz w:val="22"/>
        </w:rPr>
      </w:pPr>
      <w:r>
        <w:rPr>
          <w:b/>
          <w:smallCaps/>
          <w:sz w:val="22"/>
        </w:rPr>
        <w:t>Confidentiality</w:t>
      </w:r>
      <w:r>
        <w:rPr>
          <w:sz w:val="22"/>
        </w:rPr>
        <w:t>.  All confidential information exchanged between the Parties pursuant to this Agreement shall be subject to the terms of that certain Confidentiality Letter Agreement between SSI, CCI, and ENA dated February 21, 2001.</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xml:space="preserve">.  No Party shall be bound to perform any duty or obligation of any kind as to the Assets, the Project or otherwise except as specifically provided in this Article II, unless and until (a) such Party's respective management, or other governing body, shall have approved the Definitive Agreement, (b) such Party shall have executed the Definitive Agreement. </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and the Confidentiality Letter Agreement constitute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any matters addressed in any portion of this Agreement other than in Article II hereof and it may not be relied upon by a Party as the basis for a contract by estoppel or otherwise.  A binding commitment with respect to the Project can only result from the execution and delivery of the Definitive Agreement(s).</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damages actual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sz w:val="22"/>
        </w:rPr>
      </w:pPr>
      <w:r>
        <w:rPr>
          <w:b/>
          <w:sz w:val="22"/>
        </w:rPr>
        <w:t>Enron North America Corp.</w:t>
      </w:r>
    </w:p>
    <w:p>
      <w:pPr>
        <w:pStyle w:val="Normal"/>
        <w:widowControl/>
        <w:tabs>
          <w:tab w:val="clear" w:pos="720"/>
          <w:tab w:val="left" w:pos="9360" w:leader="none"/>
        </w:tabs>
        <w:ind w:start="5040" w:end="0"/>
        <w:jc w:val="both"/>
        <w:rPr>
          <w:b/>
          <w:sz w:val="22"/>
        </w:rPr>
      </w:pPr>
      <w:r>
        <w:rPr>
          <w:b/>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June,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/mnt/main-storage/datasets/enron-docs/doc/LOI__6_19_01_.doc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/mnt/main-storage/datasets/enron-docs/doc/LOI__6_19_01_.doc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June 19,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120" w:after="0"/>
      <w:ind w:hanging="720" w:start="144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2001-06-19T14:13:00Z</dcterms:created>
  <dc:creator>ECT</dc:creator>
  <dc:description/>
  <dc:language>en-CA</dc:language>
  <cp:lastModifiedBy>svanhoo</cp:lastModifiedBy>
  <cp:lastPrinted>2001-06-12T16:25:00Z</cp:lastPrinted>
  <dcterms:modified xsi:type="dcterms:W3CDTF">2001-06-19T14:41:00Z</dcterms:modified>
  <cp:revision>4</cp:revision>
  <dc:subject/>
  <dc:title>[ECT Letterhead]</dc:title>
</cp:coreProperties>
</file>