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t>August 6, 1999</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Damon Morgan, P.E.</w:t>
      </w:r>
    </w:p>
    <w:p>
      <w:pPr>
        <w:pStyle w:val="Normal"/>
        <w:rPr>
          <w:sz w:val="22"/>
        </w:rPr>
      </w:pPr>
      <w:r>
        <w:rPr>
          <w:sz w:val="22"/>
        </w:rPr>
        <w:t>Director, Fuel Procurement &amp; Bulk Power Services</w:t>
      </w:r>
    </w:p>
    <w:p>
      <w:pPr>
        <w:pStyle w:val="Normal"/>
        <w:rPr>
          <w:sz w:val="22"/>
        </w:rPr>
      </w:pPr>
      <w:r>
        <w:rPr>
          <w:sz w:val="22"/>
        </w:rPr>
        <w:t>Alabama Electric Cooperative, Inc.</w:t>
      </w:r>
    </w:p>
    <w:p>
      <w:pPr>
        <w:pStyle w:val="Normal"/>
        <w:rPr>
          <w:sz w:val="22"/>
        </w:rPr>
      </w:pPr>
      <w:r>
        <w:rPr>
          <w:sz w:val="22"/>
        </w:rPr>
        <w:t>P.O. Box 550</w:t>
      </w:r>
    </w:p>
    <w:p>
      <w:pPr>
        <w:pStyle w:val="Normal"/>
        <w:rPr>
          <w:sz w:val="22"/>
        </w:rPr>
      </w:pPr>
      <w:r>
        <w:rPr>
          <w:sz w:val="22"/>
        </w:rPr>
        <w:t>Andalusia, AL  36420</w:t>
      </w:r>
    </w:p>
    <w:p>
      <w:pPr>
        <w:pStyle w:val="Normal"/>
        <w:rPr>
          <w:sz w:val="22"/>
        </w:rPr>
      </w:pPr>
      <w:r>
        <w:rPr>
          <w:sz w:val="22"/>
        </w:rPr>
      </w:r>
    </w:p>
    <w:p>
      <w:pPr>
        <w:pStyle w:val="Normal"/>
        <w:rPr>
          <w:sz w:val="22"/>
        </w:rPr>
      </w:pPr>
      <w:r>
        <w:rPr>
          <w:sz w:val="22"/>
        </w:rPr>
      </w:r>
    </w:p>
    <w:p>
      <w:pPr>
        <w:pStyle w:val="Normal"/>
        <w:jc w:val="both"/>
        <w:rPr>
          <w:sz w:val="22"/>
        </w:rPr>
      </w:pPr>
      <w:r>
        <w:rPr>
          <w:sz w:val="22"/>
        </w:rPr>
        <w:t>Mr. Morgan:</w:t>
      </w:r>
    </w:p>
    <w:p>
      <w:pPr>
        <w:pStyle w:val="Normal"/>
        <w:jc w:val="both"/>
        <w:rPr>
          <w:sz w:val="22"/>
        </w:rPr>
      </w:pPr>
      <w:r>
        <w:rPr>
          <w:sz w:val="22"/>
        </w:rPr>
      </w:r>
    </w:p>
    <w:p>
      <w:pPr>
        <w:pStyle w:val="Normal"/>
        <w:jc w:val="both"/>
        <w:rPr/>
      </w:pPr>
      <w:r>
        <w:rPr>
          <w:sz w:val="22"/>
        </w:rPr>
        <w:t>Attached is a Discussion Outline (“</w:t>
      </w:r>
      <w:r>
        <w:rPr>
          <w:sz w:val="22"/>
          <w:u w:val="single"/>
        </w:rPr>
        <w:t>Outline</w:t>
      </w:r>
      <w:r>
        <w:rPr>
          <w:sz w:val="22"/>
        </w:rPr>
        <w:t>”) prepared in connection with our ongoing conversation with you regarding the Prearranged Permanent Relinquishment of transportation capacity on FGT.  The attached is intended only as an outline of the basic structure of the transaction under consideration and is not intended to include all the terms and conditions of the related transaction.</w:t>
      </w:r>
    </w:p>
    <w:p>
      <w:pPr>
        <w:pStyle w:val="Normal"/>
        <w:jc w:val="both"/>
        <w:rPr>
          <w:sz w:val="22"/>
        </w:rPr>
      </w:pPr>
      <w:r>
        <w:rPr>
          <w:sz w:val="22"/>
        </w:rPr>
      </w:r>
    </w:p>
    <w:p>
      <w:pPr>
        <w:pStyle w:val="Normal"/>
        <w:jc w:val="both"/>
        <w:rPr>
          <w:sz w:val="22"/>
        </w:rPr>
      </w:pPr>
      <w:r>
        <w:rPr>
          <w:sz w:val="22"/>
        </w:rPr>
        <w:t xml:space="preserve">Alabama Electric Cooperative (“AEC”) has expressed a desire to contract with Enron Capital &amp; Trade Resources Corp. (“ECT”) assuming certain conditions can be met with regard to expected facility reimbursement costs on FGT and the attached Outline addresses those issues consistent with our last conversation. </w:t>
      </w:r>
    </w:p>
    <w:p>
      <w:pPr>
        <w:pStyle w:val="Normal"/>
        <w:jc w:val="both"/>
        <w:rPr>
          <w:sz w:val="22"/>
        </w:rPr>
      </w:pPr>
      <w:r>
        <w:rPr>
          <w:sz w:val="22"/>
        </w:rPr>
      </w:r>
    </w:p>
    <w:p>
      <w:pPr>
        <w:pStyle w:val="Normal"/>
        <w:jc w:val="both"/>
        <w:rPr>
          <w:sz w:val="22"/>
        </w:rPr>
      </w:pPr>
      <w:r>
        <w:rPr>
          <w:sz w:val="22"/>
        </w:rPr>
        <w:t>This letter and the Outline are confidential and should not be shown or discussed with any third party, including FGT.  The closing of this transaction is subject to further due diligence, the negotiation of definitive terms, the approval of management; review of the proposed structure of the transaction by our counsel and execution of mutually acceptable documentation.</w:t>
      </w:r>
    </w:p>
    <w:p>
      <w:pPr>
        <w:pStyle w:val="Normal"/>
        <w:jc w:val="both"/>
        <w:rPr>
          <w:sz w:val="22"/>
        </w:rPr>
      </w:pPr>
      <w:r>
        <w:rPr>
          <w:sz w:val="22"/>
        </w:rPr>
      </w:r>
    </w:p>
    <w:p>
      <w:pPr>
        <w:pStyle w:val="Normal"/>
        <w:jc w:val="both"/>
        <w:rPr>
          <w:sz w:val="22"/>
        </w:rPr>
      </w:pPr>
      <w:r>
        <w:rPr>
          <w:sz w:val="22"/>
        </w:rPr>
        <w:t xml:space="preserve">To indicate your interest in moving forward, please call me and we can begin to structure the transaction and issue contract drafts. </w:t>
      </w:r>
    </w:p>
    <w:p>
      <w:pPr>
        <w:pStyle w:val="Normal"/>
        <w:jc w:val="both"/>
        <w:rPr>
          <w:sz w:val="22"/>
        </w:rPr>
      </w:pPr>
      <w:r>
        <w:rPr>
          <w:sz w:val="22"/>
        </w:rPr>
      </w:r>
    </w:p>
    <w:p>
      <w:pPr>
        <w:pStyle w:val="Normal"/>
        <w:jc w:val="both"/>
        <w:rPr>
          <w:sz w:val="22"/>
        </w:rPr>
      </w:pPr>
      <w:r>
        <w:rPr>
          <w:sz w:val="22"/>
        </w:rPr>
        <w:tab/>
        <w:tab/>
        <w:tab/>
        <w:tab/>
        <w:tab/>
        <w:t>Sincerely,</w:t>
      </w:r>
    </w:p>
    <w:p>
      <w:pPr>
        <w:pStyle w:val="Normal"/>
        <w:jc w:val="both"/>
        <w:rPr>
          <w:sz w:val="22"/>
        </w:rPr>
      </w:pPr>
      <w:r>
        <w:rPr>
          <w:sz w:val="22"/>
        </w:rPr>
      </w:r>
    </w:p>
    <w:p>
      <w:pPr>
        <w:pStyle w:val="Normal"/>
        <w:jc w:val="both"/>
        <w:rPr>
          <w:sz w:val="22"/>
        </w:rPr>
      </w:pPr>
      <w:r>
        <w:rPr>
          <w:sz w:val="22"/>
        </w:rPr>
        <w:tab/>
        <w:tab/>
        <w:tab/>
        <w:tab/>
        <w:tab/>
      </w:r>
    </w:p>
    <w:p>
      <w:pPr>
        <w:pStyle w:val="Normal"/>
        <w:jc w:val="both"/>
        <w:rPr>
          <w:sz w:val="22"/>
        </w:rPr>
      </w:pPr>
      <w:r>
        <w:rPr>
          <w:sz w:val="22"/>
        </w:rPr>
        <w:tab/>
        <w:tab/>
        <w:tab/>
        <w:tab/>
        <w:tab/>
        <w:t>Oscar Dalton</w:t>
      </w:r>
    </w:p>
    <w:p>
      <w:pPr>
        <w:pStyle w:val="Normal"/>
        <w:jc w:val="both"/>
        <w:rPr>
          <w:sz w:val="22"/>
        </w:rPr>
      </w:pPr>
      <w:r>
        <w:rPr>
          <w:sz w:val="22"/>
        </w:rPr>
        <w:tab/>
        <w:tab/>
        <w:tab/>
        <w:tab/>
        <w:tab/>
        <w:t>Manager</w:t>
      </w:r>
    </w:p>
    <w:p>
      <w:pPr>
        <w:pStyle w:val="Normal"/>
        <w:jc w:val="both"/>
        <w:rPr>
          <w:sz w:val="22"/>
        </w:rPr>
      </w:pPr>
      <w:r>
        <w:rPr>
          <w:sz w:val="22"/>
        </w:rPr>
      </w:r>
    </w:p>
    <w:p>
      <w:pPr>
        <w:pStyle w:val="Normal"/>
        <w:jc w:val="both"/>
        <w:rPr>
          <w:sz w:val="22"/>
        </w:rPr>
      </w:pPr>
      <w:r>
        <w:rPr>
          <w:sz w:val="22"/>
        </w:rPr>
        <w:t>Enclosure</w:t>
      </w:r>
    </w:p>
    <w:p>
      <w:pPr>
        <w:pStyle w:val="Normal"/>
        <w:jc w:val="center"/>
        <w:rPr/>
      </w:pPr>
      <w:r>
        <w:rPr>
          <w:b/>
          <w:sz w:val="22"/>
        </w:rPr>
        <w:t>ENRON CAPITAL &amp; TRADE RESOURCES CORP. (“</w:t>
      </w:r>
      <w:r>
        <w:rPr>
          <w:b/>
          <w:sz w:val="22"/>
          <w:u w:val="single"/>
        </w:rPr>
        <w:t>ECT</w:t>
      </w:r>
      <w:r>
        <w:rPr>
          <w:b/>
          <w:sz w:val="22"/>
        </w:rPr>
        <w:t xml:space="preserve">”) </w:t>
      </w:r>
    </w:p>
    <w:p>
      <w:pPr>
        <w:pStyle w:val="Normal"/>
        <w:jc w:val="center"/>
        <w:rPr>
          <w:b/>
          <w:sz w:val="22"/>
        </w:rPr>
      </w:pPr>
      <w:r>
        <w:rPr>
          <w:b/>
          <w:sz w:val="22"/>
        </w:rPr>
        <w:t>Transportation Proposal and Outline</w:t>
      </w:r>
    </w:p>
    <w:p>
      <w:pPr>
        <w:pStyle w:val="Normal"/>
        <w:jc w:val="center"/>
        <w:rPr>
          <w:b/>
          <w:sz w:val="22"/>
        </w:rPr>
      </w:pPr>
      <w:r>
        <w:rPr>
          <w:b/>
          <w:sz w:val="22"/>
        </w:rPr>
        <w:t>for</w:t>
      </w:r>
    </w:p>
    <w:p>
      <w:pPr>
        <w:pStyle w:val="Normal"/>
        <w:jc w:val="center"/>
        <w:rPr>
          <w:b/>
          <w:sz w:val="22"/>
        </w:rPr>
      </w:pPr>
      <w:r>
        <w:rPr>
          <w:b/>
          <w:sz w:val="22"/>
        </w:rPr>
        <w:t>Alabama Electric Cooperative, Inc. (“AEC”)</w:t>
      </w:r>
    </w:p>
    <w:p>
      <w:pPr>
        <w:pStyle w:val="Normal"/>
        <w:jc w:val="center"/>
        <w:rPr>
          <w:b/>
          <w:sz w:val="22"/>
        </w:rPr>
      </w:pPr>
      <w:r>
        <w:rPr>
          <w:b/>
          <w:sz w:val="22"/>
        </w:rPr>
        <w:t>August 6, 1999</w:t>
      </w:r>
    </w:p>
    <w:p>
      <w:pPr>
        <w:pStyle w:val="Normal"/>
        <w:jc w:val="center"/>
        <w:rPr>
          <w:b/>
          <w:sz w:val="22"/>
        </w:rPr>
      </w:pPr>
      <w:r>
        <w:rPr>
          <w:b/>
          <w:sz w:val="22"/>
        </w:rPr>
      </w:r>
    </w:p>
    <w:p>
      <w:pPr>
        <w:pStyle w:val="Normal"/>
        <w:rPr>
          <w:b/>
          <w:sz w:val="22"/>
        </w:rPr>
      </w:pPr>
      <w:r>
        <w:rPr>
          <w:b/>
          <w:sz w:val="22"/>
        </w:rPr>
      </w:r>
    </w:p>
    <w:p>
      <w:pPr>
        <w:pStyle w:val="Normal"/>
        <w:tabs>
          <w:tab w:val="clear" w:pos="720"/>
          <w:tab w:val="left" w:pos="2880" w:leader="none"/>
        </w:tabs>
        <w:ind w:hanging="2520" w:start="2880" w:end="0"/>
        <w:rPr/>
      </w:pPr>
      <w:r>
        <w:rPr>
          <w:b/>
          <w:sz w:val="22"/>
        </w:rPr>
        <w:t>Type of Release:</w:t>
        <w:tab/>
      </w:r>
      <w:r>
        <w:rPr>
          <w:sz w:val="22"/>
        </w:rPr>
        <w:t>Prearranged Permanent Relinquishment referenced in Florida Gas Transmission (“FGT”) Gas Tariff, Sheet 164</w:t>
      </w:r>
    </w:p>
    <w:p>
      <w:pPr>
        <w:pStyle w:val="Normal"/>
        <w:tabs>
          <w:tab w:val="clear" w:pos="720"/>
          <w:tab w:val="left" w:pos="2880" w:leader="none"/>
        </w:tabs>
        <w:ind w:hanging="2520" w:start="2880" w:end="0"/>
        <w:rPr>
          <w:sz w:val="22"/>
        </w:rPr>
      </w:pPr>
      <w:r>
        <w:rPr>
          <w:sz w:val="22"/>
        </w:rPr>
      </w:r>
    </w:p>
    <w:p>
      <w:pPr>
        <w:pStyle w:val="Normal"/>
        <w:tabs>
          <w:tab w:val="clear" w:pos="720"/>
          <w:tab w:val="left" w:pos="2880" w:leader="none"/>
        </w:tabs>
        <w:ind w:hanging="2520" w:start="2880" w:end="0"/>
        <w:rPr/>
      </w:pPr>
      <w:r>
        <w:rPr>
          <w:b/>
          <w:sz w:val="22"/>
        </w:rPr>
        <w:t>Releasing Party:</w:t>
      </w:r>
      <w:r>
        <w:rPr>
          <w:sz w:val="22"/>
        </w:rPr>
        <w:tab/>
        <w:t>Enron Capital &amp; Trade Resources Corp. or its designated affiliate</w:t>
      </w:r>
    </w:p>
    <w:p>
      <w:pPr>
        <w:pStyle w:val="Normal"/>
        <w:tabs>
          <w:tab w:val="clear" w:pos="720"/>
          <w:tab w:val="left" w:pos="2880" w:leader="none"/>
        </w:tabs>
        <w:ind w:hanging="2520" w:start="2880" w:end="0"/>
        <w:rPr>
          <w:b/>
          <w:sz w:val="22"/>
        </w:rPr>
      </w:pPr>
      <w:r>
        <w:rPr>
          <w:b/>
          <w:sz w:val="22"/>
        </w:rPr>
      </w:r>
    </w:p>
    <w:p>
      <w:pPr>
        <w:pStyle w:val="Normal"/>
        <w:tabs>
          <w:tab w:val="clear" w:pos="720"/>
          <w:tab w:val="left" w:pos="2880" w:leader="none"/>
        </w:tabs>
        <w:ind w:hanging="2520" w:start="2880" w:end="0"/>
        <w:rPr/>
      </w:pPr>
      <w:r>
        <w:rPr>
          <w:b/>
          <w:sz w:val="22"/>
        </w:rPr>
        <w:t>Replacement Party:</w:t>
      </w:r>
      <w:r>
        <w:rPr>
          <w:sz w:val="22"/>
        </w:rPr>
        <w:tab/>
        <w:t>Alabama Electric Cooperative, Inc. (“AEC”)</w:t>
      </w:r>
    </w:p>
    <w:p>
      <w:pPr>
        <w:pStyle w:val="Normal"/>
        <w:tabs>
          <w:tab w:val="clear" w:pos="720"/>
          <w:tab w:val="left" w:pos="2880" w:leader="none"/>
        </w:tabs>
        <w:ind w:hanging="2520" w:start="2880" w:end="0"/>
        <w:rPr>
          <w:sz w:val="22"/>
        </w:rPr>
      </w:pPr>
      <w:r>
        <w:rPr>
          <w:sz w:val="22"/>
        </w:rPr>
      </w:r>
    </w:p>
    <w:p>
      <w:pPr>
        <w:pStyle w:val="Normal"/>
        <w:tabs>
          <w:tab w:val="clear" w:pos="720"/>
          <w:tab w:val="left" w:pos="2880" w:leader="none"/>
          <w:tab w:val="left" w:pos="5130" w:leader="none"/>
        </w:tabs>
        <w:ind w:hanging="2520" w:start="2880" w:end="0"/>
        <w:rPr/>
      </w:pPr>
      <w:r>
        <w:rPr>
          <w:b/>
          <w:sz w:val="22"/>
        </w:rPr>
        <w:t>Volume:</w:t>
      </w:r>
      <w:r>
        <w:rPr>
          <w:sz w:val="22"/>
        </w:rPr>
        <w:tab/>
        <w:t>80,000 MMBtu/d</w:t>
      </w:r>
    </w:p>
    <w:p>
      <w:pPr>
        <w:pStyle w:val="Normal"/>
        <w:tabs>
          <w:tab w:val="clear" w:pos="720"/>
          <w:tab w:val="left" w:pos="2880" w:leader="none"/>
        </w:tabs>
        <w:ind w:hanging="2520" w:start="2880" w:end="0"/>
        <w:rPr>
          <w:sz w:val="22"/>
        </w:rPr>
      </w:pPr>
      <w:r>
        <w:rPr>
          <w:sz w:val="22"/>
        </w:rPr>
      </w:r>
    </w:p>
    <w:p>
      <w:pPr>
        <w:pStyle w:val="Normal"/>
        <w:tabs>
          <w:tab w:val="clear" w:pos="720"/>
          <w:tab w:val="left" w:pos="2880" w:leader="none"/>
        </w:tabs>
        <w:ind w:hanging="2520" w:start="2880" w:end="0"/>
        <w:rPr/>
      </w:pPr>
      <w:r>
        <w:rPr>
          <w:b/>
          <w:sz w:val="22"/>
        </w:rPr>
        <w:t>Negotiated Rate:</w:t>
        <w:tab/>
      </w:r>
      <w:r>
        <w:rPr>
          <w:sz w:val="22"/>
        </w:rPr>
        <w:t>Facility</w:t>
        <w:tab/>
        <w:tab/>
        <w:t>Service</w:t>
        <w:tab/>
        <w:tab/>
        <w:t>100% LF</w:t>
        <w:tab/>
      </w:r>
    </w:p>
    <w:p>
      <w:pPr>
        <w:pStyle w:val="Normal"/>
        <w:tabs>
          <w:tab w:val="clear" w:pos="720"/>
          <w:tab w:val="left" w:pos="2880" w:leader="none"/>
        </w:tabs>
        <w:ind w:hanging="2520" w:start="2880" w:end="0"/>
        <w:rPr/>
      </w:pPr>
      <w:r>
        <w:rPr>
          <w:b/>
          <w:sz w:val="22"/>
        </w:rPr>
        <w:tab/>
      </w:r>
      <w:r>
        <w:rPr>
          <w:sz w:val="22"/>
        </w:rPr>
        <w:t>Charge</w:t>
        <w:tab/>
        <w:tab/>
        <w:t>Charge*</w:t>
        <w:tab/>
        <w:t>Rate</w:t>
      </w:r>
    </w:p>
    <w:p>
      <w:pPr>
        <w:pStyle w:val="Normal"/>
        <w:tabs>
          <w:tab w:val="clear" w:pos="720"/>
          <w:tab w:val="left" w:pos="2880" w:leader="none"/>
        </w:tabs>
        <w:ind w:hanging="2520" w:start="2880" w:end="0"/>
        <w:rPr>
          <w:b/>
          <w:sz w:val="22"/>
        </w:rPr>
      </w:pPr>
      <w:r>
        <w:rPr>
          <w:b/>
          <w:sz w:val="22"/>
        </w:rPr>
        <w:tab/>
      </w:r>
    </w:p>
    <w:p>
      <w:pPr>
        <w:pStyle w:val="Normal"/>
        <w:tabs>
          <w:tab w:val="clear" w:pos="720"/>
          <w:tab w:val="left" w:pos="2880" w:leader="none"/>
        </w:tabs>
        <w:ind w:hanging="2520" w:start="2880" w:end="0"/>
        <w:rPr/>
      </w:pPr>
      <w:r>
        <w:rPr>
          <w:b/>
          <w:sz w:val="22"/>
        </w:rPr>
        <w:t xml:space="preserve">   </w:t>
      </w:r>
      <w:r>
        <w:rPr>
          <w:sz w:val="22"/>
        </w:rPr>
        <w:t>12/1/01-11/30/03</w:t>
        <w:tab/>
        <w:t>$0.0801</w:t>
        <w:tab/>
        <w:t>$0.0028</w:t>
        <w:tab/>
        <w:t>$0.0829</w:t>
      </w:r>
    </w:p>
    <w:p>
      <w:pPr>
        <w:pStyle w:val="Normal"/>
        <w:tabs>
          <w:tab w:val="clear" w:pos="720"/>
          <w:tab w:val="left" w:pos="2880" w:leader="none"/>
        </w:tabs>
        <w:ind w:hanging="2520" w:start="2880" w:end="0"/>
        <w:rPr/>
      </w:pPr>
      <w:r>
        <w:rPr>
          <w:b/>
          <w:sz w:val="22"/>
        </w:rPr>
        <w:t xml:space="preserve">   </w:t>
      </w:r>
      <w:r>
        <w:rPr>
          <w:sz w:val="22"/>
        </w:rPr>
        <w:t>12/1/03-11/30/08</w:t>
        <w:tab/>
        <w:t>$0.0821</w:t>
        <w:tab/>
        <w:t>$0.0029</w:t>
        <w:tab/>
        <w:t>$0.0850</w:t>
      </w:r>
    </w:p>
    <w:p>
      <w:pPr>
        <w:pStyle w:val="Normal"/>
        <w:tabs>
          <w:tab w:val="clear" w:pos="720"/>
          <w:tab w:val="left" w:pos="2880" w:leader="none"/>
        </w:tabs>
        <w:ind w:hanging="2520" w:start="2880" w:end="0"/>
        <w:rPr>
          <w:sz w:val="22"/>
        </w:rPr>
      </w:pPr>
      <w:r>
        <w:rPr>
          <w:sz w:val="22"/>
        </w:rPr>
        <w:t xml:space="preserve">   </w:t>
      </w:r>
      <w:r>
        <w:rPr>
          <w:sz w:val="22"/>
        </w:rPr>
        <w:t>12/1/08-11/30/013</w:t>
        <w:tab/>
        <w:t>$0.0850</w:t>
        <w:tab/>
        <w:t>$0.0030</w:t>
        <w:tab/>
        <w:t>$0.0880</w:t>
      </w:r>
    </w:p>
    <w:p>
      <w:pPr>
        <w:pStyle w:val="Normal"/>
        <w:tabs>
          <w:tab w:val="clear" w:pos="720"/>
          <w:tab w:val="left" w:pos="2880" w:leader="none"/>
        </w:tabs>
        <w:ind w:hanging="2520" w:start="2880" w:end="0"/>
        <w:rPr>
          <w:b/>
          <w:sz w:val="22"/>
        </w:rPr>
      </w:pPr>
      <w:r>
        <w:rPr>
          <w:b/>
          <w:sz w:val="22"/>
        </w:rPr>
      </w:r>
    </w:p>
    <w:p>
      <w:pPr>
        <w:pStyle w:val="Normal"/>
        <w:tabs>
          <w:tab w:val="clear" w:pos="720"/>
          <w:tab w:val="left" w:pos="2880" w:leader="none"/>
        </w:tabs>
        <w:ind w:hanging="2520" w:start="2880" w:end="0"/>
        <w:rPr/>
      </w:pPr>
      <w:r>
        <w:rPr>
          <w:b/>
          <w:sz w:val="22"/>
        </w:rPr>
        <w:tab/>
      </w:r>
      <w:r>
        <w:rPr>
          <w:sz w:val="22"/>
        </w:rPr>
        <w:t>*Service Charge applicable to each MMBtu delivered plus $0.0007/MMBtu per 25 miles or any portion thereof in excess of 100 miles.</w:t>
      </w:r>
    </w:p>
    <w:p>
      <w:pPr>
        <w:pStyle w:val="Normal"/>
        <w:tabs>
          <w:tab w:val="clear" w:pos="720"/>
          <w:tab w:val="left" w:pos="2880" w:leader="none"/>
        </w:tabs>
        <w:ind w:hanging="2520" w:start="2880" w:end="0"/>
        <w:rPr>
          <w:sz w:val="22"/>
        </w:rPr>
      </w:pPr>
      <w:r>
        <w:rPr>
          <w:sz w:val="22"/>
        </w:rPr>
      </w:r>
    </w:p>
    <w:p>
      <w:pPr>
        <w:pStyle w:val="Normal"/>
        <w:tabs>
          <w:tab w:val="clear" w:pos="720"/>
          <w:tab w:val="left" w:pos="2880" w:leader="none"/>
        </w:tabs>
        <w:ind w:hanging="2520" w:start="2880" w:end="0"/>
        <w:rPr>
          <w:sz w:val="22"/>
        </w:rPr>
      </w:pPr>
      <w:r>
        <w:rPr>
          <w:sz w:val="22"/>
        </w:rPr>
        <w:tab/>
        <w:t>The rates are exclusive of fuel retention and all applicable fuel and transportation surcharges.  Transporter shall not collect any surcharge associated with GRI.</w:t>
      </w:r>
    </w:p>
    <w:p>
      <w:pPr>
        <w:pStyle w:val="Normal"/>
        <w:tabs>
          <w:tab w:val="clear" w:pos="720"/>
          <w:tab w:val="left" w:pos="2880" w:leader="none"/>
        </w:tabs>
        <w:ind w:hanging="2520" w:start="2880" w:end="0"/>
        <w:rPr>
          <w:b/>
          <w:sz w:val="22"/>
        </w:rPr>
      </w:pPr>
      <w:r>
        <w:rPr>
          <w:b/>
          <w:sz w:val="22"/>
        </w:rPr>
      </w:r>
    </w:p>
    <w:p>
      <w:pPr>
        <w:pStyle w:val="Normal"/>
        <w:tabs>
          <w:tab w:val="clear" w:pos="720"/>
          <w:tab w:val="left" w:pos="2880" w:leader="none"/>
        </w:tabs>
        <w:ind w:hanging="2520" w:start="2880" w:end="0"/>
        <w:rPr>
          <w:b/>
          <w:sz w:val="22"/>
        </w:rPr>
      </w:pPr>
      <w:r>
        <w:rPr>
          <w:b/>
          <w:sz w:val="22"/>
        </w:rPr>
        <w:t>Facility Reimbursement</w:t>
      </w:r>
    </w:p>
    <w:p>
      <w:pPr>
        <w:pStyle w:val="Normal"/>
        <w:tabs>
          <w:tab w:val="clear" w:pos="720"/>
          <w:tab w:val="left" w:pos="2880" w:leader="none"/>
        </w:tabs>
        <w:ind w:hanging="2520" w:start="2880" w:end="0"/>
        <w:rPr/>
      </w:pPr>
      <w:r>
        <w:rPr>
          <w:b/>
          <w:sz w:val="22"/>
        </w:rPr>
        <w:t>Costs:</w:t>
      </w:r>
      <w:r>
        <w:rPr>
          <w:sz w:val="22"/>
        </w:rPr>
        <w:tab/>
        <w:t>The Facility Reimbursement Costs are  $9,200,000 pursuant to negotiations between AEC and FGT; Accordingly, there will be no adjustment once the actual costs are subsequently incurred by FGT.</w:t>
      </w:r>
    </w:p>
    <w:p>
      <w:pPr>
        <w:pStyle w:val="Normal"/>
        <w:tabs>
          <w:tab w:val="clear" w:pos="720"/>
          <w:tab w:val="left" w:pos="2880" w:leader="none"/>
        </w:tabs>
        <w:ind w:hanging="2520" w:start="2880" w:end="0"/>
        <w:rPr>
          <w:b/>
          <w:sz w:val="22"/>
        </w:rPr>
      </w:pPr>
      <w:r>
        <w:rPr>
          <w:b/>
          <w:sz w:val="22"/>
        </w:rPr>
      </w:r>
    </w:p>
    <w:p>
      <w:pPr>
        <w:pStyle w:val="Normal"/>
        <w:tabs>
          <w:tab w:val="clear" w:pos="720"/>
          <w:tab w:val="left" w:pos="2880" w:leader="none"/>
        </w:tabs>
        <w:ind w:hanging="2520" w:start="2880" w:end="0"/>
        <w:rPr>
          <w:b/>
          <w:sz w:val="22"/>
        </w:rPr>
      </w:pPr>
      <w:r>
        <w:rPr>
          <w:b/>
          <w:sz w:val="22"/>
        </w:rPr>
      </w:r>
    </w:p>
    <w:p>
      <w:pPr>
        <w:pStyle w:val="Normal"/>
        <w:tabs>
          <w:tab w:val="clear" w:pos="720"/>
          <w:tab w:val="left" w:pos="2880" w:leader="none"/>
        </w:tabs>
        <w:ind w:hanging="2520" w:start="2880" w:end="0"/>
        <w:rPr>
          <w:b/>
          <w:sz w:val="22"/>
        </w:rPr>
      </w:pPr>
      <w:r>
        <w:rPr>
          <w:b/>
          <w:sz w:val="22"/>
        </w:rPr>
      </w:r>
    </w:p>
    <w:p>
      <w:pPr>
        <w:pStyle w:val="Normal"/>
        <w:tabs>
          <w:tab w:val="clear" w:pos="720"/>
          <w:tab w:val="left" w:pos="2880" w:leader="none"/>
        </w:tabs>
        <w:ind w:hanging="2520" w:start="2880" w:end="0"/>
        <w:rPr>
          <w:b/>
          <w:sz w:val="22"/>
        </w:rPr>
      </w:pPr>
      <w:r>
        <w:rPr>
          <w:b/>
          <w:sz w:val="22"/>
        </w:rPr>
      </w:r>
    </w:p>
    <w:p>
      <w:pPr>
        <w:pStyle w:val="Normal"/>
        <w:tabs>
          <w:tab w:val="clear" w:pos="720"/>
          <w:tab w:val="left" w:pos="2880" w:leader="none"/>
        </w:tabs>
        <w:ind w:hanging="2520" w:start="2880" w:end="0"/>
        <w:rPr>
          <w:b/>
          <w:sz w:val="22"/>
        </w:rPr>
      </w:pPr>
      <w:r>
        <w:rPr>
          <w:b/>
          <w:sz w:val="22"/>
        </w:rPr>
      </w:r>
    </w:p>
    <w:p>
      <w:pPr>
        <w:pStyle w:val="Normal"/>
        <w:tabs>
          <w:tab w:val="clear" w:pos="720"/>
          <w:tab w:val="left" w:pos="2880" w:leader="none"/>
        </w:tabs>
        <w:ind w:hanging="2520" w:start="2880" w:end="0"/>
        <w:rPr>
          <w:b/>
          <w:sz w:val="22"/>
        </w:rPr>
      </w:pPr>
      <w:r>
        <w:rPr>
          <w:b/>
          <w:sz w:val="22"/>
        </w:rPr>
      </w:r>
    </w:p>
    <w:p>
      <w:pPr>
        <w:pStyle w:val="Normal"/>
        <w:tabs>
          <w:tab w:val="clear" w:pos="720"/>
          <w:tab w:val="left" w:pos="2880" w:leader="none"/>
        </w:tabs>
        <w:ind w:hanging="2520" w:start="2880" w:end="0"/>
        <w:rPr>
          <w:b/>
          <w:sz w:val="22"/>
        </w:rPr>
      </w:pPr>
      <w:r>
        <w:rPr>
          <w:b/>
          <w:sz w:val="22"/>
        </w:rPr>
      </w:r>
    </w:p>
    <w:p>
      <w:pPr>
        <w:pStyle w:val="Normal"/>
        <w:tabs>
          <w:tab w:val="clear" w:pos="720"/>
          <w:tab w:val="left" w:pos="2880" w:leader="none"/>
        </w:tabs>
        <w:ind w:hanging="2520" w:start="2880" w:end="0"/>
        <w:rPr>
          <w:b/>
          <w:sz w:val="22"/>
        </w:rPr>
      </w:pPr>
      <w:r>
        <w:rPr>
          <w:b/>
          <w:sz w:val="22"/>
        </w:rPr>
      </w:r>
    </w:p>
    <w:p>
      <w:pPr>
        <w:pStyle w:val="Normal"/>
        <w:tabs>
          <w:tab w:val="clear" w:pos="720"/>
          <w:tab w:val="left" w:pos="2880" w:leader="none"/>
        </w:tabs>
        <w:ind w:hanging="2520" w:start="2880" w:end="0"/>
        <w:rPr>
          <w:b/>
          <w:sz w:val="22"/>
        </w:rPr>
      </w:pPr>
      <w:r>
        <w:rPr>
          <w:b/>
          <w:sz w:val="22"/>
        </w:rPr>
        <w:t>Facility Reimbursement</w:t>
      </w:r>
    </w:p>
    <w:p>
      <w:pPr>
        <w:pStyle w:val="Normal"/>
        <w:tabs>
          <w:tab w:val="clear" w:pos="720"/>
          <w:tab w:val="left" w:pos="2880" w:leader="none"/>
        </w:tabs>
        <w:ind w:hanging="2520" w:start="2880" w:end="0"/>
        <w:rPr>
          <w:sz w:val="22"/>
        </w:rPr>
      </w:pPr>
      <w:r>
        <w:rPr>
          <w:b/>
          <w:sz w:val="22"/>
        </w:rPr>
        <w:t>Charges:</w:t>
      </w:r>
    </w:p>
    <w:p>
      <w:pPr>
        <w:pStyle w:val="Normal"/>
        <w:tabs>
          <w:tab w:val="clear" w:pos="720"/>
          <w:tab w:val="left" w:pos="2880" w:leader="none"/>
        </w:tabs>
        <w:ind w:hanging="2520" w:start="2880" w:end="0"/>
        <w:rPr>
          <w:sz w:val="22"/>
        </w:rPr>
      </w:pPr>
      <w:r>
        <w:rPr>
          <w:sz w:val="22"/>
        </w:rPr>
        <w:tab/>
        <w:t>$8,100,000   for 80,000 MMBtu/d</w:t>
      </w:r>
    </w:p>
    <w:p>
      <w:pPr>
        <w:pStyle w:val="Normal"/>
        <w:tabs>
          <w:tab w:val="clear" w:pos="720"/>
          <w:tab w:val="left" w:pos="2880" w:leader="none"/>
        </w:tabs>
        <w:ind w:hanging="2520" w:start="2880" w:end="0"/>
        <w:rPr>
          <w:sz w:val="22"/>
        </w:rPr>
      </w:pPr>
      <w:r>
        <w:rPr>
          <w:sz w:val="22"/>
        </w:rPr>
      </w:r>
    </w:p>
    <w:p>
      <w:pPr>
        <w:pStyle w:val="Normal"/>
        <w:ind w:start="2880" w:end="0"/>
        <w:rPr>
          <w:sz w:val="22"/>
        </w:rPr>
      </w:pPr>
      <w:r>
        <w:rPr>
          <w:sz w:val="22"/>
        </w:rPr>
        <w:t>The above amount can be paid monthly over a twelve-year term and is based on the above fixed Facility Reimbursement Costs.  The financing rate will be a fixed rate determined prior to 11/1/01.  The rate will be based on a curve of  LIBOR swap rates + a basis point calculation reflective of AEC’s credit capacity and market conditions at the time of the rate lock.  ECT’s proposal does not lock or fix interest rates.  The rate will be fixed once AEC’s notifies ECT of its desire to fix the financing rate.</w:t>
      </w:r>
    </w:p>
    <w:p>
      <w:pPr>
        <w:pStyle w:val="Normal"/>
        <w:ind w:start="2880" w:end="0"/>
        <w:rPr>
          <w:sz w:val="22"/>
        </w:rPr>
      </w:pPr>
      <w:r>
        <w:rPr>
          <w:sz w:val="22"/>
        </w:rPr>
      </w:r>
    </w:p>
    <w:p>
      <w:pPr>
        <w:pStyle w:val="Normal"/>
        <w:ind w:start="2880" w:end="0"/>
        <w:rPr>
          <w:sz w:val="22"/>
        </w:rPr>
      </w:pPr>
      <w:r>
        <w:rPr>
          <w:sz w:val="22"/>
        </w:rPr>
        <w:t xml:space="preserve">The loan will amortize in 144 equal monthly payments, calculated based on the actual number of days in each month and a 360 day year.  First payment will be due 12/01/01.  </w:t>
      </w:r>
    </w:p>
    <w:p>
      <w:pPr>
        <w:pStyle w:val="Normal"/>
        <w:tabs>
          <w:tab w:val="clear" w:pos="720"/>
          <w:tab w:val="left" w:pos="2880" w:leader="none"/>
        </w:tabs>
        <w:rPr>
          <w:b/>
          <w:sz w:val="22"/>
        </w:rPr>
      </w:pPr>
      <w:r>
        <w:rPr>
          <w:b/>
          <w:sz w:val="22"/>
        </w:rPr>
        <w:t xml:space="preserve">   </w:t>
      </w:r>
    </w:p>
    <w:p>
      <w:pPr>
        <w:pStyle w:val="Normal"/>
        <w:tabs>
          <w:tab w:val="clear" w:pos="720"/>
          <w:tab w:val="left" w:pos="2880" w:leader="none"/>
        </w:tabs>
        <w:rPr>
          <w:b/>
          <w:sz w:val="22"/>
        </w:rPr>
      </w:pPr>
      <w:r>
        <w:rPr>
          <w:b/>
          <w:sz w:val="22"/>
        </w:rPr>
        <w:t xml:space="preserve">      </w:t>
      </w:r>
      <w:r>
        <w:rPr>
          <w:b/>
          <w:sz w:val="22"/>
        </w:rPr>
        <w:t>Facilities</w:t>
      </w:r>
    </w:p>
    <w:p>
      <w:pPr>
        <w:pStyle w:val="Heading2"/>
        <w:ind w:hanging="0" w:start="0"/>
        <w:rPr/>
      </w:pPr>
      <w:r>
        <w:rPr/>
        <w:t xml:space="preserve">      </w:t>
      </w:r>
      <w:r>
        <w:rPr/>
        <w:t>Reimbursement</w:t>
        <w:tab/>
      </w:r>
    </w:p>
    <w:p>
      <w:pPr>
        <w:pStyle w:val="Normal"/>
        <w:tabs>
          <w:tab w:val="clear" w:pos="720"/>
          <w:tab w:val="left" w:pos="2880" w:leader="none"/>
        </w:tabs>
        <w:rPr>
          <w:b/>
          <w:sz w:val="22"/>
        </w:rPr>
      </w:pPr>
      <w:r>
        <w:rPr>
          <w:b/>
          <w:sz w:val="22"/>
        </w:rPr>
        <w:t xml:space="preserve">      </w:t>
      </w:r>
      <w:r>
        <w:rPr>
          <w:b/>
          <w:sz w:val="22"/>
        </w:rPr>
        <w:t>Charges Example:</w:t>
        <w:tab/>
      </w:r>
      <w:r>
        <w:rPr>
          <w:sz w:val="22"/>
        </w:rPr>
        <w:t>Principal amount = $8,100,000</w:t>
      </w:r>
    </w:p>
    <w:p>
      <w:pPr>
        <w:pStyle w:val="Normal"/>
        <w:rPr>
          <w:sz w:val="22"/>
        </w:rPr>
      </w:pPr>
      <w:r>
        <w:rPr>
          <w:sz w:val="22"/>
        </w:rPr>
        <w:tab/>
        <w:tab/>
        <w:tab/>
        <w:tab/>
        <w:t>Current interest rate = 9.83%</w:t>
      </w:r>
    </w:p>
    <w:p>
      <w:pPr>
        <w:pStyle w:val="Normal"/>
        <w:rPr>
          <w:sz w:val="22"/>
        </w:rPr>
      </w:pPr>
      <w:r>
        <w:rPr>
          <w:sz w:val="22"/>
        </w:rPr>
        <w:tab/>
        <w:tab/>
        <w:tab/>
        <w:tab/>
        <w:t>Monthly payment = $96,653.00</w:t>
      </w:r>
    </w:p>
    <w:p>
      <w:pPr>
        <w:pStyle w:val="Normal"/>
        <w:rPr>
          <w:sz w:val="22"/>
        </w:rPr>
      </w:pPr>
      <w:r>
        <w:rPr>
          <w:sz w:val="22"/>
        </w:rPr>
      </w:r>
    </w:p>
    <w:p>
      <w:pPr>
        <w:pStyle w:val="Normal"/>
        <w:ind w:hanging="720" w:start="3600" w:end="0"/>
        <w:rPr>
          <w:sz w:val="22"/>
        </w:rPr>
      </w:pPr>
      <w:r>
        <w:rPr>
          <w:sz w:val="22"/>
        </w:rPr>
        <w:t xml:space="preserve">Sensitivity:  </w:t>
        <w:tab/>
        <w:t xml:space="preserve">LIBOR rates are 50 basis points higher </w:t>
      </w:r>
    </w:p>
    <w:p>
      <w:pPr>
        <w:pStyle w:val="Normal"/>
        <w:ind w:firstLine="720" w:start="3600" w:end="0"/>
        <w:rPr>
          <w:sz w:val="22"/>
        </w:rPr>
      </w:pPr>
      <w:r>
        <w:rPr>
          <w:sz w:val="22"/>
        </w:rPr>
        <w:t>in 2001</w:t>
      </w:r>
    </w:p>
    <w:p>
      <w:pPr>
        <w:pStyle w:val="Normal"/>
        <w:rPr>
          <w:sz w:val="22"/>
        </w:rPr>
      </w:pPr>
      <w:r>
        <w:rPr>
          <w:sz w:val="22"/>
        </w:rPr>
        <w:tab/>
        <w:tab/>
        <w:tab/>
        <w:tab/>
        <w:t>Monthly payment = $99,048.00</w:t>
      </w:r>
    </w:p>
    <w:p>
      <w:pPr>
        <w:pStyle w:val="Normal"/>
        <w:rPr>
          <w:sz w:val="22"/>
        </w:rPr>
      </w:pPr>
      <w:r>
        <w:rPr>
          <w:sz w:val="22"/>
        </w:rPr>
      </w:r>
    </w:p>
    <w:p>
      <w:pPr>
        <w:pStyle w:val="Normal"/>
        <w:rPr>
          <w:sz w:val="22"/>
        </w:rPr>
      </w:pPr>
      <w:r>
        <w:rPr>
          <w:sz w:val="22"/>
        </w:rPr>
        <w:tab/>
        <w:tab/>
        <w:tab/>
        <w:tab/>
      </w:r>
    </w:p>
    <w:p>
      <w:pPr>
        <w:pStyle w:val="Normal"/>
        <w:tabs>
          <w:tab w:val="clear" w:pos="720"/>
          <w:tab w:val="left" w:pos="2880" w:leader="none"/>
        </w:tabs>
        <w:ind w:hanging="2520" w:start="2880" w:end="0"/>
        <w:rPr/>
      </w:pPr>
      <w:r>
        <w:rPr>
          <w:b/>
          <w:sz w:val="22"/>
        </w:rPr>
        <w:t>Delivery Points:</w:t>
        <w:tab/>
      </w:r>
      <w:r>
        <w:rPr>
          <w:sz w:val="22"/>
        </w:rPr>
        <w:t xml:space="preserve">Existing FGT delivery station in Escambia County, Alabama with a delivery pressure guarantee of 850# provided by FGT.  AEC shall reimburse ECT an amount equal to $11,600 for the costs required to upgrade the delivery station to accommodate the incremental 80,000 mmbtu/d.  FGT’s estimate to upgrade the station is $13,277.  This number will be adjusted once the actual cost is provided by FGT. </w:t>
      </w:r>
    </w:p>
    <w:p>
      <w:pPr>
        <w:pStyle w:val="Normal"/>
        <w:tabs>
          <w:tab w:val="clear" w:pos="720"/>
          <w:tab w:val="left" w:pos="2880" w:leader="none"/>
        </w:tabs>
        <w:ind w:hanging="2520" w:start="2880" w:end="0"/>
        <w:rPr>
          <w:sz w:val="22"/>
        </w:rPr>
      </w:pPr>
      <w:r>
        <w:rPr>
          <w:sz w:val="22"/>
        </w:rPr>
      </w:r>
    </w:p>
    <w:p>
      <w:pPr>
        <w:pStyle w:val="Normal"/>
        <w:tabs>
          <w:tab w:val="clear" w:pos="720"/>
          <w:tab w:val="left" w:pos="2880" w:leader="none"/>
        </w:tabs>
        <w:ind w:hanging="2520" w:start="2880" w:end="0"/>
        <w:rPr/>
      </w:pPr>
      <w:r>
        <w:rPr>
          <w:b/>
          <w:sz w:val="22"/>
        </w:rPr>
        <w:t>Receipt Point(s):</w:t>
        <w:tab/>
      </w:r>
      <w:r>
        <w:rPr>
          <w:sz w:val="22"/>
        </w:rPr>
        <w:t>Destin Pipeline, Transco-Citronelle or other Zone 3 Points subject to availability of capacity.</w:t>
      </w:r>
    </w:p>
    <w:p>
      <w:pPr>
        <w:pStyle w:val="Normal"/>
        <w:tabs>
          <w:tab w:val="clear" w:pos="720"/>
          <w:tab w:val="left" w:pos="2880" w:leader="none"/>
        </w:tabs>
        <w:ind w:hanging="2520" w:start="2880" w:end="0"/>
        <w:rPr>
          <w:b/>
          <w:sz w:val="22"/>
        </w:rPr>
      </w:pPr>
      <w:r>
        <w:rPr>
          <w:b/>
          <w:sz w:val="22"/>
        </w:rPr>
      </w:r>
    </w:p>
    <w:p>
      <w:pPr>
        <w:pStyle w:val="Normal"/>
        <w:tabs>
          <w:tab w:val="clear" w:pos="720"/>
          <w:tab w:val="left" w:pos="2880" w:leader="none"/>
        </w:tabs>
        <w:ind w:hanging="2520" w:start="2880" w:end="0"/>
        <w:rPr>
          <w:b/>
          <w:sz w:val="22"/>
        </w:rPr>
      </w:pPr>
      <w:r>
        <w:rPr>
          <w:b/>
          <w:sz w:val="22"/>
        </w:rPr>
      </w:r>
    </w:p>
    <w:p>
      <w:pPr>
        <w:pStyle w:val="Normal"/>
        <w:tabs>
          <w:tab w:val="clear" w:pos="720"/>
          <w:tab w:val="left" w:pos="2880" w:leader="none"/>
        </w:tabs>
        <w:ind w:hanging="2520" w:start="2880" w:end="0"/>
        <w:rPr>
          <w:b/>
          <w:sz w:val="22"/>
        </w:rPr>
      </w:pPr>
      <w:r>
        <w:rPr>
          <w:b/>
          <w:sz w:val="22"/>
        </w:rPr>
      </w:r>
    </w:p>
    <w:p>
      <w:pPr>
        <w:pStyle w:val="Normal"/>
        <w:tabs>
          <w:tab w:val="clear" w:pos="720"/>
          <w:tab w:val="left" w:pos="2880" w:leader="none"/>
        </w:tabs>
        <w:ind w:hanging="2520" w:start="2880" w:end="0"/>
        <w:rPr>
          <w:b/>
          <w:sz w:val="22"/>
        </w:rPr>
      </w:pPr>
      <w:r>
        <w:rPr>
          <w:b/>
          <w:sz w:val="22"/>
        </w:rPr>
      </w:r>
    </w:p>
    <w:p>
      <w:pPr>
        <w:pStyle w:val="Normal"/>
        <w:tabs>
          <w:tab w:val="clear" w:pos="720"/>
          <w:tab w:val="left" w:pos="2880" w:leader="none"/>
        </w:tabs>
        <w:ind w:hanging="2520" w:start="2880" w:end="0"/>
        <w:rPr>
          <w:b/>
          <w:sz w:val="22"/>
        </w:rPr>
      </w:pPr>
      <w:r>
        <w:rPr>
          <w:b/>
          <w:sz w:val="22"/>
        </w:rPr>
      </w:r>
    </w:p>
    <w:p>
      <w:pPr>
        <w:pStyle w:val="Heading1"/>
        <w:rPr/>
      </w:pPr>
      <w:r>
        <w:rPr/>
        <w:t>Subsequent</w:t>
      </w:r>
    </w:p>
    <w:p>
      <w:pPr>
        <w:pStyle w:val="Normal"/>
        <w:tabs>
          <w:tab w:val="clear" w:pos="720"/>
          <w:tab w:val="left" w:pos="2880" w:leader="none"/>
        </w:tabs>
        <w:ind w:hanging="2520" w:start="2880" w:end="0"/>
        <w:rPr>
          <w:sz w:val="22"/>
        </w:rPr>
      </w:pPr>
      <w:r>
        <w:rPr>
          <w:b/>
          <w:sz w:val="22"/>
        </w:rPr>
        <w:t>Agreements</w:t>
        <w:tab/>
      </w:r>
      <w:r>
        <w:rPr>
          <w:sz w:val="22"/>
        </w:rPr>
        <w:t xml:space="preserve">If AEC and ECT decide to pursue the transaction described in this proposal, the parties will enter into negotiations to enter into a Letter of Understanding (the “Letter”) formalizing the commercial terms presented herein.  The Letter will contain as exhibits (i) a FGT Firm Transportation Service Agreement acceptable to both AEC and ECT and (ii) a FGT Reimbursement Agreement acceptable to both AEC and ECT, (The agreements referred to in (i) and (ii) shall be hereafter called the “FGT Agreements”).  The provisions of these agreements will mirror the terms already negotiated between AEC and FGT. </w:t>
      </w:r>
      <w:r>
        <w:rPr/>
        <w:tab/>
      </w:r>
    </w:p>
    <w:p>
      <w:pPr>
        <w:pStyle w:val="Normal"/>
        <w:tabs>
          <w:tab w:val="clear" w:pos="720"/>
          <w:tab w:val="left" w:pos="2880" w:leader="none"/>
        </w:tabs>
        <w:ind w:hanging="2520" w:start="2880" w:end="0"/>
        <w:rPr>
          <w:b/>
          <w:sz w:val="22"/>
        </w:rPr>
      </w:pPr>
      <w:r>
        <w:rPr>
          <w:b/>
          <w:sz w:val="22"/>
        </w:rPr>
      </w:r>
    </w:p>
    <w:p>
      <w:pPr>
        <w:pStyle w:val="Normal"/>
        <w:tabs>
          <w:tab w:val="clear" w:pos="720"/>
          <w:tab w:val="left" w:pos="2880" w:leader="none"/>
        </w:tabs>
        <w:ind w:hanging="2520" w:start="2880" w:end="0"/>
        <w:rPr>
          <w:b/>
          <w:sz w:val="22"/>
        </w:rPr>
      </w:pPr>
      <w:r>
        <w:rPr>
          <w:b/>
          <w:sz w:val="22"/>
        </w:rPr>
        <w:t>Effective Date of</w:t>
      </w:r>
    </w:p>
    <w:p>
      <w:pPr>
        <w:pStyle w:val="Normal"/>
        <w:tabs>
          <w:tab w:val="clear" w:pos="720"/>
          <w:tab w:val="left" w:pos="2880" w:leader="none"/>
        </w:tabs>
        <w:ind w:hanging="2520" w:start="2880" w:end="0"/>
        <w:rPr/>
      </w:pPr>
      <w:r>
        <w:rPr>
          <w:b/>
          <w:sz w:val="22"/>
        </w:rPr>
        <w:t>Letter</w:t>
      </w:r>
      <w:r>
        <w:rPr>
          <w:sz w:val="22"/>
        </w:rPr>
        <w:t>:</w:t>
        <w:tab/>
        <w:t>The effective date of the Letter shall be effective no later than August 31, 1999, with a Twelve (12) year firm transport service agreement starting on December 1, 2001.</w:t>
      </w:r>
    </w:p>
    <w:p>
      <w:pPr>
        <w:pStyle w:val="Normal"/>
        <w:tabs>
          <w:tab w:val="clear" w:pos="720"/>
          <w:tab w:val="left" w:pos="2880" w:leader="none"/>
        </w:tabs>
        <w:ind w:hanging="2520" w:start="2880" w:end="0"/>
        <w:rPr>
          <w:b/>
          <w:sz w:val="22"/>
        </w:rPr>
      </w:pPr>
      <w:r>
        <w:rPr>
          <w:b/>
          <w:sz w:val="22"/>
        </w:rPr>
      </w:r>
    </w:p>
    <w:p>
      <w:pPr>
        <w:pStyle w:val="Normal"/>
        <w:tabs>
          <w:tab w:val="clear" w:pos="720"/>
          <w:tab w:val="left" w:pos="2880" w:leader="none"/>
        </w:tabs>
        <w:ind w:hanging="2520" w:start="2880" w:end="0"/>
        <w:rPr>
          <w:b/>
          <w:sz w:val="22"/>
        </w:rPr>
      </w:pPr>
      <w:r>
        <w:rPr>
          <w:b/>
          <w:sz w:val="22"/>
        </w:rPr>
        <w:t>Timing to Enter</w:t>
      </w:r>
    </w:p>
    <w:p>
      <w:pPr>
        <w:pStyle w:val="Normal"/>
        <w:tabs>
          <w:tab w:val="clear" w:pos="720"/>
          <w:tab w:val="left" w:pos="2880" w:leader="none"/>
        </w:tabs>
        <w:ind w:hanging="2520" w:start="2880" w:end="0"/>
        <w:rPr>
          <w:b/>
          <w:sz w:val="22"/>
        </w:rPr>
      </w:pPr>
      <w:r>
        <w:rPr>
          <w:b/>
          <w:sz w:val="22"/>
        </w:rPr>
        <w:t>Into Service and</w:t>
      </w:r>
    </w:p>
    <w:p>
      <w:pPr>
        <w:pStyle w:val="Normal"/>
        <w:tabs>
          <w:tab w:val="clear" w:pos="720"/>
          <w:tab w:val="left" w:pos="2880" w:leader="none"/>
        </w:tabs>
        <w:ind w:hanging="2520" w:start="2880" w:end="0"/>
        <w:rPr>
          <w:b/>
          <w:sz w:val="22"/>
        </w:rPr>
      </w:pPr>
      <w:r>
        <w:rPr>
          <w:b/>
          <w:sz w:val="22"/>
        </w:rPr>
        <w:t>Reimbursement</w:t>
      </w:r>
    </w:p>
    <w:p>
      <w:pPr>
        <w:pStyle w:val="Normal"/>
        <w:tabs>
          <w:tab w:val="clear" w:pos="720"/>
          <w:tab w:val="left" w:pos="2880" w:leader="none"/>
        </w:tabs>
        <w:ind w:hanging="2520" w:start="2880" w:end="0"/>
        <w:rPr>
          <w:b/>
          <w:sz w:val="22"/>
        </w:rPr>
      </w:pPr>
      <w:r>
        <w:rPr>
          <w:b/>
          <w:sz w:val="22"/>
        </w:rPr>
        <w:t>Agreements and</w:t>
      </w:r>
    </w:p>
    <w:p>
      <w:pPr>
        <w:pStyle w:val="Normal"/>
        <w:tabs>
          <w:tab w:val="clear" w:pos="720"/>
          <w:tab w:val="left" w:pos="2880" w:leader="none"/>
        </w:tabs>
        <w:ind w:hanging="2520" w:start="2880" w:end="0"/>
        <w:rPr>
          <w:b/>
          <w:sz w:val="22"/>
        </w:rPr>
      </w:pPr>
      <w:r>
        <w:rPr>
          <w:b/>
          <w:sz w:val="22"/>
        </w:rPr>
        <w:t>Release Capacity:</w:t>
        <w:tab/>
      </w:r>
      <w:r>
        <w:rPr>
          <w:sz w:val="22"/>
        </w:rPr>
        <w:t>Upon execution of the Letter and provided all approvals are met, ECT or its designated affiliate, will subsequently enter into the FGT Agreements no later than September 30, 1999.  On or before November 1, 2001, ECT or its designated affiliate will cause the underlying FGT capacity to be released to AEC.</w:t>
        <w:tab/>
      </w:r>
    </w:p>
    <w:p>
      <w:pPr>
        <w:pStyle w:val="Normal"/>
        <w:tabs>
          <w:tab w:val="clear" w:pos="720"/>
          <w:tab w:val="left" w:pos="2880" w:leader="none"/>
        </w:tabs>
        <w:ind w:hanging="2520" w:start="2880" w:end="0"/>
        <w:rPr>
          <w:b/>
          <w:sz w:val="22"/>
        </w:rPr>
      </w:pPr>
      <w:r>
        <w:rPr>
          <w:b/>
          <w:sz w:val="22"/>
        </w:rPr>
        <w:t>Limitation of</w:t>
      </w:r>
    </w:p>
    <w:p>
      <w:pPr>
        <w:pStyle w:val="Normal"/>
        <w:tabs>
          <w:tab w:val="clear" w:pos="720"/>
          <w:tab w:val="left" w:pos="2880" w:leader="none"/>
        </w:tabs>
        <w:ind w:hanging="2520" w:start="2880" w:end="0"/>
        <w:jc w:val="both"/>
        <w:rPr/>
      </w:pPr>
      <w:r>
        <w:rPr>
          <w:b/>
          <w:sz w:val="22"/>
        </w:rPr>
        <w:t>Liability</w:t>
      </w:r>
      <w:r>
        <w:rPr>
          <w:sz w:val="22"/>
        </w:rPr>
        <w:t>:</w:t>
        <w:tab/>
        <w:t>The contract will include a provision limiting the liability of either party to direct actual damages.  There will be a disclaimer of all consequential, indirect, punitive and exemplary damages.</w:t>
      </w:r>
    </w:p>
    <w:p>
      <w:pPr>
        <w:pStyle w:val="Normal"/>
        <w:tabs>
          <w:tab w:val="clear" w:pos="720"/>
          <w:tab w:val="left" w:pos="2880" w:leader="none"/>
        </w:tabs>
        <w:ind w:hanging="2520" w:start="2880" w:end="0"/>
        <w:rPr>
          <w:b/>
          <w:sz w:val="22"/>
        </w:rPr>
      </w:pPr>
      <w:r>
        <w:rPr>
          <w:b/>
          <w:sz w:val="22"/>
        </w:rPr>
        <w:t>Conditions</w:t>
      </w:r>
    </w:p>
    <w:p>
      <w:pPr>
        <w:pStyle w:val="Normal"/>
        <w:tabs>
          <w:tab w:val="clear" w:pos="720"/>
          <w:tab w:val="left" w:pos="2880" w:leader="none"/>
        </w:tabs>
        <w:ind w:hanging="2520" w:start="2880" w:end="0"/>
        <w:rPr/>
      </w:pPr>
      <w:r>
        <w:rPr>
          <w:b/>
          <w:sz w:val="22"/>
        </w:rPr>
        <w:t xml:space="preserve">Precedent: </w:t>
        <w:tab/>
      </w:r>
      <w:r>
        <w:rPr>
          <w:sz w:val="22"/>
        </w:rPr>
        <w:t>Subject to:  (1) the approval of the board of directors of AEC and ECT; (2) the execution of definitive contracts; (3) the receipt of all necessary permits and; (4) the receipt of all applicable regulatory approvals in a form acceptable to ECT; (5) the completion of a due diligence review by ECT; and (6) the favorable resolution by ECT of certain other issues, including, but not limited to credit, tax and accounting treatment and structuring.</w:t>
      </w:r>
    </w:p>
    <w:p>
      <w:pPr>
        <w:pStyle w:val="Normal"/>
        <w:tabs>
          <w:tab w:val="clear" w:pos="720"/>
          <w:tab w:val="left" w:pos="2880" w:leader="none"/>
        </w:tabs>
        <w:ind w:hanging="2520" w:start="2880" w:end="0"/>
        <w:rPr>
          <w:sz w:val="22"/>
        </w:rPr>
      </w:pPr>
      <w:r>
        <w:rPr>
          <w:sz w:val="22"/>
        </w:rPr>
      </w:r>
    </w:p>
    <w:p>
      <w:pPr>
        <w:pStyle w:val="Normal"/>
        <w:tabs>
          <w:tab w:val="clear" w:pos="720"/>
          <w:tab w:val="left" w:pos="2880" w:leader="none"/>
        </w:tabs>
        <w:ind w:hanging="2520" w:start="2880" w:end="0"/>
        <w:rPr>
          <w:sz w:val="22"/>
        </w:rPr>
      </w:pPr>
      <w:r>
        <w:rPr>
          <w:sz w:val="22"/>
        </w:rPr>
      </w:r>
    </w:p>
    <w:p>
      <w:pPr>
        <w:pStyle w:val="Normal"/>
        <w:tabs>
          <w:tab w:val="clear" w:pos="720"/>
          <w:tab w:val="left" w:pos="2880" w:leader="none"/>
        </w:tabs>
        <w:ind w:hanging="2520" w:start="2880" w:end="0"/>
        <w:rPr>
          <w:sz w:val="22"/>
        </w:rPr>
      </w:pPr>
      <w:r>
        <w:rPr>
          <w:sz w:val="22"/>
        </w:rPr>
      </w:r>
    </w:p>
    <w:p>
      <w:pPr>
        <w:pStyle w:val="Normal"/>
        <w:tabs>
          <w:tab w:val="clear" w:pos="720"/>
          <w:tab w:val="left" w:pos="2880" w:leader="none"/>
        </w:tabs>
        <w:ind w:hanging="2520" w:start="2880" w:end="0"/>
        <w:jc w:val="both"/>
        <w:rPr/>
      </w:pPr>
      <w:r>
        <w:rPr>
          <w:b/>
          <w:sz w:val="22"/>
        </w:rPr>
        <w:t>Assignment:</w:t>
      </w:r>
      <w:r>
        <w:rPr>
          <w:sz w:val="22"/>
        </w:rPr>
        <w:tab/>
        <w:t xml:space="preserve">Neither party will assume the contract without prior written approval of the other party; provided, however, either party may assign its interest to an affiliate without the prior written agreement, but no such assignment shall operate to relieve the assigning party of its obligation hereunder.  </w:t>
      </w:r>
    </w:p>
    <w:p>
      <w:pPr>
        <w:pStyle w:val="Normal"/>
        <w:tabs>
          <w:tab w:val="clear" w:pos="720"/>
          <w:tab w:val="left" w:pos="0" w:leader="none"/>
        </w:tabs>
        <w:jc w:val="both"/>
        <w:rPr>
          <w:b/>
          <w:i/>
          <w:i/>
          <w:sz w:val="22"/>
        </w:rPr>
      </w:pPr>
      <w:r>
        <w:rPr>
          <w:b/>
          <w:i/>
          <w:sz w:val="22"/>
        </w:rPr>
      </w:r>
    </w:p>
    <w:p>
      <w:pPr>
        <w:pStyle w:val="Normal"/>
        <w:tabs>
          <w:tab w:val="clear" w:pos="720"/>
          <w:tab w:val="left" w:pos="0" w:leader="none"/>
        </w:tabs>
        <w:jc w:val="both"/>
        <w:rPr>
          <w:b/>
          <w:i/>
          <w:i/>
          <w:sz w:val="22"/>
        </w:rPr>
      </w:pPr>
      <w:r>
        <w:rPr>
          <w:b/>
          <w:i/>
          <w:sz w:val="22"/>
        </w:rPr>
      </w:r>
    </w:p>
    <w:p>
      <w:pPr>
        <w:pStyle w:val="Normal"/>
        <w:tabs>
          <w:tab w:val="clear" w:pos="720"/>
          <w:tab w:val="left" w:pos="0" w:leader="none"/>
        </w:tabs>
        <w:jc w:val="both"/>
        <w:rPr/>
      </w:pPr>
      <w:r>
        <w:rPr>
          <w:b/>
          <w:i/>
          <w:sz w:val="22"/>
        </w:rPr>
        <w:t>ANY TRANSACTION IS CONDITIONED UPON RESULTS OF A DUE DILIGENCE REVIEW.  NO DUE DILIGENCE HAS BEEN CONDUCTED BY ECT, ITS AFFILIATES OR REPRESENTATIVES.  THIS DRAFT DOES NOT CREATE A BINDING AND ENFORCEABLE CONTRACT OR COMMITMENT, AND MAY NOT BE RELIED UPON BY EITHER PARTY AS THE BASIS FOR A CONTRACT BY ESTOPPEL OR OTHERWISE</w:t>
      </w:r>
      <w:r>
        <w:rPr>
          <w:sz w:val="22"/>
        </w:rPr>
        <w:t>.</w:t>
      </w:r>
    </w:p>
    <w:sectPr>
      <w:headerReference w:type="default" r:id="rId2"/>
      <w:headerReference w:type="first" r:id="rId3"/>
      <w:type w:val="nextPage"/>
      <w:pgSz w:w="12240" w:h="15840"/>
      <w:pgMar w:left="2160" w:right="2160" w:gutter="0" w:header="720" w:top="189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p>
    <w:pPr>
      <w:pStyle w:val="Header"/>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880" w:leader="none"/>
      </w:tabs>
      <w:ind w:hanging="2520" w:start="2880" w:end="0"/>
      <w:outlineLvl w:val="0"/>
    </w:pPr>
    <w:rPr>
      <w:b/>
      <w:sz w:val="22"/>
    </w:rPr>
  </w:style>
  <w:style w:type="paragraph" w:styleId="Heading2">
    <w:name w:val="heading 2"/>
    <w:basedOn w:val="Normal"/>
    <w:next w:val="Normal"/>
    <w:qFormat/>
    <w:pPr>
      <w:keepNext w:val="true"/>
      <w:numPr>
        <w:ilvl w:val="1"/>
        <w:numId w:val="1"/>
      </w:numPr>
      <w:tabs>
        <w:tab w:val="clear" w:pos="720"/>
        <w:tab w:val="left" w:pos="2880" w:leader="none"/>
      </w:tabs>
      <w:outlineLvl w:val="1"/>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BodyTextIndent">
    <w:name w:val="Body Text Indent"/>
    <w:basedOn w:val="Normal"/>
    <w:pPr>
      <w:tabs>
        <w:tab w:val="clear" w:pos="720"/>
        <w:tab w:val="left" w:pos="2880" w:leader="none"/>
      </w:tabs>
      <w:ind w:hanging="2520" w:start="2880" w:end="0"/>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1999-08-06T16:17:00Z</dcterms:created>
  <dc:creator>ECT</dc:creator>
  <dc:description/>
  <dc:language>en-CA</dc:language>
  <cp:lastModifiedBy>odalton</cp:lastModifiedBy>
  <cp:lastPrinted>1999-08-06T13:48:00Z</cp:lastPrinted>
  <dcterms:modified xsi:type="dcterms:W3CDTF">1999-08-11T18:43:00Z</dcterms:modified>
  <cp:revision>5</cp:revision>
  <dc:subject/>
  <dc:title>August 19, 1997</dc:title>
</cp:coreProperties>
</file>