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ind w:firstLine="720" w:start="2880" w:end="0"/>
        <w:rPr>
          <w:b/>
          <w:sz w:val="22"/>
        </w:rPr>
      </w:pPr>
      <w:r>
        <w:rPr>
          <w:sz w:val="22"/>
        </w:rPr>
        <w:t xml:space="preserve">March </w:t>
      </w:r>
      <w:ins w:id="0" w:author="kmann" w:date="2001-03-19T22:43:00Z">
        <w:r>
          <w:rPr>
            <w:sz w:val="22"/>
          </w:rPr>
          <w:t>1</w:t>
        </w:r>
      </w:ins>
      <w:r>
        <w:rPr>
          <w:sz w:val="22"/>
        </w:rPr>
        <w:t>9, 2001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 xml:space="preserve">Attn.: </w:t>
        <w:tab/>
        <w:t>Mr. Marvin L. Carraway</w:t>
      </w:r>
    </w:p>
    <w:p>
      <w:pPr>
        <w:pStyle w:val="Normal"/>
        <w:ind w:firstLine="720" w:end="0"/>
        <w:jc w:val="both"/>
        <w:rPr>
          <w:sz w:val="22"/>
        </w:rPr>
      </w:pPr>
      <w:r>
        <w:rPr>
          <w:sz w:val="22"/>
        </w:rPr>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jc w:val="both"/>
        <w:rPr>
          <w:sz w:val="22"/>
        </w:rPr>
      </w:pPr>
      <w:r>
        <w:rPr>
          <w:sz w:val="22"/>
        </w:rPr>
        <w:t>Attn:</w:t>
        <w:tab/>
        <w:t>Mr. Robert Priest</w:t>
      </w:r>
    </w:p>
    <w:p>
      <w:pPr>
        <w:pStyle w:val="Normal"/>
        <w:jc w:val="both"/>
        <w:rPr>
          <w:sz w:val="22"/>
        </w:rPr>
      </w:pPr>
      <w:r>
        <w:rPr>
          <w:sz w:val="22"/>
        </w:rPr>
        <w:tab/>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Asset Management Proposal</w:t>
      </w:r>
    </w:p>
    <w:p>
      <w:pPr>
        <w:pStyle w:val="Normal"/>
        <w:jc w:val="both"/>
        <w:rPr>
          <w:sz w:val="22"/>
        </w:rPr>
      </w:pPr>
      <w:r>
        <w:rPr>
          <w:sz w:val="22"/>
        </w:rPr>
      </w:r>
    </w:p>
    <w:p>
      <w:pPr>
        <w:pStyle w:val="Normal"/>
        <w:jc w:val="both"/>
        <w:rPr>
          <w:sz w:val="22"/>
        </w:rPr>
      </w:pPr>
      <w:r>
        <w:rPr>
          <w:sz w:val="22"/>
        </w:rPr>
        <w:t>Dear Mr. Carraway and Mr. Priest:</w:t>
      </w:r>
    </w:p>
    <w:p>
      <w:pPr>
        <w:pStyle w:val="Normal"/>
        <w:jc w:val="both"/>
        <w:rPr>
          <w:sz w:val="22"/>
        </w:rPr>
      </w:pPr>
      <w:r>
        <w:rPr>
          <w:sz w:val="22"/>
        </w:rPr>
      </w:r>
    </w:p>
    <w:p>
      <w:pPr>
        <w:pStyle w:val="BodyText3"/>
        <w:jc w:val="both"/>
        <w:rPr/>
      </w:pPr>
      <w:r>
        <w:rPr/>
        <w:t>This letter of intent (“Agreement”), effective when executed by all the parties hereto, will evidence the current mutual intent, as set forth in Article I below, of Clarksdale Public Utilities Commission and Yazoo City Public Service Commission, (“The Cities”) and Enron Power Marketing, Inc., a Delaware corporation (“EPMI”), to evaluate the possibility of EPMI, for a period of two (2) years, (a) acting as the Asset Manager for all of The Cities power and gas resources, and (b) providing scheduling services (</w:t>
      </w:r>
      <w:ins w:id="1" w:author="kmann" w:date="2001-03-19T22:43:00Z">
        <w:r>
          <w:rPr/>
          <w:t xml:space="preserve">(a) and (b) hereinafter referred to as </w:t>
        </w:r>
      </w:ins>
      <w:r>
        <w:rPr/>
        <w:t>the “Proposed Transactions”).  The Cities (considered as one entity for the purpose of this Agreement) and EPMI shall each be a “Party” and collectively the two may be referred to as the “Parties”.</w:t>
      </w:r>
    </w:p>
    <w:p>
      <w:pPr>
        <w:pStyle w:val="BodyText3"/>
        <w:jc w:val="both"/>
        <w:rPr/>
      </w:pPr>
      <w:r>
        <w:rPr/>
      </w:r>
    </w:p>
    <w:p>
      <w:pPr>
        <w:pStyle w:val="Normal"/>
        <w:jc w:val="both"/>
        <w:rPr>
          <w:sz w:val="22"/>
        </w:rPr>
      </w:pPr>
      <w:r>
        <w:rPr>
          <w:sz w:val="22"/>
        </w:rPr>
        <w:t>The asset management services would consist of EPMI offering ongoing power and gas resource optimization, standard economic dispatch procedures, engineering review and recommendations for further optimization of power generation equipment and risk management services. The scheduling services would consist of all NERC tagging and scheduling, participating in a cost/benefit analysis of control area set up, and if feasible, assist with the establishment of a control area,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 EPMI would also act as The Cities’ Qualified Scheduling Entity (“QSE”) for interfacing with SPP.</w:t>
      </w:r>
    </w:p>
    <w:p>
      <w:pPr>
        <w:pStyle w:val="Normal"/>
        <w:jc w:val="both"/>
        <w:rPr>
          <w:sz w:val="22"/>
        </w:rPr>
      </w:pPr>
      <w:r>
        <w:rPr>
          <w:sz w:val="22"/>
        </w:rPr>
      </w:r>
    </w:p>
    <w:p>
      <w:pPr>
        <w:pStyle w:val="Normal"/>
        <w:jc w:val="both"/>
        <w:rPr>
          <w:sz w:val="22"/>
        </w:rPr>
      </w:pPr>
      <w:r>
        <w:rPr>
          <w:sz w:val="22"/>
        </w:rPr>
        <w:t xml:space="preserve">It is anticipated that the start date of the Proposed Transactions with The Cities would coincide with May 1, 2001 exit from Municipal Electric Authority of Mississippi (MEAM).  </w:t>
      </w:r>
    </w:p>
    <w:p>
      <w:pPr>
        <w:pStyle w:val="Normal"/>
        <w:jc w:val="both"/>
        <w:rPr>
          <w:sz w:val="22"/>
        </w:rPr>
      </w:pPr>
      <w:r>
        <w:rPr>
          <w:sz w:val="22"/>
        </w:rPr>
      </w:r>
    </w:p>
    <w:p>
      <w:pPr>
        <w:pStyle w:val="Normal"/>
        <w:jc w:val="both"/>
        <w:rPr/>
      </w:pPr>
      <w:r>
        <w:rPr>
          <w:sz w:val="22"/>
        </w:rPr>
        <w:t>This Agreement is intended to set forth certain basic terms of the understanding reached to date and to serve as a basis for further discussions and negotiations among the Parties with respect to the Proposed Transaction</w:t>
      </w:r>
      <w:ins w:id="2" w:author="kmann" w:date="2001-03-19T09:15:00Z">
        <w:r>
          <w:rPr>
            <w:sz w:val="22"/>
          </w:rPr>
          <w:t>s</w:t>
        </w:r>
      </w:ins>
      <w:r>
        <w:rPr>
          <w:sz w:val="22"/>
        </w:rPr>
        <w:t xml:space="preserve">.  The matters set forth in Article I and the attached term sheet are not intended to and do not constitute a binding agreement of the Parties with respect to the </w:t>
      </w:r>
      <w:del w:id="3" w:author="kmann" w:date="2001-03-19T09:20:00Z">
        <w:r>
          <w:rPr>
            <w:sz w:val="22"/>
          </w:rPr>
          <w:delText xml:space="preserve">goods and </w:delText>
        </w:r>
      </w:del>
      <w:r>
        <w:rPr>
          <w:sz w:val="22"/>
        </w:rPr>
        <w:t>services comprising the Proposed Transaction</w:t>
      </w:r>
      <w:ins w:id="4" w:author="kmann" w:date="2001-03-19T09:15:00Z">
        <w:r>
          <w:rPr>
            <w:sz w:val="22"/>
          </w:rPr>
          <w:t>s</w:t>
        </w:r>
      </w:ins>
      <w:r>
        <w:rPr>
          <w:sz w:val="22"/>
        </w:rPr>
        <w:t>.  Any such binding agreement will only arise upon the negotiation, execution and delivery of mutually satisfactory definitive agreements and the satisfaction of the conditions set forth therein, including the approval of such agreements and the Proposed Transaction</w:t>
      </w:r>
      <w:ins w:id="5" w:author="kmann" w:date="2001-03-19T09:15:00Z">
        <w:r>
          <w:rPr>
            <w:sz w:val="22"/>
          </w:rPr>
          <w:t>s</w:t>
        </w:r>
      </w:ins>
      <w:r>
        <w:rPr>
          <w:sz w:val="22"/>
        </w:rPr>
        <w:t xml:space="preserve"> by the respective senior management and board of directors (or other governing board)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ins w:id="6" w:author="kmann" w:date="2001-03-19T09:16:00Z">
        <w:r>
          <w:rPr>
            <w:b/>
            <w:sz w:val="22"/>
          </w:rPr>
          <w:t>s</w:t>
        </w:r>
      </w:ins>
    </w:p>
    <w:p>
      <w:pPr>
        <w:pStyle w:val="Normal"/>
        <w:keepNext w:val="true"/>
        <w:keepLines/>
        <w:jc w:val="both"/>
        <w:rPr>
          <w:sz w:val="22"/>
        </w:rPr>
      </w:pPr>
      <w:r>
        <w:rPr>
          <w:sz w:val="22"/>
        </w:rPr>
      </w:r>
    </w:p>
    <w:p>
      <w:pPr>
        <w:pStyle w:val="Normal"/>
        <w:numPr>
          <w:ilvl w:val="0"/>
          <w:numId w:val="9"/>
        </w:numPr>
        <w:tabs>
          <w:tab w:val="clear" w:pos="720"/>
          <w:tab w:val="left" w:pos="1440" w:leader="none"/>
        </w:tabs>
        <w:ind w:firstLine="720" w:start="0" w:end="0"/>
        <w:jc w:val="both"/>
        <w:rPr>
          <w:sz w:val="22"/>
        </w:rPr>
      </w:pPr>
      <w:r>
        <w:rPr>
          <w:sz w:val="22"/>
        </w:rPr>
        <w:tab/>
        <w:tab/>
        <w:t>The Parties will meet to discuss the Proposed Transaction</w:t>
      </w:r>
      <w:ins w:id="7" w:author="kmann" w:date="2001-03-19T09:16:00Z">
        <w:r>
          <w:rPr>
            <w:sz w:val="22"/>
          </w:rPr>
          <w:t>s</w:t>
        </w:r>
      </w:ins>
      <w:r>
        <w:rPr>
          <w:sz w:val="22"/>
        </w:rPr>
        <w:t xml:space="preserve"> and the necessary agreements relating thereto. EPMI and The Cities may conduct a due diligence investigation regarding the Proposed Transaction</w:t>
      </w:r>
      <w:ins w:id="8" w:author="kmann" w:date="2001-03-19T09:16:00Z">
        <w:r>
          <w:rPr>
            <w:sz w:val="22"/>
          </w:rPr>
          <w:t>s</w:t>
        </w:r>
      </w:ins>
      <w:r>
        <w:rPr>
          <w:sz w:val="22"/>
        </w:rPr>
        <w:t>.  The Cities will assist EPMI in such investigation and The Cities will disclose to EPMI all relevant information in The Cities’ possession pertaining thereto. It is understood that EPMI and The Cities are not, by virtue of this Agreement, undertaking any liability with regard to the Proposed Transaction</w:t>
      </w:r>
      <w:ins w:id="9" w:author="kmann" w:date="2001-03-19T09:16:00Z">
        <w:r>
          <w:rPr>
            <w:sz w:val="22"/>
          </w:rPr>
          <w:t>s</w:t>
        </w:r>
      </w:ins>
      <w:r>
        <w:rPr>
          <w:sz w:val="22"/>
        </w:rPr>
        <w:t xml:space="preserve">;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w:t>
      </w:r>
      <w:ins w:id="10" w:author="kmann" w:date="2001-03-19T09:16:00Z">
        <w:r>
          <w:rPr/>
          <w:t>s</w:t>
        </w:r>
      </w:ins>
      <w:r>
        <w:rPr/>
        <w:t>.  It is currently anticipated, however, that any such definitive agreement will include, without limitation, the basic business points identified in Exhibit “A” attached hereto It is expected that the definitive agreements will include an asset management agreement and a scheduling services agreement.</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jc w:val="both"/>
        <w:rPr/>
      </w:pPr>
      <w:r>
        <w:rPr>
          <w:sz w:val="22"/>
        </w:rPr>
        <w:t>1.</w:t>
        <w:tab/>
      </w:r>
      <w:r>
        <w:rPr>
          <w:b/>
          <w:sz w:val="22"/>
        </w:rPr>
        <w:t xml:space="preserve">Term. </w:t>
      </w:r>
      <w:r>
        <w:rPr>
          <w:sz w:val="22"/>
        </w:rPr>
        <w:t>This Agreement shall remain in force and effect until the earliest to occur of the following events:  (a) until such time that it becomes clear to either Party that the Proposed Transaction</w:t>
      </w:r>
      <w:ins w:id="11" w:author="kmann" w:date="2001-03-19T09:16:00Z">
        <w:r>
          <w:rPr>
            <w:sz w:val="22"/>
          </w:rPr>
          <w:t>s</w:t>
        </w:r>
      </w:ins>
      <w:r>
        <w:rPr>
          <w:sz w:val="22"/>
        </w:rPr>
        <w:t xml:space="preserve"> will not be economically viable or otherwise successful, and such party notifies the other in writing; (b) May 1, 2001 (the “Term”), or (</w:t>
      </w:r>
      <w:del w:id="12" w:author="kmann" w:date="2001-03-19T09:21:00Z">
        <w:r>
          <w:rPr>
            <w:sz w:val="22"/>
          </w:rPr>
          <w:delText>iii</w:delText>
        </w:r>
      </w:del>
      <w:ins w:id="13" w:author="kmann" w:date="2001-03-19T09:21:00Z">
        <w:r>
          <w:rPr>
            <w:sz w:val="22"/>
          </w:rPr>
          <w:t>c</w:t>
        </w:r>
      </w:ins>
      <w:r>
        <w:rPr>
          <w:sz w:val="22"/>
        </w:rPr>
        <w:t xml:space="preserve">) when superceded by definitive agreements.  The provisions of Section 2, Confidentiality, shall survive any termination of this Agreement, as necessary for them to expire according to their terms as expressed in that section.  Notwithstanding the foregoing, the Cities and EPMI shall deal exclusively with the other in connection with the Proposed Transactions for a period of thirty (30) days following execution of the Agreement.  </w:t>
      </w:r>
      <w:del w:id="14" w:author="kmann" w:date="2001-03-19T22:45:00Z">
        <w:r>
          <w:rPr>
            <w:sz w:val="22"/>
          </w:rPr>
          <w:delText>Should either the Cities or EPMI terminate negotiations during that thirty day term, then the terminating party shall pay the other $50,000 as a termination fee.</w:delText>
        </w:r>
      </w:del>
      <w:r>
        <w:rPr>
          <w:sz w:val="22"/>
        </w:rPr>
        <w:t xml:space="preserve"> </w:t>
      </w:r>
    </w:p>
    <w:p>
      <w:pPr>
        <w:pStyle w:val="Normal"/>
        <w:jc w:val="both"/>
        <w:rPr>
          <w:sz w:val="22"/>
        </w:rPr>
      </w:pPr>
      <w:r>
        <w:rPr>
          <w:sz w:val="22"/>
        </w:rPr>
      </w:r>
    </w:p>
    <w:p>
      <w:pPr>
        <w:pStyle w:val="Normal"/>
        <w:ind w:firstLine="720" w:end="0"/>
        <w:jc w:val="both"/>
        <w:rPr/>
      </w:pPr>
      <w:r>
        <w:rPr>
          <w:sz w:val="22"/>
        </w:rPr>
        <w:t>2.</w:t>
        <w:tab/>
      </w:r>
      <w:r>
        <w:rPr>
          <w:b/>
          <w:sz w:val="22"/>
        </w:rPr>
        <w:t xml:space="preserve">Confidentiality.  </w:t>
      </w:r>
      <w:ins w:id="15" w:author="kmann" w:date="2001-03-19T22:45:00Z">
        <w:r>
          <w:rPr>
            <w:bCs/>
            <w:sz w:val="22"/>
          </w:rPr>
          <w:t xml:space="preserve">The Parties acknowledge that The Cities are subject to the Mississippi Public Records Acit of 1983, as amended, and to the extent permitted by such Act the Parties agreee as follows: </w:t>
        </w:r>
      </w:ins>
      <w:r>
        <w:rPr>
          <w:sz w:val="22"/>
        </w:rPr>
        <w:t>(a)</w:t>
      </w:r>
      <w:r>
        <w:rPr>
          <w:b/>
          <w:sz w:val="22"/>
        </w:rPr>
        <w:t xml:space="preserve"> </w:t>
      </w:r>
      <w:r>
        <w:rPr>
          <w:sz w:val="22"/>
        </w:rPr>
        <w:t>For a period ending two years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w:t>
      </w:r>
      <w:del w:id="16" w:author="kmann" w:date="2001-03-19T09:21:00Z">
        <w:r>
          <w:rPr>
            <w:sz w:val="22"/>
          </w:rPr>
          <w:delText>a</w:delText>
        </w:r>
      </w:del>
      <w:ins w:id="17" w:author="kmann" w:date="2001-03-19T09:21:00Z">
        <w:r>
          <w:rPr>
            <w:sz w:val="22"/>
          </w:rPr>
          <w:t>i</w:t>
        </w:r>
      </w:ins>
      <w:r>
        <w:rPr>
          <w:sz w:val="22"/>
        </w:rPr>
        <w:t>) as may become generally available to the public, (</w:t>
      </w:r>
      <w:del w:id="18" w:author="kmann" w:date="2001-03-19T09:21:00Z">
        <w:r>
          <w:rPr>
            <w:sz w:val="22"/>
          </w:rPr>
          <w:delText>b)</w:delText>
        </w:r>
      </w:del>
      <w:ins w:id="19" w:author="kmann" w:date="2001-03-19T09:21:00Z">
        <w:r>
          <w:rPr>
            <w:sz w:val="22"/>
          </w:rPr>
          <w:t>ii)</w:t>
        </w:r>
      </w:ins>
      <w:r>
        <w:rPr>
          <w:sz w:val="22"/>
        </w:rPr>
        <w:t xml:space="preserve"> known to a Party at the time of disclosure or acquired at any time from a source other than the other Party hereto that was not prohibited from making disclosure, or (</w:t>
      </w:r>
      <w:del w:id="20" w:author="kmann" w:date="2001-03-19T09:21:00Z">
        <w:r>
          <w:rPr>
            <w:sz w:val="22"/>
          </w:rPr>
          <w:delText>c</w:delText>
        </w:r>
      </w:del>
      <w:ins w:id="21" w:author="kmann" w:date="2001-03-19T09:21:00Z">
        <w:r>
          <w:rPr>
            <w:sz w:val="22"/>
          </w:rPr>
          <w:t>iii</w:t>
        </w:r>
      </w:ins>
      <w:r>
        <w:rPr>
          <w:sz w:val="22"/>
        </w:rPr>
        <w:t>) required to be disclosed in order to comply with any applicable law, order, regulation or ruling.  Neither Party will use confidential information other than for the purpose of evaluating, negotiating and consummating the proposed transactions relating to the Proposed Transaction</w:t>
      </w:r>
      <w:ins w:id="22" w:author="kmann" w:date="2001-03-19T09:17:00Z">
        <w:r>
          <w:rPr>
            <w:sz w:val="22"/>
          </w:rPr>
          <w:t>s</w:t>
        </w:r>
      </w:ins>
      <w:r>
        <w:rPr>
          <w:sz w:val="22"/>
        </w:rPr>
        <w:t>.</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w:t>
      </w:r>
      <w:ins w:id="23" w:author="kmann" w:date="2001-03-19T09:17:00Z">
        <w:r>
          <w:rPr>
            <w:sz w:val="22"/>
          </w:rPr>
          <w:t>s</w:t>
        </w:r>
      </w:ins>
      <w:r>
        <w:rPr>
          <w:sz w:val="22"/>
        </w:rPr>
        <w:t>.</w:t>
      </w:r>
    </w:p>
    <w:p>
      <w:pPr>
        <w:pStyle w:val="Normal"/>
        <w:ind w:firstLine="720" w:end="0"/>
        <w:jc w:val="both"/>
        <w:rPr>
          <w:b/>
          <w:sz w:val="22"/>
        </w:rPr>
      </w:pPr>
      <w:r>
        <w:rPr>
          <w:b/>
          <w:sz w:val="22"/>
        </w:rPr>
      </w:r>
    </w:p>
    <w:p>
      <w:pPr>
        <w:pStyle w:val="Normal"/>
        <w:ind w:firstLine="720" w:end="0"/>
        <w:jc w:val="both"/>
        <w:rPr>
          <w:sz w:val="22"/>
        </w:rPr>
      </w:pPr>
      <w:r>
        <w:rPr>
          <w:sz w:val="22"/>
        </w:rPr>
        <w:t xml:space="preserve">(c) Confidential information shall be identified in writing as such by the Party claiming confidentiality, </w:t>
      </w:r>
      <w:del w:id="24" w:author="kmann" w:date="2001-03-19T22:48:00Z">
        <w:r>
          <w:rPr>
            <w:sz w:val="22"/>
          </w:rPr>
          <w:delText>and shall include the existence of this Agreement, its contents,</w:delText>
        </w:r>
      </w:del>
      <w:ins w:id="25" w:author="kmann" w:date="2001-03-19T22:48:00Z">
        <w:r>
          <w:rPr>
            <w:sz w:val="22"/>
          </w:rPr>
          <w:t xml:space="preserve">provided, however contents of negotiations under this Agreement which is not excluded from the defintion of “confidential information” stated above shall be deemed </w:t>
        </w:r>
      </w:ins>
      <w:del w:id="26" w:author="kmann" w:date="2001-03-19T22:50:00Z">
        <w:r>
          <w:rPr>
            <w:sz w:val="22"/>
          </w:rPr>
          <w:delText xml:space="preserve"> </w:delText>
        </w:r>
      </w:del>
      <w:ins w:id="27" w:author="kmann" w:date="2001-03-19T22:50:00Z">
        <w:r>
          <w:rPr>
            <w:sz w:val="22"/>
          </w:rPr>
          <w:t xml:space="preserve">confidential without further action by either party. The Parties acknowledge that this Agreement and its contents shall upon execution be a matter of public record in the minutes of the respective proceedings of the Cities. </w:t>
        </w:r>
      </w:ins>
      <w:del w:id="28" w:author="kmann" w:date="2001-03-19T22:52:00Z">
        <w:r>
          <w:rPr>
            <w:sz w:val="22"/>
          </w:rPr>
          <w:delText>and negotiations under this Agreement.</w:delText>
        </w:r>
      </w:del>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w:t>
      </w:r>
      <w:ins w:id="29" w:author="kmann" w:date="2001-03-19T09:17:00Z">
        <w:r>
          <w:rPr>
            <w:sz w:val="22"/>
          </w:rPr>
          <w:t>s</w:t>
        </w:r>
      </w:ins>
      <w:r>
        <w:rPr>
          <w:sz w:val="22"/>
        </w:rPr>
        <w:t xml:space="preserve">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This Agreement constitutes the entire agreement of the Parties relating to Proposed Transactions and supersedes all prior discussions, agreements or understandings, whether oral or written, relating to such</w:t>
      </w:r>
      <w:ins w:id="30" w:author="kmann" w:date="2001-03-19T08:49:00Z">
        <w:r>
          <w:rPr>
            <w:sz w:val="22"/>
          </w:rPr>
          <w:t xml:space="preserve"> </w:t>
        </w:r>
      </w:ins>
      <w:r>
        <w:rPr>
          <w:sz w:val="22"/>
        </w:rPr>
        <w:t xml:space="preserve">transactions.  There are no other written or oral agreements or understandings among the Parties.  Any amendment of this Agreement must be written and signed by both Parties.  A Party may only waive a provision of this Agreement in writing; provided, however, that Paragraphs 4 and 7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b/>
          <w:sz w:val="22"/>
          <w:ins w:id="42" w:author="kmann" w:date="2001-03-19T22:54:00Z"/>
        </w:rPr>
      </w:pPr>
      <w:r>
        <w:rPr>
          <w:sz w:val="22"/>
        </w:rPr>
        <w:t>7.</w:t>
      </w:r>
      <w:r>
        <w:rPr>
          <w:b/>
          <w:sz w:val="22"/>
        </w:rPr>
        <w:tab/>
        <w:t>Governing Law.</w:t>
      </w:r>
      <w:r>
        <w:rPr>
          <w:sz w:val="22"/>
        </w:rPr>
        <w:t xml:space="preserve">  </w:t>
      </w:r>
      <w:r>
        <w:rPr>
          <w:b/>
          <w:sz w:val="22"/>
        </w:rPr>
        <w:t xml:space="preserve">THIS AGREEMENT </w:t>
      </w:r>
      <w:ins w:id="31" w:author="kmann" w:date="2001-03-19T22:53:00Z">
        <w:r>
          <w:rPr>
            <w:b/>
            <w:sz w:val="22"/>
          </w:rPr>
          <w:t xml:space="preserve">AND THE RIGHTS AND REMEDIES OF THE PARTIES HERETO </w:t>
        </w:r>
      </w:ins>
      <w:r>
        <w:rPr>
          <w:b/>
          <w:sz w:val="22"/>
        </w:rPr>
        <w:t>SHALL BE GOVERNED BY</w:t>
      </w:r>
      <w:ins w:id="32" w:author="kmann" w:date="2001-03-19T22:53:00Z">
        <w:r>
          <w:rPr>
            <w:b/>
            <w:sz w:val="22"/>
          </w:rPr>
          <w:t>,</w:t>
        </w:r>
      </w:ins>
      <w:del w:id="33" w:author="kmann" w:date="2001-03-19T22:53:00Z">
        <w:r>
          <w:rPr>
            <w:b/>
            <w:sz w:val="22"/>
          </w:rPr>
          <w:delText xml:space="preserve"> AND</w:delText>
        </w:r>
      </w:del>
      <w:r>
        <w:rPr>
          <w:b/>
          <w:sz w:val="22"/>
        </w:rPr>
        <w:t xml:space="preserve"> CONSTRUED </w:t>
      </w:r>
      <w:ins w:id="34" w:author="kmann" w:date="2001-03-19T22:53:00Z">
        <w:r>
          <w:rPr>
            <w:b/>
            <w:sz w:val="22"/>
          </w:rPr>
          <w:t xml:space="preserve">AND ENFORCED </w:t>
        </w:r>
      </w:ins>
      <w:r>
        <w:rPr>
          <w:b/>
          <w:sz w:val="22"/>
        </w:rPr>
        <w:t>IN ACCORDANCE WITH THE LAWS OF THE STATE OF MISSISSIPPI, WITHOUT GIVING EFFECT TO CONFLICT OF LAWS PRINCIPLES.</w:t>
      </w:r>
      <w:ins w:id="35" w:author="kmann" w:date="2001-03-19T22:54:00Z">
        <w:r>
          <w:rPr>
            <w:b/>
            <w:sz w:val="22"/>
          </w:rPr>
          <w:t xml:space="preserve">  Each party as a condition to its right to enforce or defend its rights under or in connection with this Agreement or any agreement contemplated hereunder, (i) agrees that any action with respect to this Agreement or any agreement contemplated hereunder shall be brought exclusively in the United States District Court </w:t>
        </w:r>
      </w:ins>
      <w:ins w:id="36" w:author="kmann" w:date="2001-03-19T22:57:00Z">
        <w:r>
          <w:rPr>
            <w:b/>
            <w:sz w:val="22"/>
          </w:rPr>
          <w:t>for the District of Mississippi, (ii) accepts for itself and in respect of its property, generally and unconditionally, the jurisdiction of th</w:t>
        </w:r>
      </w:ins>
      <w:ins w:id="37" w:author="kmann" w:date="2001-03-20T00:01:00Z">
        <w:r>
          <w:rPr>
            <w:b/>
            <w:sz w:val="22"/>
          </w:rPr>
          <w:t>is</w:t>
        </w:r>
      </w:ins>
      <w:ins w:id="38" w:author="kmann" w:date="2001-03-19T22:57:00Z">
        <w:r>
          <w:rPr>
            <w:b/>
            <w:sz w:val="22"/>
          </w:rPr>
          <w:t xml:space="preserve"> court, and (iii) irrevocably waives any objection, including, without limitiaiotn, any objection to the laying of venue or based on the grounds of forum non conveniens, which it may now or hereafter have</w:t>
        </w:r>
      </w:ins>
      <w:ins w:id="39" w:author="kmann" w:date="2001-03-19T23:00:00Z">
        <w:r>
          <w:rPr>
            <w:b/>
            <w:sz w:val="22"/>
          </w:rPr>
          <w:t xml:space="preserve"> to the bringing of any action in such jurisdiction; provided, however, that any party may assert in an action in any other jurisdiction </w:t>
        </w:r>
      </w:ins>
      <w:ins w:id="40" w:author="kmann" w:date="2001-03-19T23:02:00Z">
        <w:r>
          <w:rPr>
            <w:b/>
            <w:sz w:val="22"/>
          </w:rPr>
          <w:t xml:space="preserve">or venue each mandatory defense, third-party or similar claim that, if not so asserted in such action, may thereafter not be asserted by such party in an original action in the court referred to </w:t>
        </w:r>
      </w:ins>
      <w:ins w:id="41" w:author="kmann" w:date="2001-03-19T23:04:00Z">
        <w:r>
          <w:rPr>
            <w:b/>
            <w:sz w:val="22"/>
          </w:rPr>
          <w:t>in clause (i) above.</w:t>
        </w:r>
      </w:ins>
    </w:p>
    <w:p>
      <w:pPr>
        <w:pStyle w:val="Normal"/>
        <w:ind w:firstLine="720" w:end="0"/>
        <w:jc w:val="both"/>
        <w:rPr>
          <w:b/>
          <w:sz w:val="22"/>
        </w:rPr>
      </w:pPr>
      <w:r>
        <w:rPr>
          <w:b/>
          <w:sz w:val="22"/>
        </w:rPr>
      </w:r>
    </w:p>
    <w:p>
      <w:pPr>
        <w:pStyle w:val="Normal"/>
        <w:jc w:val="both"/>
        <w:rPr>
          <w:b/>
          <w:sz w:val="22"/>
        </w:rPr>
      </w:pPr>
      <w:r>
        <w:rPr>
          <w:b/>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TRANSACTIONS TO BE COMPLETED.  THIS AGREEMENT: (1) IS MERELY INTENDED TO EXPRESS THE DESIRE OF THE PARTIES TO NEGOTIATE A TRANSACTIONS THAT WILL BE FINALIZED IN A WRITTEN AGREEMENT AT A FUTURE TIME; (2) DOES NOT CREATE AND IS NOT INTENDED TO CREATE A BINDING AND ENFORCEABLE CONTRACT BETWEEN THE PARTIES WITH RESPECT TO THE PROVISIONS OF ARTICLE I AND THE SUBJECT-MATTER OF THE PROPOSED TRANSACTIONS; AND (3) MAY NOT BE RELIED UPON BY A PARTY AS THE BASIS FOR A CONTRACT BY ESTOPPEL OR OTHERWISE.  A BINDING COMMITMENT WITH RESPECT TO THE PROPOSED TRANSACTIONS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TRANSACTIONS.</w:t>
      </w:r>
    </w:p>
    <w:p>
      <w:pPr>
        <w:pStyle w:val="Normal"/>
        <w:jc w:val="both"/>
        <w:rPr>
          <w:sz w:val="22"/>
        </w:rPr>
      </w:pPr>
      <w:r>
        <w:rPr>
          <w:sz w:val="22"/>
        </w:rPr>
      </w:r>
    </w:p>
    <w:p>
      <w:pPr>
        <w:pStyle w:val="Normal"/>
        <w:ind w:firstLine="720" w:end="0"/>
        <w:jc w:val="both"/>
        <w:rPr>
          <w:sz w:val="22"/>
        </w:rPr>
      </w:pPr>
      <w:r>
        <w:rPr>
          <w:sz w:val="22"/>
        </w:rPr>
        <w:t>9.</w:t>
      </w:r>
      <w:r>
        <w:rPr>
          <w:b/>
          <w:sz w:val="22"/>
        </w:rPr>
        <w:tab/>
        <w:t>Relationship of the Parties.</w:t>
      </w:r>
      <w:r>
        <w:rPr>
          <w:sz w:val="22"/>
        </w:rPr>
        <w:t xml:space="preserve">  The Parties shall not be deemed in a relationship of partners or joint ventures by virtue of this Agreement, nor shall either Party be an agent, representative, trustee or fiduciary of the other.  Neither Party shall have any authority to bind the other to any agreement.</w:t>
        <w:tab/>
      </w:r>
      <w:ins w:id="43" w:author="kmann" w:date="2001-03-19T23:06:00Z">
        <w:r>
          <w:rPr>
            <w:sz w:val="22"/>
          </w:rPr>
          <w:t xml:space="preserve">EPMI shall be an independent contractor with respect to the Services hereunder. Neither EPMI nor its employees, subcontractors, vendors or suppliers, or the </w:t>
        </w:r>
      </w:ins>
      <w:ins w:id="44" w:author="kmann" w:date="2001-03-19T23:08:00Z">
        <w:r>
          <w:rPr>
            <w:sz w:val="22"/>
          </w:rPr>
          <w:t xml:space="preserve">employees of any such parties employed in the performance of the services to be rendered, shall be deemed to be the agents, employees or servants of The Cities. This agreement shall not </w:t>
        </w:r>
      </w:ins>
      <w:ins w:id="45" w:author="kmann" w:date="2001-03-19T23:11:00Z">
        <w:r>
          <w:rPr>
            <w:sz w:val="22"/>
          </w:rPr>
          <w:t>constitute</w:t>
        </w:r>
      </w:ins>
      <w:ins w:id="46" w:author="kmann" w:date="2001-03-19T23:08:00Z">
        <w:r>
          <w:rPr>
            <w:sz w:val="22"/>
          </w:rPr>
          <w:t xml:space="preserve"> </w:t>
        </w:r>
      </w:ins>
      <w:ins w:id="47" w:author="kmann" w:date="2001-03-19T23:11:00Z">
        <w:r>
          <w:rPr>
            <w:sz w:val="22"/>
          </w:rPr>
          <w:t xml:space="preserve">EPMI as the legal representative or agent of The Cities, nor shall EPMI have the right or authority to assume, create, incur </w:t>
        </w:r>
      </w:ins>
      <w:ins w:id="48" w:author="kmann" w:date="2001-03-19T23:13:00Z">
        <w:r>
          <w:rPr>
            <w:sz w:val="22"/>
          </w:rPr>
          <w:t>any liability or obligation, express or implied, against, in the name of , or on behalf of The Cities. Neither this Agreement nor any agreement contemplated herunder is not intended to create, and shall not be construed to create, a relationship of partnership or an associ</w:t>
        </w:r>
      </w:ins>
      <w:ins w:id="49" w:author="kmann" w:date="2001-03-19T23:15:00Z">
        <w:r>
          <w:rPr>
            <w:sz w:val="22"/>
          </w:rPr>
          <w:t>ation for profit between The Cities and EPMI.</w:t>
        </w:r>
      </w:ins>
    </w:p>
    <w:p>
      <w:pPr>
        <w:pStyle w:val="Normal"/>
        <w:jc w:val="both"/>
        <w:rPr>
          <w:sz w:val="22"/>
        </w:rPr>
      </w:pPr>
      <w:r>
        <w:rPr>
          <w:sz w:val="22"/>
        </w:rPr>
      </w:r>
    </w:p>
    <w:p>
      <w:pPr>
        <w:pStyle w:val="Normal"/>
        <w:ind w:firstLine="720" w:end="0"/>
        <w:jc w:val="both"/>
        <w:rPr>
          <w:sz w:val="22"/>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w:t>
      </w:r>
      <w:ins w:id="50" w:author="kmann" w:date="2001-03-19T23:22:00Z">
        <w:r>
          <w:rPr>
            <w:sz w:val="22"/>
          </w:rPr>
          <w:t xml:space="preserve">a qualified mediator who shall be selected by mutual agreement of the Parties and who shall attempt </w:t>
        </w:r>
      </w:ins>
      <w:del w:id="51" w:author="kmann" w:date="2001-03-19T23:22:00Z">
        <w:r>
          <w:rPr>
            <w:sz w:val="22"/>
          </w:rPr>
          <w:delText>the American Arbitration Association (“AAA”) and will be held in Houston, Texas</w:delText>
        </w:r>
      </w:del>
      <w:r>
        <w:rPr>
          <w:sz w:val="22"/>
        </w:rPr>
        <w:t xml:space="preserve"> for at least three (3) days</w:t>
      </w:r>
      <w:ins w:id="52" w:author="kmann" w:date="2001-03-19T23:23:00Z">
        <w:r>
          <w:rPr>
            <w:sz w:val="22"/>
          </w:rPr>
          <w:t xml:space="preserve"> to mediate the Dispute between the Parties at a mutually agreeable site within the State of Mississippi.</w:t>
        </w:r>
      </w:ins>
      <w:r>
        <w:rPr>
          <w:sz w:val="22"/>
        </w:rPr>
        <w:t xml:space="preserve">.  If the mediation attempt is unsuccessful, either Party may submit the Dispute to </w:t>
      </w:r>
      <w:del w:id="53" w:author="kmann" w:date="2001-03-19T23:24:00Z">
        <w:r>
          <w:rPr>
            <w:sz w:val="22"/>
          </w:rPr>
          <w:delText>the AAA for</w:delText>
        </w:r>
      </w:del>
      <w:r>
        <w:rPr>
          <w:sz w:val="22"/>
        </w:rPr>
        <w:t xml:space="preserve">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del w:id="54" w:author="kmann" w:date="2001-03-19T23:25:00Z">
        <w:r>
          <w:rPr>
            <w:sz w:val="22"/>
          </w:rPr>
          <w:delText>The Cities waive any sovereign or other governmental immunity.</w:delText>
        </w:r>
      </w:del>
    </w:p>
    <w:p>
      <w:pPr>
        <w:pStyle w:val="Normal"/>
        <w:jc w:val="both"/>
        <w:rPr>
          <w:sz w:val="22"/>
        </w:rPr>
      </w:pPr>
      <w:r>
        <w:rPr>
          <w:sz w:val="22"/>
        </w:rPr>
      </w:r>
    </w:p>
    <w:p>
      <w:pPr>
        <w:pStyle w:val="Normal"/>
        <w:ind w:firstLine="720" w:end="0"/>
        <w:jc w:val="both"/>
        <w:rPr>
          <w:sz w:val="22"/>
        </w:rPr>
      </w:pPr>
      <w:r>
        <w:rPr>
          <w:sz w:val="22"/>
        </w:rPr>
        <w:t>11.</w:t>
        <w:tab/>
      </w:r>
      <w:r>
        <w:rPr>
          <w:b/>
          <w:sz w:val="22"/>
        </w:rPr>
        <w:t xml:space="preserve">LIMITATION OF LIABILITY.  </w:t>
      </w:r>
      <w:ins w:id="55" w:author="kmann" w:date="2001-03-19T23:25:00Z">
        <w:r>
          <w:rPr>
            <w:b/>
            <w:sz w:val="22"/>
          </w:rPr>
          <w:t xml:space="preserve">TO THE EXTENT PEMITTED BY MISSISSIPPI LAW, </w:t>
        </w:r>
      </w:ins>
      <w:del w:id="56" w:author="kmann" w:date="2001-03-19T23:26:00Z">
        <w:r>
          <w:rPr>
            <w:b/>
            <w:sz w:val="22"/>
          </w:rPr>
          <w:delText>NOTWITHSTANDING ANYTHING HEREIN TO THE CONTRARY,</w:delText>
        </w:r>
      </w:del>
      <w:r>
        <w:rPr>
          <w:b/>
          <w:sz w:val="22"/>
        </w:rPr>
        <w:t xml:space="preserve"> NEITHER EPMI NOR THE CITIES, NOR THEIR RESPECTIVE DIRECTORS, OFFICERS, SHAREHOLDERS, MANAGERS, OR EMPLOYEES WILL BE LIABLE TO ANY OTHER PARTY, OR ITS DIRECTORS, OFFICERS, SHAREHOLDERS, MANAGERS OR EMPLOYEES, </w:t>
      </w:r>
      <w:del w:id="57" w:author="kmann" w:date="2001-03-19T23:26:00Z">
        <w:r>
          <w:rPr>
            <w:b/>
            <w:sz w:val="22"/>
          </w:rPr>
          <w:delText>WHETHER</w:delText>
        </w:r>
      </w:del>
      <w:r>
        <w:rPr>
          <w:b/>
          <w:sz w:val="22"/>
        </w:rPr>
        <w:t xml:space="preserve"> UNDER BREACH OF CONTRACT, </w:t>
      </w:r>
      <w:ins w:id="58" w:author="kmann" w:date="2001-03-19T23:26:00Z">
        <w:r>
          <w:rPr>
            <w:b/>
            <w:sz w:val="22"/>
          </w:rPr>
          <w:t xml:space="preserve">OR </w:t>
        </w:r>
      </w:ins>
      <w:r>
        <w:rPr>
          <w:b/>
          <w:sz w:val="22"/>
        </w:rPr>
        <w:t xml:space="preserve">BREACH OF WARRANTY, </w:t>
      </w:r>
      <w:del w:id="59" w:author="kmann" w:date="2001-03-19T23:27:00Z">
        <w:r>
          <w:rPr>
            <w:b/>
            <w:sz w:val="22"/>
          </w:rPr>
          <w:delText>TORT LIABILITY (INCLUDING WITHOUT LIMITATION BOTH NEGLIGENCE AND STRICT LIABILITY), STRICT LIABILITY OR OTHERWISE,</w:delText>
        </w:r>
      </w:del>
      <w:r>
        <w:rPr>
          <w:b/>
          <w:sz w:val="22"/>
        </w:rPr>
        <w:t xml:space="preserve"> FOR ANY INCIDENTAL, SPECIAL, INDIRECT OR CONSEQUENTIAL DAMAGES WHATSOEVER (INCLUDING WITHOUT LIMITATION LOST PROFITS OR REVENUE) OF ANY NATURE CONNECTED WITH OR RESULTING FROM PERFORMANCE OF THIS AGREEMENT, BUT RATHER SHALL BE LIABLE ONLY FOR DIRECT ACTUAL DAMAGES</w:t>
      </w:r>
      <w:ins w:id="60" w:author="kmann" w:date="2001-03-19T23:28:00Z">
        <w:r>
          <w:rPr>
            <w:b/>
            <w:sz w:val="22"/>
          </w:rPr>
          <w:t>,</w:t>
        </w:r>
      </w:ins>
      <w:r>
        <w:rPr>
          <w:b/>
          <w:sz w:val="22"/>
        </w:rPr>
        <w:t xml:space="preserve"> </w:t>
      </w:r>
      <w:del w:id="61" w:author="kmann" w:date="2001-03-19T23:28:00Z">
        <w:r>
          <w:rPr>
            <w:b/>
            <w:sz w:val="22"/>
          </w:rPr>
          <w:delText>ARISING FROM THE BREACHING PARTY’S WILLFUL BREACH OR SOLE, JOINT OR CONCURRENT NEGLIGENCE</w:delText>
        </w:r>
      </w:del>
      <w:r>
        <w:rPr>
          <w:b/>
          <w:sz w:val="22"/>
        </w:rPr>
        <w:t>.</w:t>
      </w:r>
      <w:ins w:id="62" w:author="kmann" w:date="2001-03-19T23:28:00Z">
        <w:r>
          <w:rPr>
            <w:b/>
            <w:sz w:val="22"/>
          </w:rPr>
          <w:t xml:space="preserve"> NOTHING HEREIN CONTIND SHALL BE CONSTRUED TO BE A LIMITATION OF DAMAGES NOT OTH</w:t>
        </w:r>
      </w:ins>
      <w:ins w:id="63" w:author="kmann" w:date="2001-03-19T23:30:00Z">
        <w:r>
          <w:rPr>
            <w:b/>
            <w:sz w:val="22"/>
          </w:rPr>
          <w:t>ER</w:t>
        </w:r>
      </w:ins>
      <w:ins w:id="64" w:author="kmann" w:date="2001-03-19T23:28:00Z">
        <w:r>
          <w:rPr>
            <w:b/>
            <w:sz w:val="22"/>
          </w:rPr>
          <w:t>WISE IMPOSED BY MISSISSIPPI LAW ACCRUING AS A RESULT OF INTENTIONAL OR RECK</w:t>
        </w:r>
      </w:ins>
      <w:ins w:id="65" w:author="kmann" w:date="2001-03-19T23:30:00Z">
        <w:r>
          <w:rPr>
            <w:b/>
            <w:sz w:val="22"/>
          </w:rPr>
          <w:t>L</w:t>
        </w:r>
      </w:ins>
      <w:ins w:id="66" w:author="kmann" w:date="2001-03-19T23:28:00Z">
        <w:r>
          <w:rPr>
            <w:b/>
            <w:sz w:val="22"/>
          </w:rPr>
          <w:t>ESS NEGLIGECE BY A PARTY TO THIS AGREEMENT.</w:t>
        </w:r>
      </w:ins>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sz w:val="32"/>
        </w:rPr>
      </w:pPr>
      <w:r>
        <w:rPr>
          <w:sz w:val="32"/>
        </w:rPr>
        <w:t>Exhibit A</w:t>
      </w:r>
    </w:p>
    <w:p>
      <w:pPr>
        <w:pStyle w:val="Heading1"/>
        <w:ind w:hanging="0" w:start="0"/>
        <w:rPr>
          <w:sz w:val="32"/>
        </w:rPr>
      </w:pPr>
      <w:r>
        <w:rPr>
          <w:sz w:val="32"/>
        </w:rPr>
      </w:r>
    </w:p>
    <w:p>
      <w:pPr>
        <w:pStyle w:val="Heading6"/>
        <w:ind w:hanging="0" w:start="0"/>
        <w:rPr/>
      </w:pPr>
      <w:r>
        <w:rPr/>
        <w:t xml:space="preserve">Draft Term Sheet </w:t>
      </w:r>
    </w:p>
    <w:p>
      <w:pPr>
        <w:pStyle w:val="Normal"/>
        <w:rPr/>
      </w:pPr>
      <w:r>
        <w:rPr/>
      </w:r>
    </w:p>
    <w:p>
      <w:pPr>
        <w:pStyle w:val="Normal"/>
        <w:jc w:val="both"/>
        <w:rPr>
          <w:sz w:val="32"/>
        </w:rPr>
      </w:pPr>
      <w:r>
        <w:rPr>
          <w:sz w:val="3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4"/>
                <w:szCs w:val="24"/>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107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85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104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ascii="Arial" w:hAnsi="Arial" w:eastAsia="Arial Unicode MS" w:cs="Arial"/>
              </w:rPr>
            </w:pPr>
            <w:r>
              <w:rPr>
                <w:rFonts w:cs="Arial" w:ascii="Arial" w:hAnsi="Arial"/>
              </w:rPr>
              <w:t>Summer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52.6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51.3</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29.3</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32.5</w:t>
            </w:r>
          </w:p>
        </w:tc>
        <w:tc>
          <w:tcPr>
            <w:tcW w:w="855" w:type="dxa"/>
            <w:tcBorders>
              <w:end w:val="single" w:sz="4" w:space="0" w:color="000000"/>
            </w:tcBorders>
            <w:vAlign w:val="bottom"/>
          </w:tcPr>
          <w:p>
            <w:pPr>
              <w:pStyle w:val="Normal"/>
              <w:jc w:val="center"/>
              <w:rPr>
                <w:rFonts w:eastAsia="Arial Unicode MS"/>
                <w:sz w:val="24"/>
                <w:szCs w:val="24"/>
              </w:rPr>
            </w:pPr>
            <w:r>
              <w:rPr/>
              <w:t>81.9</w:t>
            </w:r>
          </w:p>
        </w:tc>
        <w:tc>
          <w:tcPr>
            <w:tcW w:w="1045" w:type="dxa"/>
            <w:tcBorders>
              <w:end w:val="single" w:sz="4" w:space="0" w:color="000000"/>
            </w:tcBorders>
            <w:vAlign w:val="bottom"/>
          </w:tcPr>
          <w:p>
            <w:pPr>
              <w:pStyle w:val="Normal"/>
              <w:jc w:val="center"/>
              <w:rPr>
                <w:rFonts w:eastAsia="Arial Unicode MS"/>
                <w:sz w:val="24"/>
                <w:szCs w:val="24"/>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Winter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26.4</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38.4</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15.56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sz w:val="22"/>
        </w:rPr>
      </w:pPr>
      <w:r>
        <w:rPr>
          <w:sz w:val="22"/>
        </w:rPr>
        <w:t>Daily cycling of combined cycle units is acceptable.</w:t>
      </w:r>
    </w:p>
    <w:p>
      <w:pPr>
        <w:pStyle w:val="Normal"/>
        <w:ind w:start="2880" w:end="0"/>
        <w:rPr>
          <w:sz w:val="22"/>
        </w:rPr>
      </w:pPr>
      <w:r>
        <w:rPr>
          <w:sz w:val="22"/>
        </w:rPr>
        <w:tab/>
        <w:tab/>
        <w:t>12 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pPr>
      <w:r>
        <w:rPr>
          <w:i/>
          <w:iCs/>
          <w:sz w:val="22"/>
        </w:rPr>
        <w:t>Wilkins</w:t>
      </w:r>
      <w:r>
        <w:rPr>
          <w:sz w:val="22"/>
        </w:rPr>
        <w:tab/>
        <w:tab/>
        <w:t>#7</w:t>
        <w:tab/>
        <w:t>8 MW steam uint</w:t>
      </w:r>
    </w:p>
    <w:p>
      <w:pPr>
        <w:pStyle w:val="Normal"/>
        <w:ind w:start="2880" w:end="0"/>
        <w:rPr/>
      </w:pPr>
      <w:r>
        <w:rPr>
          <w:i/>
          <w:iCs/>
          <w:sz w:val="22"/>
        </w:rPr>
        <w:tab/>
        <w:tab/>
      </w:r>
      <w:r>
        <w:rPr>
          <w:sz w:val="22"/>
        </w:rPr>
        <w:tab/>
      </w:r>
      <w:r>
        <w:rPr/>
        <w:t>Gas fired</w:t>
      </w:r>
    </w:p>
    <w:p>
      <w:pPr>
        <w:pStyle w:val="Normal"/>
        <w:ind w:start="2880" w:end="0"/>
        <w:rPr/>
      </w:pPr>
      <w:r>
        <w:rPr/>
        <w:tab/>
        <w:tab/>
        <w:tab/>
        <w:t>12 hour start time</w:t>
      </w:r>
    </w:p>
    <w:p>
      <w:pPr>
        <w:pStyle w:val="Normal"/>
        <w:ind w:start="2880" w:end="0"/>
        <w:rPr>
          <w:sz w:val="22"/>
        </w:rPr>
      </w:pPr>
      <w:r>
        <w:rPr>
          <w:sz w:val="22"/>
        </w:rPr>
      </w:r>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sz w:val="18"/>
        </w:rPr>
      </w:pPr>
      <w:r>
        <w:rPr>
          <w:sz w:val="18"/>
        </w:rPr>
        <w:t>9.5 minute start-up in peaker mode</w:t>
      </w:r>
    </w:p>
    <w:p>
      <w:pPr>
        <w:pStyle w:val="Normal"/>
        <w:ind w:start="5760" w:end="0"/>
        <w:jc w:val="both"/>
        <w:rPr>
          <w:sz w:val="22"/>
        </w:rPr>
      </w:pPr>
      <w:r>
        <w:rPr>
          <w:sz w:val="18"/>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pPr>
      <w:r>
        <w:rPr/>
        <w:t>GE Frame 5, Single shaft unit</w:t>
      </w:r>
    </w:p>
    <w:p>
      <w:pPr>
        <w:pStyle w:val="Heading5"/>
        <w:rPr/>
      </w:pPr>
      <w:r>
        <w:rPr/>
        <w:t>Same start time as #8 (warm)</w:t>
      </w:r>
    </w:p>
    <w:p>
      <w:pPr>
        <w:pStyle w:val="Normal"/>
        <w:ind w:start="5760" w:end="0"/>
        <w:rPr/>
      </w:pPr>
      <w:r>
        <w:rPr/>
        <w:t>Cold startup time is approximately 1.75 hours</w:t>
      </w:r>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18"/>
        </w:rPr>
      </w:pPr>
      <w:r>
        <w:rPr>
          <w:sz w:val="18"/>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jc w:val="both"/>
        <w:rPr>
          <w:del w:id="68" w:author="kmann" w:date="2001-03-19T23:51:00Z"/>
        </w:rPr>
      </w:pPr>
      <w:r>
        <w:rPr>
          <w:b/>
          <w:bCs/>
        </w:rPr>
        <w:t>Electric Transmission:</w:t>
      </w:r>
      <w:r>
        <w:rPr/>
        <w:tab/>
        <w:tab/>
      </w:r>
      <w:del w:id="67" w:author="kmann" w:date="2001-03-19T23:51:00Z">
        <w:r>
          <w:rPr/>
          <w:delText xml:space="preserve">Entergy has committed to provide 25MW of firm transmission from current </w:delText>
        </w:r>
      </w:del>
    </w:p>
    <w:p>
      <w:pPr>
        <w:pStyle w:val="BodyText3"/>
        <w:widowControl/>
        <w:bidi w:val="0"/>
        <w:ind w:start="0" w:end="0"/>
        <w:jc w:val="both"/>
        <w:rPr/>
      </w:pPr>
      <w:del w:id="69" w:author="kmann" w:date="2001-03-19T23:51:00Z">
        <w:r>
          <w:rPr/>
          <w:delText xml:space="preserve">contract resources plus other resources to be determined by Asset Manager.  Clarksdale is interconnected with Entergy 115kV transmission and a second 230kV interconnect will be in service Spring 2002.  Yazoo City is interconnected with Entergy 115kV transmission. </w:delText>
        </w:r>
      </w:del>
      <w:ins w:id="70" w:author="kmann" w:date="2001-03-19T23:51:00Z">
        <w:r>
          <w:rPr/>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w:t>
        </w:r>
      </w:ins>
      <w:ins w:id="71" w:author="kmann" w:date="2001-03-19T23:54:00Z">
        <w:r>
          <w:rPr/>
          <w:t>The Cities resources.</w:t>
        </w:r>
      </w:ins>
      <w:r>
        <w:rPr/>
        <w:t xml:space="preserve">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 xml:space="preserve">years for all of The Cities power and gas resources. </w:t>
      </w:r>
      <w:ins w:id="72" w:author="kmann" w:date="2001-03-19T09:45:00Z">
        <w:r>
          <w:rPr/>
          <w:t xml:space="preserve">EPMI </w:t>
        </w:r>
      </w:ins>
      <w:ins w:id="73" w:author="kmann" w:date="2001-03-19T23:31:00Z">
        <w:r>
          <w:rPr/>
          <w:t xml:space="preserve">would be paid for Services a fee equal to forty percent (40%) of </w:t>
        </w:r>
      </w:ins>
      <w:del w:id="74" w:author="kmann" w:date="2001-03-19T23:32:00Z">
        <w:r>
          <w:rPr/>
          <w:delText xml:space="preserve"> </w:delText>
        </w:r>
      </w:del>
      <w:del w:id="75" w:author="kmann" w:date="2001-03-19T09:45:00Z">
        <w:r>
          <w:rPr/>
          <w:delText>P</w:delText>
        </w:r>
      </w:del>
      <w:ins w:id="76" w:author="kmann" w:date="2001-03-19T23:32:00Z">
        <w:r>
          <w:rPr/>
          <w:t xml:space="preserve"> (a) </w:t>
        </w:r>
      </w:ins>
      <w:ins w:id="77" w:author="kmann" w:date="2001-03-19T09:45:00Z">
        <w:r>
          <w:rPr/>
          <w:t>p</w:t>
        </w:r>
      </w:ins>
      <w:r>
        <w:rPr/>
        <w:t xml:space="preserve">rofit from sales of The Cities’ power and gas resources to third parties and </w:t>
      </w:r>
      <w:ins w:id="78" w:author="kmann" w:date="2001-03-19T23:32:00Z">
        <w:r>
          <w:rPr/>
          <w:t xml:space="preserve">(b) </w:t>
        </w:r>
      </w:ins>
      <w:r>
        <w:rPr/>
        <w:t>savings realized by purchase of on-peak market power would be split 60% to The Cities and 40% to EPMI</w:t>
      </w:r>
      <w:del w:id="79" w:author="kmann" w:date="2001-03-19T23:33:00Z">
        <w:r>
          <w:rPr/>
          <w:delText>.</w:delText>
        </w:r>
      </w:del>
      <w:ins w:id="80" w:author="kmann" w:date="2001-03-19T23:40:00Z">
        <w:r>
          <w:rPr/>
          <w:t>, with a guaranteed monthly minimum fee.</w:t>
        </w:r>
      </w:ins>
      <w:del w:id="81" w:author="kmann" w:date="2001-03-19T23:33:00Z">
        <w:r>
          <w:rPr/>
          <w:delText xml:space="preserve">  </w:delText>
        </w:r>
      </w:del>
      <w:ins w:id="82" w:author="kmann" w:date="2001-03-19T23:33:00Z">
        <w:r>
          <w:rPr/>
          <w:t xml:space="preserve"> Profit and savings shall be defined more specifically in the definitive agreements. In addition, </w:t>
        </w:r>
      </w:ins>
      <w:r>
        <w:rPr/>
        <w:t xml:space="preserve">EPMI would be compensated on a fixed fee basis of $1/MW-hr (above the delivered price) for deliveries of off-peak </w:t>
      </w:r>
      <w:ins w:id="83" w:author="kmann" w:date="2001-03-19T23:33:00Z">
        <w:r>
          <w:rPr/>
          <w:t xml:space="preserve">(as defined by FERC) </w:t>
        </w:r>
      </w:ins>
      <w:r>
        <w:rPr/>
        <w:t>market power</w:t>
      </w:r>
      <w:del w:id="84" w:author="kmann" w:date="2001-03-19T23:39:00Z">
        <w:r>
          <w:rPr/>
          <w:delText xml:space="preserve">.  </w:delText>
        </w:r>
      </w:del>
      <w:r>
        <w:rPr/>
        <w:t>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ind w:hanging="2880" w:start="2880" w:end="0"/>
        <w:jc w:val="both"/>
        <w:rPr>
          <w:sz w:val="22"/>
          <w:del w:id="87" w:author="kmann" w:date="2001-03-19T10:24:00Z"/>
        </w:rPr>
      </w:pPr>
      <w:r>
        <w:rPr>
          <w:b/>
          <w:sz w:val="22"/>
        </w:rPr>
        <w:t>Guaranteed Availability:</w:t>
        <w:tab/>
      </w:r>
      <w:del w:id="85" w:author="kmann" w:date="2001-03-19T10:24:00Z">
        <w:r>
          <w:rPr>
            <w:sz w:val="22"/>
          </w:rPr>
          <w:delText>.</w:delText>
        </w:r>
      </w:del>
      <w:ins w:id="86" w:author="kmann" w:date="2001-03-19T23:34:00Z">
        <w:r>
          <w:rPr>
            <w:sz w:val="22"/>
          </w:rPr>
          <w:t>Each of the Cities respectively will covenant and agree in any definitive agreement as contemplated herein to use its best efforst in accordance with prudent utility practice to maintain the availability of it woned generating unite constituting a power resourced for such City.</w:t>
        </w:r>
      </w:ins>
    </w:p>
    <w:p>
      <w:pPr>
        <w:pStyle w:val="Normal"/>
        <w:widowControl/>
        <w:tabs>
          <w:tab w:val="clear" w:pos="720"/>
          <w:tab w:val="left" w:pos="-1440" w:leader="none"/>
        </w:tabs>
        <w:bidi w:val="0"/>
        <w:ind w:hanging="2880" w:start="2880" w:end="0"/>
        <w:jc w:val="both"/>
        <w:rPr>
          <w:sz w:val="22"/>
        </w:rPr>
      </w:pPr>
      <w:del w:id="88" w:author="kmann" w:date="2001-03-19T23:36:00Z">
        <w:r>
          <w:rPr>
            <w:sz w:val="22"/>
          </w:rPr>
          <w:delText>The Cities will guarantee a forced outrage rate of five percent during the summer (May 1-September 30) and winter (December 1-February 28) peak seasons.</w:delText>
        </w:r>
      </w:del>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pPr>
      <w:r>
        <w:rPr>
          <w:b/>
          <w:bCs/>
          <w:sz w:val="22"/>
        </w:rPr>
        <w:t>Marketing Structure:</w:t>
      </w:r>
      <w:r>
        <w:rPr>
          <w:sz w:val="22"/>
        </w:rPr>
        <w:tab/>
        <w:t>EPMI will make recommendations to the Cities concerning the</w:t>
      </w:r>
      <w:ins w:id="89" w:author="kmann" w:date="2001-03-19T23:37:00Z">
        <w:r>
          <w:rPr>
            <w:sz w:val="22"/>
          </w:rPr>
          <w:t xml:space="preserve"> </w:t>
        </w:r>
      </w:ins>
      <w:r>
        <w:rPr>
          <w:sz w:val="22"/>
        </w:rPr>
        <w:t>marketing of gas and power resources based on the prevailing and projected market cost structure.  The goal is to maximize the spread (i.e. heat rate achieved) between gas purchase costs and power sales revenues.  The structure will provide</w:t>
      </w:r>
      <w:ins w:id="90" w:author="kmann" w:date="2001-03-19T09:46:00Z">
        <w:r>
          <w:rPr>
            <w:sz w:val="22"/>
          </w:rPr>
          <w:t xml:space="preserve"> </w:t>
        </w:r>
      </w:ins>
      <w:r>
        <w:rPr>
          <w:sz w:val="22"/>
        </w:rPr>
        <w:t xml:space="preserve">The Cities with flexibility and control, while at the same time effectively aligning The Cities’ and EPMI’s interests.  </w:t>
      </w:r>
    </w:p>
    <w:p>
      <w:pPr>
        <w:pStyle w:val="Normal"/>
        <w:tabs>
          <w:tab w:val="clear" w:pos="720"/>
          <w:tab w:val="left" w:pos="-1440" w:leader="none"/>
        </w:tabs>
        <w:ind w:hanging="2880" w:start="2880" w:end="0"/>
        <w:jc w:val="both"/>
        <w:rPr>
          <w:b/>
          <w:sz w:val="22"/>
        </w:rPr>
      </w:pPr>
      <w:del w:id="91" w:author="kmann" w:date="2001-03-19T09:46:00Z">
        <w:r>
          <w:rPr>
            <w:b/>
            <w:sz w:val="22"/>
          </w:rPr>
          <w:delText>EPMI Compensation:</w:delText>
          <w:tab/>
        </w:r>
      </w:del>
      <w:del w:id="92" w:author="kmann" w:date="2001-03-19T09:46:00Z">
        <w:r>
          <w:rPr>
            <w:sz w:val="22"/>
          </w:rPr>
          <w:delText>Profit from third party sales of The Cities’ power and gas resources and savings realized by purchase of on-peak market power would be split 60% to The Cities and 40% to EPMI with a guaranteed minimum monthly fee.  EPMI would be compensated on a fixed fee basis of $1/MW-hr (above the delivered price) for deliveries</w:delText>
        </w:r>
      </w:del>
      <w:del w:id="93" w:author="kmann" w:date="2001-03-19T09:46:00Z">
        <w:r>
          <w:rPr/>
          <w:delText xml:space="preserve"> </w:delText>
        </w:r>
      </w:del>
      <w:del w:id="94" w:author="kmann" w:date="2001-03-19T09:46:00Z">
        <w:r>
          <w:rPr>
            <w:sz w:val="22"/>
          </w:rPr>
          <w:delText>of off-peak market power</w:delText>
        </w:r>
      </w:del>
      <w:del w:id="95" w:author="kmann" w:date="2001-03-19T09:46:00Z">
        <w:r>
          <w:rPr/>
          <w:delText>.</w:delText>
        </w:r>
      </w:del>
      <w:del w:id="96" w:author="kmann" w:date="2001-03-19T09:46:00Z">
        <w:r>
          <w:rPr>
            <w:sz w:val="22"/>
          </w:rPr>
          <w:delText xml:space="preserve"> </w:delText>
        </w:r>
      </w:del>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del w:id="97" w:author="kmann" w:date="2001-03-19T23:44:00Z">
        <w:r>
          <w:rPr>
            <w:bCs/>
          </w:rPr>
          <w:delText>EPMI would act as the Asset Manager for The Cities</w:delText>
        </w:r>
      </w:del>
      <w:del w:id="98" w:author="kmann" w:date="2001-03-19T23:44:00Z">
        <w:r>
          <w:rPr/>
          <w:delText xml:space="preserve"> for a period of two (2)</w:delText>
        </w:r>
      </w:del>
      <w:r>
        <w:rPr/>
        <w:t xml:space="preserve"> </w:t>
      </w:r>
    </w:p>
    <w:p>
      <w:pPr>
        <w:pStyle w:val="BodyText3"/>
        <w:ind w:start="2880" w:end="0"/>
        <w:jc w:val="both"/>
        <w:rPr>
          <w:del w:id="100" w:author="kmann" w:date="2001-03-19T23:43:00Z"/>
        </w:rPr>
      </w:pPr>
      <w:del w:id="99" w:author="kmann" w:date="2001-03-19T23:43:00Z">
        <w:r>
          <w:rPr/>
          <w:delText>years for all of The Cities power resources.   Unit contingent risk, including market price risk and physical delivery risk for replacement power would be retained by The Cities.  EPMI would additionally offer ongoing power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delText>
        </w:r>
      </w:del>
    </w:p>
    <w:p>
      <w:pPr>
        <w:pStyle w:val="BodyText3"/>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pPr>
      <w:r>
        <w:rPr>
          <w:bCs/>
          <w:sz w:val="22"/>
        </w:rPr>
        <w:tab/>
        <w:t xml:space="preserve">EPMI would </w:t>
      </w:r>
      <w:ins w:id="101" w:author="kmann" w:date="2001-03-19T23:58:00Z">
        <w:r>
          <w:rPr>
            <w:bCs/>
            <w:sz w:val="22"/>
          </w:rPr>
          <w:t>make recommendations relating to the management of</w:t>
        </w:r>
      </w:ins>
      <w:del w:id="102" w:author="kmann" w:date="2001-03-19T23:58:00Z">
        <w:r>
          <w:rPr>
            <w:bCs/>
            <w:sz w:val="22"/>
          </w:rPr>
          <w:delText>manage t</w:delText>
        </w:r>
      </w:del>
      <w:ins w:id="103" w:author="kmann" w:date="2001-03-19T23:58:00Z">
        <w:r>
          <w:rPr>
            <w:bCs/>
            <w:sz w:val="22"/>
          </w:rPr>
          <w:t>t</w:t>
        </w:r>
      </w:ins>
      <w:r>
        <w:rPr>
          <w:bCs/>
          <w:sz w:val="22"/>
        </w:rPr>
        <w:t>he existing owned generation assets, contract firm power, and firm transmission rights using economic dispatch</w:t>
      </w:r>
      <w:del w:id="104" w:author="kmann" w:date="2001-03-19T23:55:00Z">
        <w:r>
          <w:rPr>
            <w:bCs/>
            <w:sz w:val="22"/>
          </w:rPr>
          <w:delText xml:space="preserve">.  </w:delText>
        </w:r>
      </w:del>
      <w:ins w:id="105" w:author="kmann" w:date="2001-03-19T23:55:00Z">
        <w:r>
          <w:rPr>
            <w:bCs/>
            <w:sz w:val="22"/>
          </w:rPr>
          <w:t xml:space="preserve">. Such activities may include arranging for control, scheduling, and ancillary services; economically dispatching The Cities Resources with the goal of minimizing the net power supply costs; and, arranging for </w:t>
        </w:r>
      </w:ins>
      <w:ins w:id="106" w:author="kmann" w:date="2001-03-19T23:57:00Z">
        <w:r>
          <w:rPr>
            <w:bCs/>
            <w:sz w:val="22"/>
          </w:rPr>
          <w:t xml:space="preserve">backup and replacement resources. </w:t>
        </w:r>
      </w:ins>
      <w:r>
        <w:rPr>
          <w:bCs/>
          <w:sz w:val="22"/>
        </w:rPr>
        <w:t>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del w:id="109" w:author="kmann" w:date="2001-03-19T23:41:00Z"/>
        </w:rPr>
      </w:pPr>
      <w:del w:id="107" w:author="kmann" w:date="2001-03-19T23:41:00Z">
        <w:r>
          <w:rPr>
            <w:b/>
            <w:sz w:val="22"/>
          </w:rPr>
          <w:delText>Default Power Index:</w:delText>
        </w:r>
      </w:del>
      <w:del w:id="108" w:author="kmann" w:date="2001-03-19T23:41:00Z">
        <w:r>
          <w:rPr>
            <w:sz w:val="22"/>
          </w:rPr>
          <w:tab/>
          <w:tab/>
          <w:delText>The “Default Power Index” would be the Megawatt Daily index for</w:delText>
        </w:r>
      </w:del>
    </w:p>
    <w:p>
      <w:pPr>
        <w:pStyle w:val="Normal"/>
        <w:tabs>
          <w:tab w:val="clear" w:pos="720"/>
          <w:tab w:val="left" w:pos="-1440" w:leader="none"/>
        </w:tabs>
        <w:jc w:val="both"/>
        <w:rPr/>
      </w:pPr>
      <w:del w:id="110" w:author="kmann" w:date="2001-03-19T23:41:00Z">
        <w:r>
          <w:rPr>
            <w:sz w:val="22"/>
          </w:rPr>
          <w:tab/>
          <w:tab/>
          <w:tab/>
          <w:tab/>
          <w:delText>ENTERGY.</w:delText>
        </w:r>
      </w:del>
      <w:r>
        <w:rPr>
          <w:sz w:val="22"/>
        </w:rPr>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agreement,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start="2880" w:end="0"/>
        <w:jc w:val="both"/>
        <w:rPr/>
      </w:pPr>
      <w:r>
        <w:rPr>
          <w:b/>
          <w:sz w:val="22"/>
        </w:rPr>
        <w:t>Infrastructure:</w:t>
        <w:tab/>
      </w:r>
      <w:del w:id="111" w:author="kmann" w:date="2001-03-19T23:41:00Z">
        <w:r>
          <w:rPr>
            <w:b/>
            <w:sz w:val="22"/>
          </w:rPr>
          <w:tab/>
        </w:r>
      </w:del>
      <w:del w:id="112" w:author="kmann" w:date="2001-03-19T23:41:00Z">
        <w:r>
          <w:rPr>
            <w:sz w:val="22"/>
          </w:rPr>
          <w:delText>I</w:delText>
        </w:r>
      </w:del>
      <w:ins w:id="113" w:author="kmann" w:date="2001-03-19T23:42:00Z">
        <w:r>
          <w:rPr>
            <w:sz w:val="22"/>
          </w:rPr>
          <w:t>I</w:t>
        </w:r>
      </w:ins>
      <w:r>
        <w:rPr>
          <w:sz w:val="22"/>
        </w:rPr>
        <w:t xml:space="preserve">nfrastructure, </w:t>
      </w:r>
      <w:del w:id="114" w:author="kmann" w:date="2001-03-19T23:42:00Z">
        <w:r>
          <w:rPr>
            <w:sz w:val="22"/>
          </w:rPr>
          <w:delText xml:space="preserve"> </w:delText>
        </w:r>
      </w:del>
      <w:r>
        <w:rPr>
          <w:sz w:val="22"/>
        </w:rPr>
        <w:t>and key proprietary and licensed technologies expected to be utilized in connection with the Proposed Transactions include:</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6"/>
        </w:numPr>
        <w:tabs>
          <w:tab w:val="clear" w:pos="720"/>
          <w:tab w:val="left" w:pos="3240" w:leader="none"/>
        </w:tabs>
        <w:jc w:val="both"/>
        <w:rPr>
          <w:sz w:val="22"/>
        </w:rPr>
      </w:pPr>
      <w:r>
        <w:rPr>
          <w:sz w:val="22"/>
        </w:rPr>
        <w:t xml:space="preserve">Automates and facilitates scheduling </w:t>
      </w:r>
    </w:p>
    <w:p>
      <w:pPr>
        <w:pStyle w:val="Normal"/>
        <w:numPr>
          <w:ilvl w:val="0"/>
          <w:numId w:val="6"/>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8"/>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8"/>
        </w:numPr>
        <w:tabs>
          <w:tab w:val="clear" w:pos="720"/>
          <w:tab w:val="left" w:pos="3240" w:leader="none"/>
        </w:tabs>
        <w:jc w:val="both"/>
        <w:rPr>
          <w:sz w:val="22"/>
        </w:rPr>
      </w:pPr>
      <w:r>
        <w:rPr>
          <w:sz w:val="22"/>
        </w:rPr>
        <w:t>Utilized in all control areas in the Eastern Connection</w:t>
      </w:r>
    </w:p>
    <w:p>
      <w:pPr>
        <w:pStyle w:val="Normal"/>
        <w:numPr>
          <w:ilvl w:val="0"/>
          <w:numId w:val="8"/>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3"/>
        </w:numPr>
        <w:tabs>
          <w:tab w:val="clear" w:pos="720"/>
          <w:tab w:val="left" w:pos="3240" w:leader="none"/>
        </w:tabs>
        <w:jc w:val="both"/>
        <w:rPr>
          <w:sz w:val="22"/>
        </w:rPr>
      </w:pPr>
      <w:r>
        <w:rPr>
          <w:sz w:val="22"/>
        </w:rPr>
        <w:t>Manages 7 control areas with 3,000MW of peakers in SERC,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3"/>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  Hardware and software installed on the Cities property shall be retained by the Cities after the term of the Proposed Transactions, so long as the Cities are not in default.</w:t>
      </w:r>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as well as </w:t>
      </w:r>
    </w:p>
    <w:p>
      <w:pPr>
        <w:pStyle w:val="BodyTextIndent3"/>
        <w:tabs>
          <w:tab w:val="clear" w:pos="3240"/>
        </w:tabs>
        <w:rPr/>
      </w:pPr>
      <w:r>
        <w:rPr>
          <w:rFonts w:cs="Times New Roman" w:ascii="Times New Roman" w:hAnsi="Times New Roman"/>
        </w:rPr>
        <w:t xml:space="preserve">control area set-up is estimated to be $300,000.  </w:t>
      </w:r>
      <w:ins w:id="115" w:author="kmann" w:date="2001-03-19T23:45:00Z">
        <w:r>
          <w:rPr>
            <w:rFonts w:cs="Times New Roman" w:ascii="Times New Roman" w:hAnsi="Times New Roman"/>
          </w:rPr>
          <w:t>Such actual costs to be incurred by EPMI are to be recovered from the fees, including the monthly minimum fee, as contemplated herein to be included in any agreement executed among the parties and, to the extent th</w:t>
        </w:r>
      </w:ins>
      <w:ins w:id="116" w:author="kmann" w:date="2001-03-19T23:48:00Z">
        <w:r>
          <w:rPr>
            <w:rFonts w:cs="Times New Roman" w:ascii="Times New Roman" w:hAnsi="Times New Roman"/>
          </w:rPr>
          <w:t>a</w:t>
        </w:r>
      </w:ins>
      <w:ins w:id="117" w:author="kmann" w:date="2001-03-19T23:46:00Z">
        <w:r>
          <w:rPr>
            <w:rFonts w:cs="Times New Roman" w:ascii="Times New Roman" w:hAnsi="Times New Roman"/>
          </w:rPr>
          <w:t>t such fees are paid by The Cities as required in any such agreement, no additional charges will be imposed on The Cities for such hardware and software to be installed by EPMI.</w:t>
        </w:r>
      </w:ins>
      <w:del w:id="118" w:author="kmann" w:date="2001-03-19T09:48:00Z">
        <w:r>
          <w:rPr>
            <w:rFonts w:cs="Times New Roman" w:ascii="Times New Roman" w:hAnsi="Times New Roman"/>
          </w:rPr>
          <w:delText>.  .</w:delText>
        </w:r>
      </w:del>
      <w:r>
        <w:rPr>
          <w:rFonts w:cs="Times New Roman" w:ascii="Times New Roman" w:hAnsi="Times New Roman"/>
        </w:rPr>
        <w:t xml:space="preserve">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4"/>
        </w:rPr>
      </w:pPr>
      <w:r>
        <w:rPr>
          <w:b/>
          <w:sz w:val="24"/>
        </w:rPr>
        <w:t xml:space="preserve">Scheduling </w:t>
      </w:r>
    </w:p>
    <w:p>
      <w:pPr>
        <w:pStyle w:val="BodyText2"/>
        <w:tabs>
          <w:tab w:val="left" w:pos="-1440" w:leader="none"/>
          <w:tab w:val="left" w:pos="2880" w:leader="none"/>
        </w:tabs>
        <w:ind w:hanging="2160" w:start="2160" w:end="0"/>
        <w:jc w:val="both"/>
        <w:rPr/>
      </w:pPr>
      <w:r>
        <w:rPr>
          <w:b/>
          <w:sz w:val="24"/>
        </w:rPr>
        <w:t>Services:</w:t>
      </w:r>
      <w:r>
        <w:rPr/>
        <w:tab/>
      </w:r>
      <w:r>
        <w:rPr>
          <w:sz w:val="22"/>
        </w:rPr>
        <w:t>EPMI, would provide the necessary scheduling services and NERC tagging for The Cities.  This service would include all scheduling functions as required in the deregulated SPP marketplace subject to the parties’ execution of a definitive agreement as to such services.</w:t>
      </w:r>
      <w:del w:id="119" w:author="kmann" w:date="2001-03-19T09:48:00Z">
        <w:r>
          <w:rPr>
            <w:sz w:val="22"/>
          </w:rPr>
          <w:delText xml:space="preserve">  </w:delText>
        </w:r>
      </w:del>
      <w:r>
        <w:rPr>
          <w:sz w:val="22"/>
        </w:rPr>
        <w:t xml:space="preserve">  EPMI would participate in any market testing conducted by SPP.  EPMI will satisfy all of the SPP Protocol requirements for QSE certification in Mississippi.  EPMI would work with The Cities to facilitate The Cities’ entry in SPP market testing programs.</w:t>
      </w:r>
      <w:r>
        <w:rPr/>
        <w:t xml:space="preserve">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agreement would provide them if required by the SPP ISO:</w:t>
      </w:r>
    </w:p>
    <w:p>
      <w:pPr>
        <w:pStyle w:val="Normal"/>
        <w:ind w:start="990" w:end="0"/>
        <w:jc w:val="both"/>
        <w:rPr>
          <w:sz w:val="22"/>
        </w:rPr>
      </w:pPr>
      <w:r>
        <w:rPr>
          <w:sz w:val="22"/>
        </w:rPr>
      </w:r>
    </w:p>
    <w:p>
      <w:pPr>
        <w:pStyle w:val="Normal"/>
        <w:numPr>
          <w:ilvl w:val="0"/>
          <w:numId w:val="5"/>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5"/>
        </w:numPr>
        <w:tabs>
          <w:tab w:val="clear" w:pos="720"/>
          <w:tab w:val="left" w:pos="2430" w:leader="none"/>
        </w:tabs>
        <w:ind w:hanging="270" w:start="2430" w:end="0"/>
        <w:jc w:val="both"/>
        <w:rPr>
          <w:sz w:val="22"/>
        </w:rPr>
      </w:pPr>
      <w:r>
        <w:rPr>
          <w:sz w:val="22"/>
        </w:rPr>
        <w:t>Proof of completion of the Connection Agreement to the SPP Private Network and Site Survey request;</w:t>
      </w:r>
    </w:p>
    <w:p>
      <w:pPr>
        <w:pStyle w:val="Normal"/>
        <w:numPr>
          <w:ilvl w:val="0"/>
          <w:numId w:val="5"/>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5"/>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5"/>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5"/>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5"/>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5"/>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5"/>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agreement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4"/>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agreement.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ind w:hanging="2160" w:start="2160" w:end="0"/>
        <w:jc w:val="both"/>
        <w:rPr>
          <w:sz w:val="22"/>
          <w:del w:id="121" w:author="kmann" w:date="2001-03-19T09:51:00Z"/>
        </w:rPr>
      </w:pPr>
      <w:r>
        <w:rPr>
          <w:b/>
          <w:bCs/>
          <w:sz w:val="22"/>
        </w:rPr>
        <w:t>Pricing:</w:t>
        <w:tab/>
      </w:r>
      <w:r>
        <w:rPr>
          <w:sz w:val="22"/>
        </w:rPr>
        <w:t>Pricing associated with this transaction and previously detailed herein includes the</w:t>
      </w:r>
      <w:ins w:id="120" w:author="kmann" w:date="2001-03-19T09:51:00Z">
        <w:r>
          <w:rPr>
            <w:sz w:val="22"/>
          </w:rPr>
          <w:t xml:space="preserve"> </w:t>
        </w:r>
      </w:ins>
    </w:p>
    <w:p>
      <w:pPr>
        <w:pStyle w:val="Normal"/>
        <w:widowControl/>
        <w:bidi w:val="0"/>
        <w:ind w:hanging="2160" w:start="2160" w:end="0"/>
        <w:jc w:val="both"/>
        <w:rPr>
          <w:sz w:val="22"/>
        </w:rPr>
      </w:pPr>
      <w:r>
        <w:rPr>
          <w:sz w:val="22"/>
        </w:rPr>
        <w:t>following:</w:t>
      </w:r>
    </w:p>
    <w:p>
      <w:pPr>
        <w:pStyle w:val="Normal"/>
        <w:jc w:val="both"/>
        <w:rPr>
          <w:sz w:val="22"/>
        </w:rPr>
      </w:pPr>
      <w:r>
        <w:rPr>
          <w:sz w:val="22"/>
        </w:rPr>
      </w:r>
    </w:p>
    <w:p>
      <w:pPr>
        <w:pStyle w:val="Normal"/>
        <w:numPr>
          <w:ilvl w:val="0"/>
          <w:numId w:val="7"/>
        </w:numPr>
        <w:jc w:val="both"/>
        <w:rPr>
          <w:b/>
          <w:bCs/>
          <w:sz w:val="22"/>
        </w:rPr>
      </w:pPr>
      <w:r>
        <w:rPr>
          <w:sz w:val="22"/>
        </w:rPr>
        <w:t>Profit sharing from external sales of The Cities’ power and gas resources;</w:t>
      </w:r>
    </w:p>
    <w:p>
      <w:pPr>
        <w:pStyle w:val="Normal"/>
        <w:numPr>
          <w:ilvl w:val="0"/>
          <w:numId w:val="7"/>
        </w:numPr>
        <w:jc w:val="both"/>
        <w:rPr>
          <w:b/>
          <w:bCs/>
          <w:sz w:val="22"/>
        </w:rPr>
      </w:pPr>
      <w:r>
        <w:rPr>
          <w:sz w:val="22"/>
        </w:rPr>
        <w:t>Sharing of the savings realized by purchase of on-peak market power;</w:t>
      </w:r>
    </w:p>
    <w:p>
      <w:pPr>
        <w:pStyle w:val="Normal"/>
        <w:numPr>
          <w:ilvl w:val="0"/>
          <w:numId w:val="7"/>
        </w:numPr>
        <w:jc w:val="both"/>
        <w:rPr>
          <w:b/>
          <w:bCs/>
          <w:sz w:val="22"/>
        </w:rPr>
      </w:pPr>
      <w:r>
        <w:rPr>
          <w:sz w:val="22"/>
        </w:rPr>
        <w:t>Fixed fee associated with off-peak power purchases; and</w:t>
      </w:r>
    </w:p>
    <w:p>
      <w:pPr>
        <w:pStyle w:val="Normal"/>
        <w:numPr>
          <w:ilvl w:val="0"/>
          <w:numId w:val="7"/>
        </w:numPr>
        <w:jc w:val="both"/>
        <w:rPr>
          <w:b/>
          <w:bCs/>
          <w:sz w:val="22"/>
        </w:rPr>
      </w:pPr>
      <w:r>
        <w:rPr>
          <w:sz w:val="22"/>
        </w:rPr>
        <w:t xml:space="preserve">Minimum monthly fee. </w:t>
      </w:r>
    </w:p>
    <w:p>
      <w:pPr>
        <w:pStyle w:val="Normal"/>
        <w:jc w:val="both"/>
        <w:rPr>
          <w:b/>
          <w:bCs/>
          <w:sz w:val="22"/>
        </w:rPr>
      </w:pPr>
      <w:r>
        <w:rPr>
          <w:b/>
          <w:bCs/>
          <w:sz w:val="22"/>
        </w:rPr>
      </w:r>
    </w:p>
    <w:p>
      <w:pPr>
        <w:pStyle w:val="BodyTextIndent3"/>
        <w:tabs>
          <w:tab w:val="clear" w:pos="3240"/>
        </w:tabs>
        <w:rPr>
          <w:rFonts w:ascii="Times New Roman" w:hAnsi="Times New Roman" w:cs="Times New Roman"/>
        </w:rPr>
      </w:pPr>
      <w:r>
        <w:rPr>
          <w:rFonts w:cs="Times New Roman" w:ascii="Times New Roman" w:hAnsi="Times New Roman"/>
        </w:rPr>
        <w:t>EPMI will provide control area services and other services described herein under the pricing structure summarized above.</w:t>
      </w:r>
    </w:p>
    <w:p>
      <w:pPr>
        <w:pStyle w:val="Normal"/>
        <w:jc w:val="both"/>
        <w:rPr>
          <w:rFonts w:ascii="Times New Roman" w:hAnsi="Times New Roman" w:cs="Times New Roman"/>
          <w:sz w:val="22"/>
        </w:rPr>
      </w:pPr>
      <w:r>
        <w:rPr>
          <w:rFonts w:cs="Times New Roman"/>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w:t>
      </w:r>
      <w:ins w:id="122" w:author="kmann" w:date="2001-03-19T09:54:00Z">
        <w:r>
          <w:rPr>
            <w:sz w:val="22"/>
          </w:rPr>
          <w:t xml:space="preserve"> consistent with Mississippi law</w:t>
        </w:r>
      </w:ins>
      <w:r>
        <w:rPr>
          <w:sz w:val="22"/>
        </w:rPr>
        <w:t>.  In connection with the Parties’ execution of a definitive agreement, The Cities would (i) acknowledge the absence of any partnership or other form of relationship or association creating fiduciary duties from EPMI to The Cities,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The Cities,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LOIMarch19red-bf0f49916af67f3d33aad21410bf8e3feada957e1bec6bd3b3e160c9bcb7ed24.doc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LOIMarch19red-bf0f49916af67f3d33aad21410bf8e3feada957e1bec6bd3b3e160c9bcb7ed24.doc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b/>
      </w:rPr>
    </w:pPr>
    <w:r>
      <w:rPr>
        <w:sz w:val="22"/>
      </w:rPr>
      <w:tab/>
      <w:tab/>
    </w:r>
    <w:r>
      <w:rPr>
        <w:b/>
      </w:rPr>
      <w:t xml:space="preserve">DRAFT: </w:t>
    </w:r>
    <w:del w:id="123" w:author="kmann" w:date="2001-03-19T09:23:00Z">
      <w:r>
        <w:rPr>
          <w:b/>
        </w:rPr>
        <w:delText>February 20, 2001</w:delText>
      </w:r>
    </w:del>
  </w:p>
  <w:p>
    <w:pPr>
      <w:pStyle w:val="Header"/>
      <w:tabs>
        <w:tab w:val="clear" w:pos="8640"/>
        <w:tab w:val="center" w:pos="4320" w:leader="none"/>
        <w:tab w:val="right" w:pos="9630" w:leader="none"/>
      </w:tabs>
      <w:jc w:val="center"/>
      <w:rPr>
        <w:b/>
      </w:rPr>
    </w:pPr>
    <w:r>
      <w:rPr>
        <w:b/>
      </w:rPr>
      <w:tab/>
      <w:t xml:space="preserve">For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DRAFT:March 9, 2001</w:t>
    </w:r>
  </w:p>
  <w:p>
    <w:pPr>
      <w:pStyle w:val="Header"/>
      <w:tabs>
        <w:tab w:val="clear" w:pos="4320"/>
        <w:tab w:val="clear" w:pos="8640"/>
        <w:tab w:val="right" w:pos="9540" w:leader="none"/>
        <w:tab w:val="right" w:pos="9630" w:leader="none"/>
      </w:tabs>
      <w:jc w:val="end"/>
      <w:rPr>
        <w:b/>
      </w:rPr>
    </w:pPr>
    <w:r>
      <w:rPr>
        <w:b/>
      </w:rPr>
      <w:t>For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3960"/>
        </w:tabs>
        <w:ind w:start="3960" w:hanging="360"/>
      </w:pPr>
      <w:rPr>
        <w:rFonts w:ascii="Symbol" w:hAnsi="Symbol" w:cs="Symbol" w:hint="default"/>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decimal"/>
      <w:lvlText w:val="%1)"/>
      <w:lvlJc w:val="start"/>
      <w:pPr>
        <w:tabs>
          <w:tab w:val="num" w:pos="1350"/>
        </w:tabs>
        <w:ind w:start="1350" w:hanging="360"/>
      </w:pPr>
      <w:r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bullet"/>
      <w:lvlText w:val=""/>
      <w:lvlJc w:val="start"/>
      <w:pPr>
        <w:tabs>
          <w:tab w:val="num" w:pos="2520"/>
        </w:tabs>
        <w:ind w:start="2520" w:hanging="360"/>
      </w:pPr>
      <w:rPr>
        <w:rFonts w:ascii="Symbol" w:hAnsi="Symbol" w:cs="Symbol" w:hint="default"/>
      </w:rPr>
    </w:lvl>
  </w:abstractNum>
  <w:abstractNum w:abstractNumId="8">
    <w:lvl w:ilvl="0">
      <w:start w:val="1"/>
      <w:numFmt w:val="bullet"/>
      <w:lvlText w:val=""/>
      <w:lvlJc w:val="start"/>
      <w:pPr>
        <w:tabs>
          <w:tab w:val="num" w:pos="3960"/>
        </w:tabs>
        <w:ind w:start="3960" w:hanging="360"/>
      </w:pPr>
      <w:rPr>
        <w:rFonts w:ascii="Symbol" w:hAnsi="Symbol" w:cs="Symbol" w:hint="default"/>
      </w:rPr>
    </w:lvl>
  </w:abstractNum>
  <w:abstractNum w:abstractNumId="9">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b w:val="false"/>
      <w:i w:val="false"/>
      <w:sz w:val="22"/>
      <w:u w:val="none"/>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2001-03-19T12:18:00Z</dcterms:created>
  <dc:creator>ECT</dc:creator>
  <dc:description/>
  <dc:language>en-CA</dc:language>
  <cp:lastModifiedBy>kmann</cp:lastModifiedBy>
  <cp:lastPrinted>2001-03-09T09:11:00Z</cp:lastPrinted>
  <dcterms:modified xsi:type="dcterms:W3CDTF">2001-03-20T03:32:00Z</dcterms:modified>
  <cp:revision>6</cp:revision>
  <dc:subject/>
  <dc:title>[ECT Letterhead]</dc:title>
</cp:coreProperties>
</file>