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sz w:val="28"/>
          <w:u w:val="single"/>
        </w:rPr>
      </w:pPr>
      <w:r>
        <w:rPr>
          <w:sz w:val="28"/>
          <w:u w:val="single"/>
        </w:rPr>
        <w:t>LNG Project Team Update</w:t>
      </w:r>
    </w:p>
    <w:p>
      <w:pPr>
        <w:pStyle w:val="Normal"/>
        <w:rPr>
          <w:b/>
        </w:rPr>
      </w:pPr>
      <w:r>
        <w:rPr>
          <w:b/>
        </w:rPr>
        <w:t>Members: Lowell Bezanis, Courtney Campbell, Russell Dyk, Marc Janichen, Ming Lian, Denver Plachy, Matt Smith, George Thomas</w:t>
      </w:r>
    </w:p>
    <w:p>
      <w:pPr>
        <w:pStyle w:val="Normal"/>
        <w:rPr>
          <w:b/>
        </w:rPr>
      </w:pPr>
      <w:r>
        <w:rPr>
          <w:b/>
        </w:rPr>
      </w:r>
    </w:p>
    <w:p>
      <w:pPr>
        <w:pStyle w:val="Normal"/>
        <w:numPr>
          <w:ilvl w:val="0"/>
          <w:numId w:val="2"/>
        </w:numPr>
        <w:rPr>
          <w:b/>
        </w:rPr>
      </w:pPr>
      <w:r>
        <w:rPr>
          <w:b/>
        </w:rPr>
        <w:t>Current Projects</w:t>
      </w:r>
    </w:p>
    <w:tbl>
      <w:tblPr>
        <w:tblW w:w="13284" w:type="dxa"/>
        <w:jc w:val="start"/>
        <w:tblInd w:w="0" w:type="dxa"/>
        <w:tblLayout w:type="fixed"/>
        <w:tblCellMar>
          <w:top w:w="0" w:type="dxa"/>
          <w:start w:w="108" w:type="dxa"/>
          <w:bottom w:w="0" w:type="dxa"/>
          <w:end w:w="108" w:type="dxa"/>
        </w:tblCellMar>
      </w:tblPr>
      <w:tblGrid>
        <w:gridCol w:w="2000"/>
        <w:gridCol w:w="2161"/>
        <w:gridCol w:w="2252"/>
        <w:gridCol w:w="2439"/>
        <w:gridCol w:w="7"/>
        <w:gridCol w:w="2942"/>
        <w:gridCol w:w="8"/>
        <w:gridCol w:w="1475"/>
      </w:tblGrid>
      <w:tr>
        <w:trPr/>
        <w:tc>
          <w:tcPr>
            <w:tcW w:w="2000" w:type="dxa"/>
            <w:tcBorders>
              <w:top w:val="single" w:sz="4" w:space="0" w:color="000000"/>
              <w:start w:val="single" w:sz="4" w:space="0" w:color="000000"/>
              <w:bottom w:val="single" w:sz="4" w:space="0" w:color="000000"/>
              <w:end w:val="single" w:sz="4" w:space="0" w:color="000000"/>
            </w:tcBorders>
          </w:tcPr>
          <w:p>
            <w:pPr>
              <w:pStyle w:val="Normal"/>
              <w:rPr>
                <w:b/>
              </w:rPr>
            </w:pPr>
            <w:r>
              <w:rPr>
                <w:b/>
              </w:rPr>
              <w:t>Project</w:t>
            </w:r>
          </w:p>
        </w:tc>
        <w:tc>
          <w:tcPr>
            <w:tcW w:w="2161" w:type="dxa"/>
            <w:tcBorders>
              <w:top w:val="single" w:sz="4" w:space="0" w:color="000000"/>
              <w:start w:val="single" w:sz="4" w:space="0" w:color="000000"/>
              <w:bottom w:val="single" w:sz="4" w:space="0" w:color="000000"/>
              <w:end w:val="single" w:sz="4" w:space="0" w:color="000000"/>
            </w:tcBorders>
          </w:tcPr>
          <w:p>
            <w:pPr>
              <w:pStyle w:val="Normal"/>
              <w:rPr>
                <w:b/>
              </w:rPr>
            </w:pPr>
            <w:r>
              <w:rPr>
                <w:b/>
              </w:rPr>
              <w:t>Accomplished to Date</w:t>
            </w:r>
          </w:p>
        </w:tc>
        <w:tc>
          <w:tcPr>
            <w:tcW w:w="2252" w:type="dxa"/>
            <w:tcBorders>
              <w:top w:val="single" w:sz="4" w:space="0" w:color="000000"/>
              <w:start w:val="single" w:sz="4" w:space="0" w:color="000000"/>
              <w:bottom w:val="single" w:sz="4" w:space="0" w:color="000000"/>
              <w:end w:val="single" w:sz="4" w:space="0" w:color="000000"/>
            </w:tcBorders>
          </w:tcPr>
          <w:p>
            <w:pPr>
              <w:pStyle w:val="Normal"/>
              <w:rPr>
                <w:b/>
              </w:rPr>
            </w:pPr>
            <w:r>
              <w:rPr>
                <w:b/>
              </w:rPr>
              <w:t>Comments</w:t>
            </w:r>
          </w:p>
        </w:tc>
        <w:tc>
          <w:tcPr>
            <w:tcW w:w="2446"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Expected Finish Date</w:t>
            </w:r>
          </w:p>
        </w:tc>
        <w:tc>
          <w:tcPr>
            <w:tcW w:w="2950" w:type="dxa"/>
            <w:gridSpan w:val="2"/>
            <w:tcBorders>
              <w:top w:val="single" w:sz="4" w:space="0" w:color="000000"/>
              <w:start w:val="single" w:sz="4" w:space="0" w:color="000000"/>
              <w:bottom w:val="single" w:sz="4" w:space="0" w:color="000000"/>
              <w:end w:val="single" w:sz="4" w:space="0" w:color="000000"/>
            </w:tcBorders>
          </w:tcPr>
          <w:p>
            <w:pPr>
              <w:pStyle w:val="Normal"/>
              <w:rPr>
                <w:b/>
              </w:rPr>
            </w:pPr>
            <w:r>
              <w:rPr>
                <w:b/>
              </w:rPr>
              <w:t>Sources</w:t>
            </w:r>
          </w:p>
        </w:tc>
        <w:tc>
          <w:tcPr>
            <w:tcW w:w="1475" w:type="dxa"/>
            <w:tcBorders>
              <w:top w:val="single" w:sz="4" w:space="0" w:color="000000"/>
              <w:start w:val="single" w:sz="4" w:space="0" w:color="000000"/>
              <w:bottom w:val="single" w:sz="4" w:space="0" w:color="000000"/>
              <w:end w:val="single" w:sz="4" w:space="0" w:color="000000"/>
            </w:tcBorders>
          </w:tcPr>
          <w:p>
            <w:pPr>
              <w:pStyle w:val="Normal"/>
              <w:rPr>
                <w:b/>
              </w:rPr>
            </w:pPr>
            <w:r>
              <w:rPr>
                <w:b/>
              </w:rPr>
              <w:t>Responsible</w:t>
            </w:r>
          </w:p>
        </w:tc>
      </w:tr>
      <w:tr>
        <w:trPr/>
        <w:tc>
          <w:tcPr>
            <w:tcW w:w="2000" w:type="dxa"/>
            <w:tcBorders>
              <w:top w:val="single" w:sz="4" w:space="0" w:color="000000"/>
              <w:start w:val="single" w:sz="4" w:space="0" w:color="000000"/>
              <w:bottom w:val="single" w:sz="4" w:space="0" w:color="000000"/>
              <w:end w:val="single" w:sz="4" w:space="0" w:color="000000"/>
            </w:tcBorders>
          </w:tcPr>
          <w:p>
            <w:pPr>
              <w:pStyle w:val="Normal"/>
              <w:rPr>
                <w:b/>
              </w:rPr>
            </w:pPr>
            <w:r>
              <w:rPr>
                <w:b/>
              </w:rPr>
              <w:t>LNG Website Map</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t>Map is up on website, with some key terminalling information</w:t>
            </w:r>
          </w:p>
        </w:tc>
        <w:tc>
          <w:tcPr>
            <w:tcW w:w="2252" w:type="dxa"/>
            <w:tcBorders>
              <w:top w:val="single" w:sz="4" w:space="0" w:color="000000"/>
              <w:start w:val="single" w:sz="4" w:space="0" w:color="000000"/>
              <w:bottom w:val="single" w:sz="4" w:space="0" w:color="000000"/>
              <w:end w:val="single" w:sz="4" w:space="0" w:color="000000"/>
            </w:tcBorders>
          </w:tcPr>
          <w:p>
            <w:pPr>
              <w:pStyle w:val="Normal"/>
              <w:rPr/>
            </w:pPr>
            <w:r>
              <w:rPr/>
              <w:t>Some minor cosmetic work still needs to be done</w:t>
            </w:r>
          </w:p>
        </w:tc>
        <w:tc>
          <w:tcPr>
            <w:tcW w:w="2446" w:type="dxa"/>
            <w:gridSpan w:val="2"/>
            <w:tcBorders>
              <w:top w:val="single" w:sz="4" w:space="0" w:color="000000"/>
              <w:start w:val="single" w:sz="4" w:space="0" w:color="000000"/>
              <w:bottom w:val="single" w:sz="4" w:space="0" w:color="000000"/>
              <w:end w:val="single" w:sz="4" w:space="0" w:color="000000"/>
            </w:tcBorders>
          </w:tcPr>
          <w:p>
            <w:pPr>
              <w:pStyle w:val="Normal"/>
              <w:rPr/>
            </w:pPr>
            <w:r>
              <w:rPr/>
              <w:t>March 31, 2001</w:t>
            </w:r>
          </w:p>
        </w:tc>
        <w:tc>
          <w:tcPr>
            <w:tcW w:w="295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Normal"/>
              <w:rPr/>
            </w:pPr>
            <w:r>
              <w:rPr/>
              <w:t>Russell Dyk</w:t>
            </w:r>
          </w:p>
        </w:tc>
      </w:tr>
      <w:tr>
        <w:trPr/>
        <w:tc>
          <w:tcPr>
            <w:tcW w:w="2000" w:type="dxa"/>
            <w:tcBorders>
              <w:top w:val="single" w:sz="4" w:space="0" w:color="000000"/>
              <w:start w:val="single" w:sz="4" w:space="0" w:color="000000"/>
              <w:bottom w:val="single" w:sz="4" w:space="0" w:color="000000"/>
              <w:end w:val="single" w:sz="4" w:space="0" w:color="000000"/>
            </w:tcBorders>
          </w:tcPr>
          <w:p>
            <w:pPr>
              <w:pStyle w:val="Normal"/>
              <w:rPr>
                <w:b/>
              </w:rPr>
            </w:pPr>
            <w:r>
              <w:rPr>
                <w:b/>
              </w:rPr>
              <w:t>LNG World Supply/Demand Forecast</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t>Initial supply/demand forecast is finished to 2010- US terminals extra capacity calculated</w:t>
            </w:r>
          </w:p>
        </w:tc>
        <w:tc>
          <w:tcPr>
            <w:tcW w:w="2252" w:type="dxa"/>
            <w:tcBorders>
              <w:top w:val="single" w:sz="4" w:space="0" w:color="000000"/>
              <w:start w:val="single" w:sz="4" w:space="0" w:color="000000"/>
              <w:bottom w:val="single" w:sz="4" w:space="0" w:color="000000"/>
              <w:end w:val="single" w:sz="4" w:space="0" w:color="000000"/>
            </w:tcBorders>
          </w:tcPr>
          <w:p>
            <w:pPr>
              <w:pStyle w:val="Normal"/>
              <w:rPr/>
            </w:pPr>
            <w:r>
              <w:rPr/>
              <w:t>Data needs to be incorporated into website map, but also put separately on website. Moreover, supply/demand analysis has to be fine-tuned for near-term spot cargoes</w:t>
            </w:r>
          </w:p>
        </w:tc>
        <w:tc>
          <w:tcPr>
            <w:tcW w:w="2446" w:type="dxa"/>
            <w:gridSpan w:val="2"/>
            <w:tcBorders>
              <w:top w:val="single" w:sz="4" w:space="0" w:color="000000"/>
              <w:start w:val="single" w:sz="4" w:space="0" w:color="000000"/>
              <w:bottom w:val="single" w:sz="4" w:space="0" w:color="000000"/>
              <w:end w:val="single" w:sz="4" w:space="0" w:color="000000"/>
            </w:tcBorders>
          </w:tcPr>
          <w:p>
            <w:pPr>
              <w:pStyle w:val="Normal"/>
              <w:rPr/>
            </w:pPr>
            <w:r>
              <w:rPr/>
              <w:t>April 2, 2001 (analysis put on website – not integrated with map – and spot cargo analysis finished)</w:t>
            </w:r>
          </w:p>
        </w:tc>
        <w:tc>
          <w:tcPr>
            <w:tcW w:w="2950" w:type="dxa"/>
            <w:gridSpan w:val="2"/>
            <w:tcBorders>
              <w:top w:val="single" w:sz="4" w:space="0" w:color="000000"/>
              <w:start w:val="single" w:sz="4" w:space="0" w:color="000000"/>
              <w:bottom w:val="single" w:sz="4" w:space="0" w:color="000000"/>
              <w:end w:val="single" w:sz="4" w:space="0" w:color="000000"/>
            </w:tcBorders>
          </w:tcPr>
          <w:p>
            <w:pPr>
              <w:pStyle w:val="Normal"/>
              <w:rPr/>
            </w:pPr>
            <w:r>
              <w:rPr/>
              <w:t xml:space="preserve">S:\LNG\Fundamental Analysis\Supply &amp; Demand\global capacities.xls </w:t>
            </w:r>
          </w:p>
          <w:p>
            <w:pPr>
              <w:pStyle w:val="Normal"/>
              <w:rPr/>
            </w:pPr>
            <w:r>
              <w:rPr/>
              <w:t xml:space="preserve">AND LNG Producer and Regas Terminals1.xls </w:t>
            </w:r>
          </w:p>
          <w:p>
            <w:pPr>
              <w:pStyle w:val="Normal"/>
              <w:rPr/>
            </w:pPr>
            <w:r>
              <w:rPr/>
              <w:t>AND USTerminalsto2006.xls</w:t>
            </w:r>
          </w:p>
          <w:p>
            <w:pPr>
              <w:pStyle w:val="Normal"/>
              <w:rPr/>
            </w:pPr>
            <w:r>
              <w:rPr/>
              <w:t>ALSO, the Shipping Model</w:t>
            </w:r>
          </w:p>
        </w:tc>
        <w:tc>
          <w:tcPr>
            <w:tcW w:w="1475" w:type="dxa"/>
            <w:tcBorders>
              <w:top w:val="single" w:sz="4" w:space="0" w:color="000000"/>
              <w:start w:val="single" w:sz="4" w:space="0" w:color="000000"/>
              <w:bottom w:val="single" w:sz="4" w:space="0" w:color="000000"/>
              <w:end w:val="single" w:sz="4" w:space="0" w:color="000000"/>
            </w:tcBorders>
          </w:tcPr>
          <w:p>
            <w:pPr>
              <w:pStyle w:val="Normal"/>
              <w:rPr/>
            </w:pPr>
            <w:r>
              <w:rPr/>
              <w:t>Ming Lian</w:t>
            </w:r>
          </w:p>
        </w:tc>
      </w:tr>
      <w:tr>
        <w:trPr/>
        <w:tc>
          <w:tcPr>
            <w:tcW w:w="2000" w:type="dxa"/>
            <w:tcBorders>
              <w:top w:val="single" w:sz="4" w:space="0" w:color="000000"/>
              <w:start w:val="single" w:sz="4" w:space="0" w:color="000000"/>
              <w:bottom w:val="single" w:sz="4" w:space="0" w:color="000000"/>
              <w:end w:val="single" w:sz="4" w:space="0" w:color="000000"/>
            </w:tcBorders>
          </w:tcPr>
          <w:p>
            <w:pPr>
              <w:pStyle w:val="Normal"/>
              <w:rPr>
                <w:b/>
              </w:rPr>
            </w:pPr>
            <w:r>
              <w:rPr>
                <w:b/>
              </w:rPr>
              <w:t>LNG Pricing Tools</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t xml:space="preserve">Shipping costs/netback will be calculated by program developed by IT, per RD’s  instructions. </w:t>
            </w:r>
          </w:p>
        </w:tc>
        <w:tc>
          <w:tcPr>
            <w:tcW w:w="2252" w:type="dxa"/>
            <w:tcBorders>
              <w:top w:val="single" w:sz="4" w:space="0" w:color="000000"/>
              <w:start w:val="single" w:sz="4" w:space="0" w:color="000000"/>
              <w:bottom w:val="single" w:sz="4" w:space="0" w:color="000000"/>
              <w:end w:val="single" w:sz="4" w:space="0" w:color="000000"/>
            </w:tcBorders>
          </w:tcPr>
          <w:p>
            <w:pPr>
              <w:pStyle w:val="Normal"/>
              <w:rPr/>
            </w:pPr>
            <w:r>
              <w:rPr/>
              <w:t>Need to expand on shipping costs to include working capital and terminalling costs and indicative pricing</w:t>
            </w:r>
          </w:p>
        </w:tc>
        <w:tc>
          <w:tcPr>
            <w:tcW w:w="2446" w:type="dxa"/>
            <w:gridSpan w:val="2"/>
            <w:tcBorders>
              <w:top w:val="single" w:sz="4" w:space="0" w:color="000000"/>
              <w:start w:val="single" w:sz="4" w:space="0" w:color="000000"/>
              <w:bottom w:val="single" w:sz="4" w:space="0" w:color="000000"/>
              <w:end w:val="single" w:sz="4" w:space="0" w:color="000000"/>
            </w:tcBorders>
          </w:tcPr>
          <w:p>
            <w:pPr>
              <w:pStyle w:val="Normal"/>
              <w:rPr/>
            </w:pPr>
            <w:r>
              <w:rPr/>
              <w:t>March 31, 2001 (for shipping costs)</w:t>
            </w:r>
          </w:p>
          <w:p>
            <w:pPr>
              <w:pStyle w:val="Normal"/>
              <w:rPr/>
            </w:pPr>
            <w:r>
              <w:rPr/>
              <w:t>March 18, 2001 (for terminalling and working capital costs)</w:t>
            </w:r>
          </w:p>
        </w:tc>
        <w:tc>
          <w:tcPr>
            <w:tcW w:w="2950" w:type="dxa"/>
            <w:gridSpan w:val="2"/>
            <w:tcBorders>
              <w:top w:val="single" w:sz="4" w:space="0" w:color="000000"/>
              <w:start w:val="single" w:sz="4" w:space="0" w:color="000000"/>
              <w:bottom w:val="single" w:sz="4" w:space="0" w:color="000000"/>
              <w:end w:val="single" w:sz="4" w:space="0" w:color="000000"/>
            </w:tcBorders>
          </w:tcPr>
          <w:p>
            <w:pPr>
              <w:pStyle w:val="Normal"/>
              <w:rPr/>
            </w:pPr>
            <w:r>
              <w:rPr/>
              <w:t>The Shipping Model</w:t>
            </w:r>
          </w:p>
          <w:p>
            <w:pPr>
              <w:pStyle w:val="Normal"/>
              <w:rPr/>
            </w:pPr>
            <w:r>
              <w:rPr/>
              <w:t>LNG Source Book</w:t>
            </w:r>
          </w:p>
          <w:p>
            <w:pPr>
              <w:pStyle w:val="Normal"/>
              <w:rPr/>
            </w:pPr>
            <w:hyperlink r:id="rId2">
              <w:r>
                <w:rPr>
                  <w:rStyle w:val="Hyperlink"/>
                </w:rPr>
                <w:t>www.ports.com</w:t>
              </w:r>
            </w:hyperlink>
            <w:r>
              <w:rPr/>
              <w:t xml:space="preserve"> (for port charges)</w:t>
            </w:r>
          </w:p>
          <w:p>
            <w:pPr>
              <w:pStyle w:val="Normal"/>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Normal"/>
              <w:rPr/>
            </w:pPr>
            <w:r>
              <w:rPr/>
              <w:t>Courtney Campbell/</w:t>
            </w:r>
          </w:p>
          <w:p>
            <w:pPr>
              <w:pStyle w:val="Normal"/>
              <w:rPr/>
            </w:pPr>
            <w:r>
              <w:rPr/>
              <w:t>George Thomas/ Denver Plachy</w:t>
            </w:r>
          </w:p>
        </w:tc>
      </w:tr>
      <w:tr>
        <w:trPr/>
        <w:tc>
          <w:tcPr>
            <w:tcW w:w="2000" w:type="dxa"/>
            <w:tcBorders>
              <w:top w:val="single" w:sz="4" w:space="0" w:color="000000"/>
              <w:start w:val="single" w:sz="4" w:space="0" w:color="000000"/>
              <w:bottom w:val="single" w:sz="4" w:space="0" w:color="000000"/>
              <w:end w:val="single" w:sz="4" w:space="0" w:color="000000"/>
            </w:tcBorders>
          </w:tcPr>
          <w:p>
            <w:pPr>
              <w:pStyle w:val="Normal"/>
              <w:rPr>
                <w:b/>
              </w:rPr>
            </w:pPr>
            <w:r>
              <w:rPr>
                <w:b/>
              </w:rPr>
              <w:t>LNG Spot Cargo Tracking</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t xml:space="preserve">Three newsletters published “US LNG </w:t>
            </w:r>
          </w:p>
          <w:p>
            <w:pPr>
              <w:pStyle w:val="Normal"/>
              <w:rPr/>
            </w:pPr>
            <w:r>
              <w:rPr/>
              <w:t>Market Update”  3</w:t>
            </w:r>
            <w:r>
              <w:rPr>
                <w:vertAlign w:val="superscript"/>
              </w:rPr>
              <w:t>rd</w:t>
            </w:r>
            <w:r>
              <w:rPr/>
              <w:t xml:space="preserve"> by 3/26</w:t>
            </w:r>
          </w:p>
        </w:tc>
        <w:tc>
          <w:tcPr>
            <w:tcW w:w="2252"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2446" w:type="dxa"/>
            <w:gridSpan w:val="2"/>
            <w:tcBorders>
              <w:top w:val="single" w:sz="4" w:space="0" w:color="000000"/>
              <w:start w:val="single" w:sz="4" w:space="0" w:color="000000"/>
              <w:bottom w:val="single" w:sz="4" w:space="0" w:color="000000"/>
              <w:end w:val="single" w:sz="4" w:space="0" w:color="000000"/>
            </w:tcBorders>
          </w:tcPr>
          <w:p>
            <w:pPr>
              <w:pStyle w:val="Normal"/>
              <w:rPr/>
            </w:pPr>
            <w:r>
              <w:rPr/>
              <w:t>Done</w:t>
            </w:r>
          </w:p>
        </w:tc>
        <w:tc>
          <w:tcPr>
            <w:tcW w:w="2950" w:type="dxa"/>
            <w:gridSpan w:val="2"/>
            <w:tcBorders>
              <w:top w:val="single" w:sz="4" w:space="0" w:color="000000"/>
              <w:start w:val="single" w:sz="4" w:space="0" w:color="000000"/>
              <w:bottom w:val="single" w:sz="4" w:space="0" w:color="000000"/>
              <w:end w:val="single" w:sz="4" w:space="0" w:color="000000"/>
            </w:tcBorders>
          </w:tcPr>
          <w:p>
            <w:pPr>
              <w:pStyle w:val="Normal"/>
              <w:rPr/>
            </w:pPr>
            <w:r>
              <w:rPr/>
              <w:t>Lake Charles Port and Pilot’s data</w:t>
            </w:r>
          </w:p>
          <w:p>
            <w:pPr>
              <w:pStyle w:val="Normal"/>
              <w:rPr/>
            </w:pPr>
            <w:r>
              <w:rPr/>
              <w:t>Trunkline LNG website (from Gas Fundamentals page – go to capacity/arrival dates to assess what’s coming)</w:t>
            </w:r>
          </w:p>
          <w:p>
            <w:pPr>
              <w:pStyle w:val="Normal"/>
              <w:rPr/>
            </w:pPr>
            <w:hyperlink r:id="rId3">
              <w:r>
                <w:rPr>
                  <w:rStyle w:val="Hyperlink"/>
                </w:rPr>
                <w:t>http://www.massport.com/ports/about_formo.html</w:t>
              </w:r>
            </w:hyperlink>
            <w:r>
              <w:rPr>
                <w:color w:val="000000"/>
              </w:rPr>
              <w:t xml:space="preserve"> (for Everett)</w:t>
            </w:r>
          </w:p>
        </w:tc>
        <w:tc>
          <w:tcPr>
            <w:tcW w:w="1475" w:type="dxa"/>
            <w:tcBorders>
              <w:top w:val="single" w:sz="4" w:space="0" w:color="000000"/>
              <w:start w:val="single" w:sz="4" w:space="0" w:color="000000"/>
              <w:bottom w:val="single" w:sz="4" w:space="0" w:color="000000"/>
              <w:end w:val="single" w:sz="4" w:space="0" w:color="000000"/>
            </w:tcBorders>
          </w:tcPr>
          <w:p>
            <w:pPr>
              <w:pStyle w:val="Normal"/>
              <w:rPr/>
            </w:pPr>
            <w:r>
              <w:rPr/>
              <w:t>George Thomas/ Denver Plachy</w:t>
            </w:r>
          </w:p>
        </w:tc>
      </w:tr>
      <w:tr>
        <w:trPr/>
        <w:tc>
          <w:tcPr>
            <w:tcW w:w="2000" w:type="dxa"/>
            <w:tcBorders>
              <w:top w:val="single" w:sz="4" w:space="0" w:color="000000"/>
              <w:start w:val="single" w:sz="4" w:space="0" w:color="000000"/>
              <w:bottom w:val="single" w:sz="4" w:space="0" w:color="000000"/>
              <w:end w:val="single" w:sz="4" w:space="0" w:color="000000"/>
            </w:tcBorders>
          </w:tcPr>
          <w:p>
            <w:pPr>
              <w:pStyle w:val="Normal"/>
              <w:rPr>
                <w:b/>
              </w:rPr>
            </w:pPr>
            <w:r>
              <w:rPr>
                <w:b/>
              </w:rPr>
              <w:t>LNG Country Reports</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t>E-source has already completed a number of country reports</w:t>
            </w:r>
          </w:p>
        </w:tc>
        <w:tc>
          <w:tcPr>
            <w:tcW w:w="2252" w:type="dxa"/>
            <w:tcBorders>
              <w:top w:val="single" w:sz="4" w:space="0" w:color="000000"/>
              <w:start w:val="single" w:sz="4" w:space="0" w:color="000000"/>
              <w:bottom w:val="single" w:sz="4" w:space="0" w:color="000000"/>
              <w:end w:val="single" w:sz="4" w:space="0" w:color="000000"/>
            </w:tcBorders>
          </w:tcPr>
          <w:p>
            <w:pPr>
              <w:pStyle w:val="Normal"/>
              <w:rPr/>
            </w:pPr>
            <w:r>
              <w:rPr/>
              <w:t>E-source’s info and data need to be checked against in-house information before they are put onto the website</w:t>
            </w:r>
          </w:p>
        </w:tc>
        <w:tc>
          <w:tcPr>
            <w:tcW w:w="2446" w:type="dxa"/>
            <w:gridSpan w:val="2"/>
            <w:tcBorders>
              <w:top w:val="single" w:sz="4" w:space="0" w:color="000000"/>
              <w:start w:val="single" w:sz="4" w:space="0" w:color="000000"/>
              <w:bottom w:val="single" w:sz="4" w:space="0" w:color="000000"/>
              <w:end w:val="single" w:sz="4" w:space="0" w:color="000000"/>
            </w:tcBorders>
          </w:tcPr>
          <w:p>
            <w:pPr>
              <w:pStyle w:val="Normal"/>
              <w:rPr/>
            </w:pPr>
            <w:r>
              <w:rPr/>
              <w:t>April 15, 2001</w:t>
            </w:r>
          </w:p>
        </w:tc>
        <w:tc>
          <w:tcPr>
            <w:tcW w:w="295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Normal"/>
              <w:rPr/>
            </w:pPr>
            <w:r>
              <w:rPr/>
              <w:t>Courtney Campbell</w:t>
            </w:r>
          </w:p>
        </w:tc>
      </w:tr>
      <w:tr>
        <w:trPr>
          <w:trHeight w:val="2318" w:hRule="atLeast"/>
        </w:trPr>
        <w:tc>
          <w:tcPr>
            <w:tcW w:w="2000" w:type="dxa"/>
            <w:tcBorders>
              <w:top w:val="single" w:sz="4" w:space="0" w:color="000000"/>
              <w:start w:val="single" w:sz="4" w:space="0" w:color="000000"/>
              <w:bottom w:val="single" w:sz="4" w:space="0" w:color="000000"/>
              <w:end w:val="single" w:sz="4" w:space="0" w:color="000000"/>
            </w:tcBorders>
          </w:tcPr>
          <w:p>
            <w:pPr>
              <w:pStyle w:val="Normal"/>
              <w:rPr>
                <w:b/>
              </w:rPr>
            </w:pPr>
            <w:r>
              <w:rPr>
                <w:b/>
              </w:rPr>
              <w:t xml:space="preserve">Weekly LNG </w:t>
            </w:r>
          </w:p>
          <w:p>
            <w:pPr>
              <w:pStyle w:val="Normal"/>
              <w:rPr>
                <w:b/>
              </w:rPr>
            </w:pPr>
            <w:r>
              <w:rPr>
                <w:b/>
              </w:rPr>
              <w:t>Press Review</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t xml:space="preserve">Second edition completed. </w:t>
            </w:r>
          </w:p>
        </w:tc>
        <w:tc>
          <w:tcPr>
            <w:tcW w:w="2252" w:type="dxa"/>
            <w:tcBorders>
              <w:top w:val="single" w:sz="4" w:space="0" w:color="000000"/>
              <w:start w:val="single" w:sz="4" w:space="0" w:color="000000"/>
              <w:bottom w:val="single" w:sz="4" w:space="0" w:color="000000"/>
              <w:end w:val="single" w:sz="4" w:space="0" w:color="000000"/>
            </w:tcBorders>
          </w:tcPr>
          <w:p>
            <w:pPr>
              <w:pStyle w:val="Normal"/>
              <w:rPr/>
            </w:pPr>
            <w:r>
              <w:rPr/>
              <w:t>Examines LNG developments in mainstream, local English-language business press in target producer/consumer countries, and NG industry trade press</w:t>
            </w:r>
          </w:p>
          <w:p>
            <w:pPr>
              <w:pStyle w:val="Normal"/>
              <w:rPr/>
            </w:pPr>
            <w:r>
              <w:rPr/>
            </w:r>
          </w:p>
          <w:p>
            <w:pPr>
              <w:pStyle w:val="Normal"/>
              <w:rPr/>
            </w:pPr>
            <w:r>
              <w:rPr/>
            </w:r>
          </w:p>
        </w:tc>
        <w:tc>
          <w:tcPr>
            <w:tcW w:w="2446" w:type="dxa"/>
            <w:gridSpan w:val="2"/>
            <w:tcBorders>
              <w:top w:val="single" w:sz="4" w:space="0" w:color="000000"/>
              <w:start w:val="single" w:sz="4" w:space="0" w:color="000000"/>
              <w:bottom w:val="single" w:sz="4" w:space="0" w:color="000000"/>
              <w:end w:val="single" w:sz="4" w:space="0" w:color="000000"/>
            </w:tcBorders>
          </w:tcPr>
          <w:p>
            <w:pPr>
              <w:pStyle w:val="Normal"/>
              <w:rPr/>
            </w:pPr>
            <w:r>
              <w:rPr/>
              <w:t>16 &amp; 22 March</w:t>
            </w:r>
          </w:p>
        </w:tc>
        <w:tc>
          <w:tcPr>
            <w:tcW w:w="2950" w:type="dxa"/>
            <w:gridSpan w:val="2"/>
            <w:tcBorders>
              <w:top w:val="single" w:sz="4" w:space="0" w:color="000000"/>
              <w:start w:val="single" w:sz="4" w:space="0" w:color="000000"/>
              <w:bottom w:val="single" w:sz="4" w:space="0" w:color="000000"/>
              <w:end w:val="single" w:sz="4" w:space="0" w:color="000000"/>
            </w:tcBorders>
          </w:tcPr>
          <w:p>
            <w:pPr>
              <w:pStyle w:val="Normal"/>
              <w:rPr/>
            </w:pPr>
            <w:r>
              <w:rPr/>
              <w:t>E-source, trade press</w:t>
            </w:r>
          </w:p>
        </w:tc>
        <w:tc>
          <w:tcPr>
            <w:tcW w:w="1475" w:type="dxa"/>
            <w:tcBorders>
              <w:top w:val="single" w:sz="4" w:space="0" w:color="000000"/>
              <w:start w:val="single" w:sz="4" w:space="0" w:color="000000"/>
              <w:bottom w:val="single" w:sz="4" w:space="0" w:color="000000"/>
              <w:end w:val="single" w:sz="4" w:space="0" w:color="000000"/>
            </w:tcBorders>
          </w:tcPr>
          <w:p>
            <w:pPr>
              <w:pStyle w:val="Normal"/>
              <w:rPr/>
            </w:pPr>
            <w:r>
              <w:rPr/>
              <w:t>Ming Lian</w:t>
            </w:r>
          </w:p>
          <w:p>
            <w:pPr>
              <w:pStyle w:val="Normal"/>
              <w:rPr/>
            </w:pPr>
            <w:r>
              <w:rPr/>
              <w:t>Lowell Bezanis</w:t>
            </w:r>
          </w:p>
        </w:tc>
      </w:tr>
      <w:tr>
        <w:trPr>
          <w:trHeight w:val="1352" w:hRule="atLeast"/>
        </w:trPr>
        <w:tc>
          <w:tcPr>
            <w:tcW w:w="2000" w:type="dxa"/>
            <w:tcBorders>
              <w:top w:val="single" w:sz="4" w:space="0" w:color="000000"/>
              <w:start w:val="single" w:sz="4" w:space="0" w:color="000000"/>
              <w:bottom w:val="single" w:sz="4" w:space="0" w:color="000000"/>
              <w:end w:val="single" w:sz="4" w:space="0" w:color="000000"/>
            </w:tcBorders>
          </w:tcPr>
          <w:p>
            <w:pPr>
              <w:pStyle w:val="Normal"/>
              <w:rPr>
                <w:b/>
              </w:rPr>
            </w:pPr>
            <w:r>
              <w:rPr>
                <w:b/>
              </w:rPr>
              <w:t>Source Ingathering</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t>Meeting with Zdenek Gerych, 22 March</w:t>
            </w:r>
          </w:p>
        </w:tc>
        <w:tc>
          <w:tcPr>
            <w:tcW w:w="2252" w:type="dxa"/>
            <w:tcBorders>
              <w:top w:val="single" w:sz="4" w:space="0" w:color="000000"/>
              <w:start w:val="single" w:sz="4" w:space="0" w:color="000000"/>
              <w:bottom w:val="single" w:sz="4" w:space="0" w:color="000000"/>
              <w:end w:val="single" w:sz="4" w:space="0" w:color="000000"/>
            </w:tcBorders>
          </w:tcPr>
          <w:p>
            <w:pPr>
              <w:pStyle w:val="Normal"/>
              <w:rPr/>
            </w:pPr>
            <w:r>
              <w:rPr/>
              <w:t>Obtaining access to primary add secondary source material on global LNG</w:t>
            </w:r>
          </w:p>
          <w:p>
            <w:pPr>
              <w:pStyle w:val="Normal"/>
              <w:rPr/>
            </w:pPr>
            <w:r>
              <w:rPr/>
            </w:r>
          </w:p>
          <w:p>
            <w:pPr>
              <w:pStyle w:val="Normal"/>
              <w:rPr/>
            </w:pPr>
            <w:r>
              <w:rPr/>
            </w:r>
          </w:p>
          <w:p>
            <w:pPr>
              <w:pStyle w:val="Normal"/>
              <w:rPr/>
            </w:pPr>
            <w:r>
              <w:rPr/>
            </w:r>
          </w:p>
          <w:p>
            <w:pPr>
              <w:pStyle w:val="Normal"/>
              <w:rPr/>
            </w:pPr>
            <w:r>
              <w:rPr/>
            </w:r>
          </w:p>
          <w:p>
            <w:pPr>
              <w:pStyle w:val="Normal"/>
              <w:rPr/>
            </w:pPr>
            <w:r>
              <w:rPr/>
            </w:r>
          </w:p>
        </w:tc>
        <w:tc>
          <w:tcPr>
            <w:tcW w:w="2446" w:type="dxa"/>
            <w:gridSpan w:val="2"/>
            <w:tcBorders>
              <w:top w:val="single" w:sz="4" w:space="0" w:color="000000"/>
              <w:start w:val="single" w:sz="4" w:space="0" w:color="000000"/>
              <w:bottom w:val="single" w:sz="4" w:space="0" w:color="000000"/>
              <w:end w:val="single" w:sz="4" w:space="0" w:color="000000"/>
            </w:tcBorders>
          </w:tcPr>
          <w:p>
            <w:pPr>
              <w:pStyle w:val="Normal"/>
              <w:rPr/>
            </w:pPr>
            <w:r>
              <w:rPr/>
              <w:t>28 March for first tranche; thereafter ongoing</w:t>
            </w:r>
          </w:p>
        </w:tc>
        <w:tc>
          <w:tcPr>
            <w:tcW w:w="2950"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Normal"/>
              <w:rPr/>
            </w:pPr>
            <w:r>
              <w:rPr/>
              <w:t>Courtney Campbell</w:t>
            </w:r>
          </w:p>
          <w:p>
            <w:pPr>
              <w:pStyle w:val="Normal"/>
              <w:rPr/>
            </w:pPr>
            <w:r>
              <w:rPr/>
              <w:t>Lowell Bezanis</w:t>
            </w:r>
          </w:p>
        </w:tc>
      </w:tr>
      <w:tr>
        <w:trPr>
          <w:trHeight w:val="5198" w:hRule="atLeast"/>
        </w:trPr>
        <w:tc>
          <w:tcPr>
            <w:tcW w:w="2000" w:type="dxa"/>
            <w:tcBorders>
              <w:top w:val="single" w:sz="4" w:space="0" w:color="000000"/>
              <w:start w:val="single" w:sz="4" w:space="0" w:color="000000"/>
              <w:bottom w:val="single" w:sz="4" w:space="0" w:color="000000"/>
              <w:end w:val="single" w:sz="4" w:space="0" w:color="000000"/>
            </w:tcBorders>
          </w:tcPr>
          <w:p>
            <w:pPr>
              <w:pStyle w:val="Normal"/>
              <w:rPr>
                <w:b/>
              </w:rPr>
            </w:pPr>
            <w:r>
              <w:rPr>
                <w:b/>
              </w:rPr>
              <w:t>LNG Overview</w:t>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t>2</w:t>
            </w:r>
            <w:r>
              <w:rPr>
                <w:vertAlign w:val="superscript"/>
              </w:rPr>
              <w:t xml:space="preserve">nd </w:t>
            </w:r>
            <w:r>
              <w:rPr/>
              <w:t>Draft completed 22 March. Asian section edited, fact checking and additions in progress (Ming); European section, edited, supply dimension to be  fleshed out folded in (George) and edited Americas section edited, correcs submitted (Denver), edit needed (Lowell); shipping component in progress (George)</w:t>
            </w:r>
          </w:p>
        </w:tc>
        <w:tc>
          <w:tcPr>
            <w:tcW w:w="2252" w:type="dxa"/>
            <w:tcBorders>
              <w:top w:val="single" w:sz="4" w:space="0" w:color="000000"/>
              <w:start w:val="single" w:sz="4" w:space="0" w:color="000000"/>
              <w:bottom w:val="single" w:sz="4" w:space="0" w:color="000000"/>
              <w:end w:val="single" w:sz="4" w:space="0" w:color="000000"/>
            </w:tcBorders>
          </w:tcPr>
          <w:p>
            <w:pPr>
              <w:pStyle w:val="Normal"/>
              <w:rPr/>
            </w:pPr>
            <w:r>
              <w:rPr/>
              <w:t>Summary of the LNG market, the basic structure of both long-term and short-term transactions, shipping logistics, market dynamics</w:t>
            </w:r>
          </w:p>
        </w:tc>
        <w:tc>
          <w:tcPr>
            <w:tcW w:w="2446" w:type="dxa"/>
            <w:gridSpan w:val="2"/>
            <w:tcBorders>
              <w:top w:val="single" w:sz="4" w:space="0" w:color="000000"/>
              <w:start w:val="single" w:sz="4" w:space="0" w:color="000000"/>
              <w:bottom w:val="single" w:sz="4" w:space="0" w:color="000000"/>
              <w:end w:val="single" w:sz="4" w:space="0" w:color="000000"/>
            </w:tcBorders>
          </w:tcPr>
          <w:p>
            <w:pPr>
              <w:pStyle w:val="Normal"/>
              <w:rPr/>
            </w:pPr>
            <w:r>
              <w:rPr/>
              <w:t>April 2, 2001</w:t>
            </w:r>
          </w:p>
        </w:tc>
        <w:tc>
          <w:tcPr>
            <w:tcW w:w="2950" w:type="dxa"/>
            <w:gridSpan w:val="2"/>
            <w:tcBorders>
              <w:top w:val="single" w:sz="4" w:space="0" w:color="000000"/>
              <w:start w:val="single" w:sz="4" w:space="0" w:color="000000"/>
              <w:bottom w:val="single" w:sz="4" w:space="0" w:color="000000"/>
              <w:end w:val="single" w:sz="4" w:space="0" w:color="000000"/>
            </w:tcBorders>
          </w:tcPr>
          <w:p>
            <w:pPr>
              <w:pStyle w:val="Normal"/>
              <w:rPr/>
            </w:pPr>
            <w:r>
              <w:rPr/>
              <w:t>MSDW LNG Report</w:t>
            </w:r>
          </w:p>
          <w:p>
            <w:pPr>
              <w:pStyle w:val="Normal"/>
              <w:rPr/>
            </w:pPr>
            <w:r>
              <w:rPr/>
              <w:t>LNG Tanker Industry Report</w:t>
            </w:r>
          </w:p>
          <w:p>
            <w:pPr>
              <w:pStyle w:val="Normal"/>
              <w:rPr/>
            </w:pPr>
            <w:r>
              <w:rPr/>
              <w:t>Interchangeability of Regasified LNG</w:t>
            </w:r>
          </w:p>
          <w:p>
            <w:pPr>
              <w:pStyle w:val="Normal"/>
              <w:rPr/>
            </w:pPr>
            <w:r>
              <w:rPr/>
              <w:t>Poten&amp;Partners LNG Cost and Competition Study</w:t>
            </w:r>
          </w:p>
          <w:p>
            <w:pPr>
              <w:pStyle w:val="Normal"/>
              <w:rPr/>
            </w:pPr>
            <w:hyperlink r:id="rId4">
              <w:r>
                <w:rPr>
                  <w:rStyle w:val="Hyperlink"/>
                </w:rPr>
                <w:t>http://www.fe.doe.gov/oil_gas/im_ex/gasimex.html</w:t>
              </w:r>
            </w:hyperlink>
          </w:p>
          <w:p>
            <w:pPr>
              <w:pStyle w:val="Normal"/>
              <w:rPr/>
            </w:pPr>
            <w:r>
              <w:rPr/>
              <w:t>US Terminal Tariffs AND</w:t>
            </w:r>
          </w:p>
          <w:p>
            <w:pPr>
              <w:pStyle w:val="Normal"/>
              <w:rPr/>
            </w:pPr>
            <w:r>
              <w:rPr/>
              <w:t>O:\EGM Fundamentals\LNG\Elba Summary.doc</w:t>
            </w:r>
          </w:p>
          <w:p>
            <w:pPr>
              <w:pStyle w:val="Normal"/>
              <w:rPr/>
            </w:pPr>
            <w:r>
              <w:rPr/>
              <w:t>Shipping Model</w:t>
            </w:r>
          </w:p>
          <w:p>
            <w:pPr>
              <w:pStyle w:val="Normal"/>
              <w:rPr/>
            </w:pPr>
            <w:r>
              <w:rPr/>
              <w:t>Supply &amp; Demand spreadsheets mentioned above</w:t>
            </w:r>
          </w:p>
          <w:p>
            <w:pPr>
              <w:pStyle w:val="Normal"/>
              <w:rPr/>
            </w:pPr>
            <w:r>
              <w:rPr/>
              <w:t>S:\LNG\Fundamentals Analysis\Supply &amp; Demand\Vessel.xls</w:t>
            </w:r>
          </w:p>
          <w:p>
            <w:pPr>
              <w:pStyle w:val="Normal"/>
              <w:rPr/>
            </w:pPr>
            <w:r>
              <w:rPr/>
              <w:t>O:\EGM Fundamentals\LNG\Ships\Ships on Order 1-30-01</w:t>
            </w:r>
          </w:p>
          <w:p>
            <w:pPr>
              <w:pStyle w:val="Normal"/>
              <w:rPr/>
            </w:pPr>
            <w:r>
              <w:rPr/>
              <w:t>AND jccmodel.xls</w:t>
            </w:r>
          </w:p>
          <w:p>
            <w:pPr>
              <w:pStyle w:val="Normal"/>
              <w:rPr/>
            </w:pPr>
            <w:r>
              <w:rPr/>
            </w:r>
          </w:p>
        </w:tc>
        <w:tc>
          <w:tcPr>
            <w:tcW w:w="1475" w:type="dxa"/>
            <w:tcBorders>
              <w:top w:val="single" w:sz="4" w:space="0" w:color="000000"/>
              <w:start w:val="single" w:sz="4" w:space="0" w:color="000000"/>
              <w:bottom w:val="single" w:sz="4" w:space="0" w:color="000000"/>
              <w:end w:val="single" w:sz="4" w:space="0" w:color="000000"/>
            </w:tcBorders>
          </w:tcPr>
          <w:p>
            <w:pPr>
              <w:pStyle w:val="Normal"/>
              <w:rPr/>
            </w:pPr>
            <w:r>
              <w:rPr/>
              <w:t>Everyone</w:t>
            </w:r>
          </w:p>
        </w:tc>
      </w:tr>
      <w:tr>
        <w:trPr>
          <w:trHeight w:val="1538" w:hRule="atLeast"/>
        </w:trPr>
        <w:tc>
          <w:tcPr>
            <w:tcW w:w="2000"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t xml:space="preserve">Competitive Intelligence </w:t>
            </w:r>
          </w:p>
          <w:p>
            <w:pPr>
              <w:pStyle w:val="Normal"/>
              <w:rPr>
                <w:b/>
              </w:rPr>
            </w:pPr>
            <w:r>
              <w:rPr>
                <w:b/>
              </w:rPr>
            </w:r>
          </w:p>
          <w:p>
            <w:pPr>
              <w:pStyle w:val="Normal"/>
              <w:rPr>
                <w:b/>
              </w:rPr>
            </w:pPr>
            <w:r>
              <w:rPr>
                <w:b/>
              </w:rPr>
            </w:r>
          </w:p>
        </w:tc>
        <w:tc>
          <w:tcPr>
            <w:tcW w:w="2161" w:type="dxa"/>
            <w:tcBorders>
              <w:top w:val="single" w:sz="4" w:space="0" w:color="000000"/>
              <w:start w:val="single" w:sz="4" w:space="0" w:color="000000"/>
              <w:bottom w:val="single" w:sz="4" w:space="0" w:color="000000"/>
              <w:end w:val="single" w:sz="4" w:space="0" w:color="000000"/>
            </w:tcBorders>
          </w:tcPr>
          <w:p>
            <w:pPr>
              <w:pStyle w:val="Normal"/>
              <w:rPr/>
            </w:pPr>
            <w:r>
              <w:rPr/>
              <w:t>In progress</w:t>
            </w:r>
          </w:p>
        </w:tc>
        <w:tc>
          <w:tcPr>
            <w:tcW w:w="2252" w:type="dxa"/>
            <w:tcBorders>
              <w:top w:val="single" w:sz="4" w:space="0" w:color="000000"/>
              <w:start w:val="single" w:sz="4" w:space="0" w:color="000000"/>
              <w:bottom w:val="single" w:sz="4" w:space="0" w:color="000000"/>
              <w:end w:val="single" w:sz="4" w:space="0" w:color="000000"/>
            </w:tcBorders>
          </w:tcPr>
          <w:p>
            <w:pPr>
              <w:pStyle w:val="Normal"/>
              <w:rPr/>
            </w:pPr>
            <w:r>
              <w:rPr>
                <w:b/>
                <w:bCs/>
              </w:rPr>
              <w:t>Urgent</w:t>
            </w:r>
            <w:r>
              <w:rPr/>
              <w:t xml:space="preserve"> - Ingathering of raw material on Enron competitors in LNG area (El Paso, Sempra and Tractabel) for London offsite</w:t>
            </w:r>
          </w:p>
        </w:tc>
        <w:tc>
          <w:tcPr>
            <w:tcW w:w="2446" w:type="dxa"/>
            <w:gridSpan w:val="2"/>
            <w:tcBorders>
              <w:top w:val="single" w:sz="4" w:space="0" w:color="000000"/>
              <w:start w:val="single" w:sz="4" w:space="0" w:color="000000"/>
              <w:bottom w:val="single" w:sz="4" w:space="0" w:color="000000"/>
              <w:end w:val="single" w:sz="4" w:space="0" w:color="000000"/>
            </w:tcBorders>
          </w:tcPr>
          <w:p>
            <w:pPr>
              <w:pStyle w:val="Normal"/>
              <w:rPr/>
            </w:pPr>
            <w:r>
              <w:rPr/>
              <w:t>April 6, 2001</w:t>
            </w:r>
          </w:p>
        </w:tc>
        <w:tc>
          <w:tcPr>
            <w:tcW w:w="2950" w:type="dxa"/>
            <w:gridSpan w:val="2"/>
            <w:tcBorders>
              <w:top w:val="single" w:sz="4" w:space="0" w:color="000000"/>
              <w:start w:val="single" w:sz="4" w:space="0" w:color="000000"/>
              <w:bottom w:val="single" w:sz="4" w:space="0" w:color="000000"/>
              <w:end w:val="single" w:sz="4" w:space="0" w:color="000000"/>
            </w:tcBorders>
          </w:tcPr>
          <w:p>
            <w:pPr>
              <w:pStyle w:val="Normal"/>
              <w:rPr/>
            </w:pPr>
            <w:r>
              <w:rPr/>
              <w:t>DJI, Investext/First Call/Skyminder, Live Edgar, Company web sites, trade press survey</w:t>
            </w:r>
          </w:p>
        </w:tc>
        <w:tc>
          <w:tcPr>
            <w:tcW w:w="1475" w:type="dxa"/>
            <w:tcBorders>
              <w:top w:val="single" w:sz="4" w:space="0" w:color="000000"/>
              <w:start w:val="single" w:sz="4" w:space="0" w:color="000000"/>
              <w:bottom w:val="single" w:sz="4" w:space="0" w:color="000000"/>
              <w:end w:val="single" w:sz="4" w:space="0" w:color="000000"/>
            </w:tcBorders>
          </w:tcPr>
          <w:p>
            <w:pPr>
              <w:pStyle w:val="Normal"/>
              <w:rPr/>
            </w:pPr>
            <w:r>
              <w:rPr/>
              <w:t>Courtney Campbell</w:t>
            </w:r>
          </w:p>
        </w:tc>
      </w:tr>
      <w:tr>
        <w:trPr>
          <w:trHeight w:val="720" w:hRule="atLeast"/>
        </w:trPr>
        <w:tc>
          <w:tcPr>
            <w:tcW w:w="2000" w:type="dxa"/>
            <w:tcBorders>
              <w:top w:val="single" w:sz="4" w:space="0" w:color="000000"/>
              <w:start w:val="single" w:sz="4" w:space="0" w:color="000000"/>
              <w:bottom w:val="single" w:sz="4" w:space="0" w:color="000000"/>
              <w:end w:val="single" w:sz="4" w:space="0" w:color="000000"/>
            </w:tcBorders>
          </w:tcPr>
          <w:p>
            <w:pPr>
              <w:pStyle w:val="Normal"/>
              <w:ind w:start="108" w:end="0"/>
              <w:rPr>
                <w:b/>
              </w:rPr>
            </w:pPr>
            <w:r>
              <w:rPr>
                <w:b/>
              </w:rPr>
              <w:t>Market Drivers</w:t>
            </w:r>
          </w:p>
          <w:p>
            <w:pPr>
              <w:pStyle w:val="Normal"/>
              <w:ind w:start="108" w:end="0"/>
              <w:rPr>
                <w:b/>
              </w:rPr>
            </w:pPr>
            <w:r>
              <w:rPr>
                <w:b/>
              </w:rPr>
            </w:r>
          </w:p>
          <w:p>
            <w:pPr>
              <w:pStyle w:val="Normal"/>
              <w:ind w:start="108" w:end="0"/>
              <w:rPr>
                <w:b/>
              </w:rPr>
            </w:pPr>
            <w:r>
              <w:rPr>
                <w:b/>
              </w:rPr>
            </w:r>
          </w:p>
          <w:p>
            <w:pPr>
              <w:pStyle w:val="Normal"/>
              <w:ind w:start="108" w:end="0"/>
              <w:rPr>
                <w:b/>
              </w:rPr>
            </w:pPr>
            <w:r>
              <w:rPr>
                <w:b/>
              </w:rPr>
            </w:r>
          </w:p>
        </w:tc>
        <w:tc>
          <w:tcPr>
            <w:tcW w:w="2161" w:type="dxa"/>
            <w:tcBorders>
              <w:top w:val="single" w:sz="4" w:space="0" w:color="000000"/>
              <w:start w:val="single" w:sz="4" w:space="0" w:color="000000"/>
              <w:bottom w:val="single" w:sz="4" w:space="0" w:color="000000"/>
              <w:end w:val="single" w:sz="4" w:space="0" w:color="000000"/>
            </w:tcBorders>
          </w:tcPr>
          <w:p>
            <w:pPr>
              <w:pStyle w:val="Normal"/>
              <w:rPr>
                <w:bCs/>
              </w:rPr>
            </w:pPr>
            <w:r>
              <w:rPr>
                <w:bCs/>
              </w:rPr>
              <w:t>In Progress</w:t>
            </w:r>
          </w:p>
          <w:p>
            <w:pPr>
              <w:pStyle w:val="Normal"/>
              <w:rPr>
                <w:b/>
                <w:bCs/>
              </w:rPr>
            </w:pPr>
            <w:r>
              <w:rPr>
                <w:b/>
                <w:bCs/>
              </w:rPr>
            </w:r>
          </w:p>
          <w:p>
            <w:pPr>
              <w:pStyle w:val="Normal"/>
              <w:rPr>
                <w:b/>
              </w:rPr>
            </w:pPr>
            <w:r>
              <w:rPr>
                <w:b/>
              </w:rPr>
            </w:r>
          </w:p>
        </w:tc>
        <w:tc>
          <w:tcPr>
            <w:tcW w:w="2252" w:type="dxa"/>
            <w:tcBorders>
              <w:top w:val="single" w:sz="4" w:space="0" w:color="000000"/>
              <w:start w:val="single" w:sz="4" w:space="0" w:color="000000"/>
              <w:bottom w:val="single" w:sz="4" w:space="0" w:color="000000"/>
              <w:end w:val="single" w:sz="4" w:space="0" w:color="000000"/>
            </w:tcBorders>
          </w:tcPr>
          <w:p>
            <w:pPr>
              <w:pStyle w:val="Normal"/>
              <w:rPr/>
            </w:pPr>
            <w:r>
              <w:rPr>
                <w:b/>
              </w:rPr>
              <w:t xml:space="preserve">Urgent  - </w:t>
            </w:r>
            <w:r>
              <w:rPr>
                <w:bCs/>
              </w:rPr>
              <w:t xml:space="preserve">Provide supporting data/visuals for Wayne Perry  argument in favor of LNG merchant trade for  shipping conference </w:t>
            </w:r>
          </w:p>
          <w:p>
            <w:pPr>
              <w:pStyle w:val="Normal"/>
              <w:rPr>
                <w:b/>
                <w:bCs/>
              </w:rPr>
            </w:pPr>
            <w:r>
              <w:rPr>
                <w:b/>
                <w:bCs/>
              </w:rPr>
            </w:r>
          </w:p>
          <w:p>
            <w:pPr>
              <w:pStyle w:val="Normal"/>
              <w:rPr>
                <w:b/>
              </w:rPr>
            </w:pPr>
            <w:r>
              <w:rPr>
                <w:b/>
              </w:rPr>
            </w:r>
          </w:p>
        </w:tc>
        <w:tc>
          <w:tcPr>
            <w:tcW w:w="2439" w:type="dxa"/>
            <w:tcBorders>
              <w:top w:val="single" w:sz="4" w:space="0" w:color="000000"/>
              <w:start w:val="single" w:sz="4" w:space="0" w:color="000000"/>
              <w:bottom w:val="single" w:sz="4" w:space="0" w:color="000000"/>
              <w:end w:val="single" w:sz="4" w:space="0" w:color="000000"/>
            </w:tcBorders>
          </w:tcPr>
          <w:p>
            <w:pPr>
              <w:pStyle w:val="Normal"/>
              <w:rPr>
                <w:bCs/>
              </w:rPr>
            </w:pPr>
            <w:r>
              <w:rPr>
                <w:bCs/>
              </w:rPr>
              <w:t>March 26-27, 2001</w:t>
            </w:r>
          </w:p>
          <w:p>
            <w:pPr>
              <w:pStyle w:val="Normal"/>
              <w:rPr>
                <w:b/>
                <w:bCs/>
              </w:rPr>
            </w:pPr>
            <w:r>
              <w:rPr>
                <w:b/>
                <w:bCs/>
              </w:rPr>
            </w:r>
          </w:p>
          <w:p>
            <w:pPr>
              <w:pStyle w:val="Normal"/>
              <w:rPr>
                <w:b/>
              </w:rPr>
            </w:pPr>
            <w:r>
              <w:rPr>
                <w:b/>
              </w:rPr>
            </w:r>
          </w:p>
        </w:tc>
        <w:tc>
          <w:tcPr>
            <w:tcW w:w="2949" w:type="dxa"/>
            <w:gridSpan w:val="2"/>
            <w:tcBorders>
              <w:top w:val="single" w:sz="4" w:space="0" w:color="000000"/>
              <w:start w:val="single" w:sz="4" w:space="0" w:color="000000"/>
              <w:bottom w:val="single" w:sz="4" w:space="0" w:color="000000"/>
              <w:end w:val="single" w:sz="4" w:space="0" w:color="000000"/>
            </w:tcBorders>
          </w:tcPr>
          <w:p>
            <w:pPr>
              <w:pStyle w:val="Normal"/>
              <w:rPr>
                <w:bCs/>
              </w:rPr>
            </w:pPr>
            <w:r>
              <w:rPr>
                <w:bCs/>
              </w:rPr>
              <w:t>Existing information sources</w:t>
            </w:r>
          </w:p>
          <w:p>
            <w:pPr>
              <w:pStyle w:val="Normal"/>
              <w:rPr>
                <w:b/>
                <w:bCs/>
              </w:rPr>
            </w:pPr>
            <w:r>
              <w:rPr>
                <w:b/>
                <w:bCs/>
              </w:rPr>
            </w:r>
          </w:p>
          <w:p>
            <w:pPr>
              <w:pStyle w:val="Normal"/>
              <w:rPr>
                <w:b/>
              </w:rPr>
            </w:pPr>
            <w:r>
              <w:rPr>
                <w:b/>
              </w:rPr>
            </w:r>
          </w:p>
        </w:tc>
        <w:tc>
          <w:tcPr>
            <w:tcW w:w="1483" w:type="dxa"/>
            <w:gridSpan w:val="2"/>
            <w:tcBorders>
              <w:top w:val="single" w:sz="4" w:space="0" w:color="000000"/>
              <w:start w:val="single" w:sz="4" w:space="0" w:color="000000"/>
              <w:bottom w:val="single" w:sz="4" w:space="0" w:color="000000"/>
              <w:end w:val="single" w:sz="4" w:space="0" w:color="000000"/>
            </w:tcBorders>
          </w:tcPr>
          <w:p>
            <w:pPr>
              <w:pStyle w:val="Normal"/>
              <w:rPr>
                <w:bCs/>
              </w:rPr>
            </w:pPr>
            <w:r>
              <w:rPr>
                <w:bCs/>
              </w:rPr>
              <w:t>Everyone</w:t>
            </w:r>
          </w:p>
          <w:p>
            <w:pPr>
              <w:pStyle w:val="Normal"/>
              <w:rPr>
                <w:b/>
                <w:bCs/>
              </w:rPr>
            </w:pPr>
            <w:r>
              <w:rPr>
                <w:b/>
                <w:bCs/>
              </w:rPr>
            </w:r>
          </w:p>
          <w:p>
            <w:pPr>
              <w:pStyle w:val="Normal"/>
              <w:rPr>
                <w:b/>
              </w:rPr>
            </w:pPr>
            <w:r>
              <w:rPr>
                <w:b/>
              </w:rPr>
            </w:r>
          </w:p>
        </w:tc>
      </w:tr>
      <w:tr>
        <w:trPr>
          <w:trHeight w:val="2051" w:hRule="atLeast"/>
        </w:trPr>
        <w:tc>
          <w:tcPr>
            <w:tcW w:w="2000" w:type="dxa"/>
            <w:tcBorders>
              <w:top w:val="single" w:sz="4" w:space="0" w:color="000000"/>
              <w:start w:val="single" w:sz="4" w:space="0" w:color="000000"/>
              <w:bottom w:val="single" w:sz="4" w:space="0" w:color="000000"/>
              <w:end w:val="single" w:sz="4" w:space="0" w:color="000000"/>
            </w:tcBorders>
          </w:tcPr>
          <w:p>
            <w:pPr>
              <w:pStyle w:val="Normal"/>
              <w:ind w:start="108" w:end="0"/>
              <w:rPr>
                <w:b/>
              </w:rPr>
            </w:pPr>
            <w:r>
              <w:rPr>
                <w:b/>
              </w:rPr>
              <w:t>CA Gas Scoping Study</w:t>
            </w:r>
          </w:p>
        </w:tc>
        <w:tc>
          <w:tcPr>
            <w:tcW w:w="2161" w:type="dxa"/>
            <w:tcBorders>
              <w:top w:val="single" w:sz="4" w:space="0" w:color="000000"/>
              <w:start w:val="single" w:sz="4" w:space="0" w:color="000000"/>
              <w:bottom w:val="single" w:sz="4" w:space="0" w:color="000000"/>
              <w:end w:val="single" w:sz="4" w:space="0" w:color="000000"/>
            </w:tcBorders>
          </w:tcPr>
          <w:p>
            <w:pPr>
              <w:pStyle w:val="Normal"/>
              <w:rPr>
                <w:bCs/>
              </w:rPr>
            </w:pPr>
            <w:r>
              <w:rPr>
                <w:bCs/>
              </w:rPr>
              <w:t>In progress</w:t>
            </w:r>
          </w:p>
        </w:tc>
        <w:tc>
          <w:tcPr>
            <w:tcW w:w="2252" w:type="dxa"/>
            <w:tcBorders>
              <w:top w:val="single" w:sz="4" w:space="0" w:color="000000"/>
              <w:start w:val="single" w:sz="4" w:space="0" w:color="000000"/>
              <w:bottom w:val="single" w:sz="4" w:space="0" w:color="000000"/>
              <w:end w:val="single" w:sz="4" w:space="0" w:color="000000"/>
            </w:tcBorders>
          </w:tcPr>
          <w:p>
            <w:pPr>
              <w:pStyle w:val="Normal"/>
              <w:rPr/>
            </w:pPr>
            <w:r>
              <w:rPr>
                <w:b/>
              </w:rPr>
              <w:t>Urgen</w:t>
            </w:r>
            <w:r>
              <w:rPr>
                <w:bCs/>
              </w:rPr>
              <w:t>t – Supply information on CA gas market and its likely development, including existing and anticipated pipeline infrastructure for London offsite</w:t>
            </w:r>
          </w:p>
        </w:tc>
        <w:tc>
          <w:tcPr>
            <w:tcW w:w="2439" w:type="dxa"/>
            <w:tcBorders>
              <w:top w:val="single" w:sz="4" w:space="0" w:color="000000"/>
              <w:start w:val="single" w:sz="4" w:space="0" w:color="000000"/>
              <w:bottom w:val="single" w:sz="4" w:space="0" w:color="000000"/>
              <w:end w:val="single" w:sz="4" w:space="0" w:color="000000"/>
            </w:tcBorders>
          </w:tcPr>
          <w:p>
            <w:pPr>
              <w:pStyle w:val="Normal"/>
              <w:rPr>
                <w:bCs/>
              </w:rPr>
            </w:pPr>
            <w:r>
              <w:rPr>
                <w:bCs/>
              </w:rPr>
              <w:t>April 6, 2001</w:t>
            </w:r>
          </w:p>
          <w:p>
            <w:pPr>
              <w:pStyle w:val="Normal"/>
              <w:rPr>
                <w:b/>
                <w:bCs/>
              </w:rPr>
            </w:pPr>
            <w:r>
              <w:rPr>
                <w:b/>
                <w:bCs/>
              </w:rPr>
            </w:r>
          </w:p>
          <w:p>
            <w:pPr>
              <w:pStyle w:val="Normal"/>
              <w:rPr>
                <w:b/>
              </w:rPr>
            </w:pPr>
            <w:r>
              <w:rPr>
                <w:b/>
              </w:rPr>
            </w:r>
          </w:p>
        </w:tc>
        <w:tc>
          <w:tcPr>
            <w:tcW w:w="294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r>
          </w:p>
          <w:p>
            <w:pPr>
              <w:pStyle w:val="Normal"/>
              <w:rPr>
                <w:b/>
              </w:rPr>
            </w:pPr>
            <w:r>
              <w:rPr>
                <w:b/>
              </w:rPr>
            </w:r>
          </w:p>
        </w:tc>
        <w:tc>
          <w:tcPr>
            <w:tcW w:w="1483" w:type="dxa"/>
            <w:gridSpan w:val="2"/>
            <w:tcBorders>
              <w:top w:val="single" w:sz="4" w:space="0" w:color="000000"/>
              <w:start w:val="single" w:sz="4" w:space="0" w:color="000000"/>
              <w:bottom w:val="single" w:sz="4" w:space="0" w:color="000000"/>
              <w:end w:val="single" w:sz="4" w:space="0" w:color="000000"/>
            </w:tcBorders>
          </w:tcPr>
          <w:p>
            <w:pPr>
              <w:pStyle w:val="Normal"/>
              <w:rPr>
                <w:bCs/>
              </w:rPr>
            </w:pPr>
            <w:r>
              <w:rPr>
                <w:bCs/>
              </w:rPr>
              <w:t>Everyone</w:t>
            </w:r>
          </w:p>
          <w:p>
            <w:pPr>
              <w:pStyle w:val="Normal"/>
              <w:rPr>
                <w:b/>
                <w:bCs/>
              </w:rPr>
            </w:pPr>
            <w:r>
              <w:rPr>
                <w:b/>
                <w:bCs/>
              </w:rPr>
            </w:r>
          </w:p>
          <w:p>
            <w:pPr>
              <w:pStyle w:val="Normal"/>
              <w:rPr>
                <w:b/>
              </w:rPr>
            </w:pPr>
            <w:r>
              <w:rPr>
                <w:b/>
              </w:rPr>
            </w:r>
          </w:p>
        </w:tc>
      </w:tr>
      <w:tr>
        <w:trPr>
          <w:trHeight w:val="170" w:hRule="atLeast"/>
        </w:trPr>
        <w:tc>
          <w:tcPr>
            <w:tcW w:w="2000" w:type="dxa"/>
            <w:tcBorders>
              <w:top w:val="single" w:sz="4" w:space="0" w:color="000000"/>
              <w:start w:val="single" w:sz="4" w:space="0" w:color="000000"/>
              <w:bottom w:val="single" w:sz="4" w:space="0" w:color="000000"/>
              <w:end w:val="single" w:sz="4" w:space="0" w:color="000000"/>
            </w:tcBorders>
          </w:tcPr>
          <w:p>
            <w:pPr>
              <w:pStyle w:val="Normal"/>
              <w:snapToGrid w:val="false"/>
              <w:ind w:start="108" w:end="0"/>
              <w:rPr>
                <w:b/>
              </w:rPr>
            </w:pPr>
            <w:r>
              <w:rPr>
                <w:b/>
              </w:rPr>
            </w:r>
          </w:p>
          <w:p>
            <w:pPr>
              <w:pStyle w:val="Normal"/>
              <w:ind w:start="108" w:end="0"/>
              <w:rPr>
                <w:b/>
              </w:rPr>
            </w:pPr>
            <w:r>
              <w:rPr>
                <w:b/>
              </w:rPr>
            </w:r>
          </w:p>
          <w:p>
            <w:pPr>
              <w:pStyle w:val="Normal"/>
              <w:ind w:start="108" w:end="0"/>
              <w:rPr>
                <w:b/>
              </w:rPr>
            </w:pPr>
            <w:r>
              <w:rPr>
                <w:b/>
              </w:rPr>
            </w:r>
          </w:p>
        </w:tc>
        <w:tc>
          <w:tcPr>
            <w:tcW w:w="2161"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r>
          </w:p>
          <w:p>
            <w:pPr>
              <w:pStyle w:val="Normal"/>
              <w:rPr>
                <w:b/>
              </w:rPr>
            </w:pPr>
            <w:r>
              <w:rPr>
                <w:b/>
              </w:rPr>
            </w:r>
          </w:p>
        </w:tc>
        <w:tc>
          <w:tcPr>
            <w:tcW w:w="2252"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p>
            <w:pPr>
              <w:pStyle w:val="Normal"/>
              <w:rPr>
                <w:b/>
              </w:rPr>
            </w:pPr>
            <w:r>
              <w:rPr>
                <w:b/>
              </w:rPr>
            </w:r>
          </w:p>
          <w:p>
            <w:pPr>
              <w:pStyle w:val="Normal"/>
              <w:rPr>
                <w:b/>
              </w:rPr>
            </w:pPr>
            <w:r>
              <w:rPr>
                <w:b/>
              </w:rPr>
            </w:r>
          </w:p>
        </w:tc>
        <w:tc>
          <w:tcPr>
            <w:tcW w:w="2439" w:type="dxa"/>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2949"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c>
          <w:tcPr>
            <w:tcW w:w="1483"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b/>
              </w:rPr>
            </w:pPr>
            <w:r>
              <w:rPr>
                <w:b/>
              </w:rPr>
            </w:r>
          </w:p>
        </w:tc>
      </w:tr>
    </w:tbl>
    <w:p>
      <w:pPr>
        <w:pStyle w:val="Normal"/>
        <w:rPr>
          <w:b/>
        </w:rPr>
      </w:pPr>
      <w:r>
        <w:rPr>
          <w:b/>
        </w:rPr>
      </w:r>
    </w:p>
    <w:p>
      <w:pPr>
        <w:pStyle w:val="Normal"/>
        <w:rPr>
          <w:b/>
        </w:rPr>
      </w:pPr>
      <w:r>
        <w:rPr>
          <w:b/>
        </w:rPr>
      </w:r>
    </w:p>
    <w:p>
      <w:pPr>
        <w:pStyle w:val="Normal"/>
        <w:numPr>
          <w:ilvl w:val="0"/>
          <w:numId w:val="2"/>
        </w:numPr>
        <w:rPr>
          <w:b/>
        </w:rPr>
      </w:pPr>
      <w:r>
        <w:rPr>
          <w:b/>
        </w:rPr>
        <w:t>Initiatives</w:t>
      </w:r>
    </w:p>
    <w:tbl>
      <w:tblPr>
        <w:tblW w:w="13284" w:type="dxa"/>
        <w:jc w:val="start"/>
        <w:tblInd w:w="0" w:type="dxa"/>
        <w:tblLayout w:type="fixed"/>
        <w:tblCellMar>
          <w:top w:w="0" w:type="dxa"/>
          <w:start w:w="108" w:type="dxa"/>
          <w:bottom w:w="0" w:type="dxa"/>
          <w:end w:w="108" w:type="dxa"/>
        </w:tblCellMar>
      </w:tblPr>
      <w:tblGrid>
        <w:gridCol w:w="1998"/>
        <w:gridCol w:w="2160"/>
        <w:gridCol w:w="2250"/>
        <w:gridCol w:w="2430"/>
        <w:gridCol w:w="2970"/>
        <w:gridCol w:w="1476"/>
      </w:tblGrid>
      <w:tr>
        <w:trPr/>
        <w:tc>
          <w:tcPr>
            <w:tcW w:w="1998" w:type="dxa"/>
            <w:tcBorders>
              <w:top w:val="single" w:sz="4" w:space="0" w:color="000000"/>
              <w:start w:val="single" w:sz="4" w:space="0" w:color="000000"/>
              <w:bottom w:val="single" w:sz="4" w:space="0" w:color="000000"/>
              <w:end w:val="single" w:sz="4" w:space="0" w:color="000000"/>
            </w:tcBorders>
          </w:tcPr>
          <w:p>
            <w:pPr>
              <w:pStyle w:val="Normal"/>
              <w:rPr>
                <w:b/>
              </w:rPr>
            </w:pPr>
            <w:r>
              <w:rPr>
                <w:b/>
              </w:rPr>
              <w:t>Project</w:t>
            </w:r>
          </w:p>
        </w:tc>
        <w:tc>
          <w:tcPr>
            <w:tcW w:w="2160" w:type="dxa"/>
            <w:tcBorders>
              <w:top w:val="single" w:sz="4" w:space="0" w:color="000000"/>
              <w:start w:val="single" w:sz="4" w:space="0" w:color="000000"/>
              <w:bottom w:val="single" w:sz="4" w:space="0" w:color="000000"/>
              <w:end w:val="single" w:sz="4" w:space="0" w:color="000000"/>
            </w:tcBorders>
          </w:tcPr>
          <w:p>
            <w:pPr>
              <w:pStyle w:val="Normal"/>
              <w:rPr>
                <w:b/>
              </w:rPr>
            </w:pPr>
            <w:r>
              <w:rPr>
                <w:b/>
              </w:rPr>
              <w:t>Accomplished to Date</w:t>
            </w:r>
          </w:p>
        </w:tc>
        <w:tc>
          <w:tcPr>
            <w:tcW w:w="2250" w:type="dxa"/>
            <w:tcBorders>
              <w:top w:val="single" w:sz="4" w:space="0" w:color="000000"/>
              <w:start w:val="single" w:sz="4" w:space="0" w:color="000000"/>
              <w:bottom w:val="single" w:sz="4" w:space="0" w:color="000000"/>
              <w:end w:val="single" w:sz="4" w:space="0" w:color="000000"/>
            </w:tcBorders>
          </w:tcPr>
          <w:p>
            <w:pPr>
              <w:pStyle w:val="Normal"/>
              <w:rPr>
                <w:b/>
              </w:rPr>
            </w:pPr>
            <w:r>
              <w:rPr>
                <w:b/>
              </w:rPr>
              <w:t>Comments</w:t>
            </w:r>
          </w:p>
        </w:tc>
        <w:tc>
          <w:tcPr>
            <w:tcW w:w="2430" w:type="dxa"/>
            <w:tcBorders>
              <w:top w:val="single" w:sz="4" w:space="0" w:color="000000"/>
              <w:start w:val="single" w:sz="4" w:space="0" w:color="000000"/>
              <w:bottom w:val="single" w:sz="4" w:space="0" w:color="000000"/>
              <w:end w:val="single" w:sz="4" w:space="0" w:color="000000"/>
            </w:tcBorders>
          </w:tcPr>
          <w:p>
            <w:pPr>
              <w:pStyle w:val="Normal"/>
              <w:rPr>
                <w:b/>
              </w:rPr>
            </w:pPr>
            <w:r>
              <w:rPr>
                <w:b/>
              </w:rPr>
              <w:t>Expected Start Date</w:t>
            </w:r>
          </w:p>
        </w:tc>
        <w:tc>
          <w:tcPr>
            <w:tcW w:w="2970" w:type="dxa"/>
            <w:tcBorders>
              <w:top w:val="single" w:sz="4" w:space="0" w:color="000000"/>
              <w:start w:val="single" w:sz="4" w:space="0" w:color="000000"/>
              <w:bottom w:val="single" w:sz="4" w:space="0" w:color="000000"/>
              <w:end w:val="single" w:sz="4" w:space="0" w:color="000000"/>
            </w:tcBorders>
          </w:tcPr>
          <w:p>
            <w:pPr>
              <w:pStyle w:val="Normal"/>
              <w:rPr>
                <w:b/>
              </w:rPr>
            </w:pPr>
            <w:r>
              <w:rPr>
                <w:b/>
              </w:rPr>
              <w:t>Sources</w:t>
            </w:r>
          </w:p>
        </w:tc>
        <w:tc>
          <w:tcPr>
            <w:tcW w:w="1476" w:type="dxa"/>
            <w:tcBorders>
              <w:top w:val="single" w:sz="4" w:space="0" w:color="000000"/>
              <w:start w:val="single" w:sz="4" w:space="0" w:color="000000"/>
              <w:bottom w:val="single" w:sz="4" w:space="0" w:color="000000"/>
              <w:end w:val="single" w:sz="4" w:space="0" w:color="000000"/>
            </w:tcBorders>
          </w:tcPr>
          <w:p>
            <w:pPr>
              <w:pStyle w:val="Normal"/>
              <w:rPr>
                <w:b/>
              </w:rPr>
            </w:pPr>
            <w:r>
              <w:rPr>
                <w:b/>
              </w:rPr>
              <w:t>Responsible</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rPr>
                <w:b/>
              </w:rPr>
            </w:pPr>
            <w:r>
              <w:rPr>
                <w:b/>
              </w:rPr>
              <w:t>New U.S. Terminal Update</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The LNG group itself is very active in keeping updated information (from FERC and its own involvement)</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Current information needs to be summarized and then updated weekly with new FERC filings and additional info</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Immediately</w:t>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FERC Rims Database</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Denver Plachy</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rPr>
                <w:b/>
              </w:rPr>
            </w:pPr>
            <w:r>
              <w:rPr>
                <w:b/>
              </w:rPr>
              <w:t>European LNG Market</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 xml:space="preserve">Andrew Hill is preparing overview of Spanish market for LNG London group. </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This is the competeting/backup market with the US for LNG. Need overview and updates on regulation, pricing, and LNG cargoes into Europe. Also, need to correlate available prices with various commodities (US natural gas, crude oil, distillate, etc)</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March 31, 2001</w:t>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PIRA European Gas Service</w:t>
            </w:r>
          </w:p>
          <w:p>
            <w:pPr>
              <w:pStyle w:val="Normal"/>
              <w:rPr/>
            </w:pPr>
            <w:r>
              <w:rPr/>
              <w:t>World Gas Intelligence</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Andrew Hill</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rPr>
                <w:b/>
              </w:rPr>
            </w:pPr>
            <w:r>
              <w:rPr>
                <w:b/>
              </w:rPr>
              <w:t>LNG Weekly Market Summary</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Components described by Russell to Lowell Bezanis</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This will be a newsletter both for in-house and outside consumption. It will included indicative Nymex pricing; shipping rates; market news; statistics; etc.</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April 15, 2001</w:t>
            </w:r>
          </w:p>
        </w:tc>
        <w:tc>
          <w:tcPr>
            <w:tcW w:w="2970" w:type="dxa"/>
            <w:tcBorders>
              <w:top w:val="single" w:sz="4" w:space="0" w:color="000000"/>
              <w:start w:val="single" w:sz="4" w:space="0" w:color="000000"/>
              <w:bottom w:val="single" w:sz="4" w:space="0" w:color="000000"/>
              <w:end w:val="single" w:sz="4" w:space="0" w:color="000000"/>
            </w:tcBorders>
          </w:tcPr>
          <w:p>
            <w:pPr>
              <w:pStyle w:val="Normal"/>
              <w:snapToGrid w:val="false"/>
              <w:rPr/>
            </w:pPr>
            <w:r>
              <w:rPr/>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Lowell Bezanis</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rPr>
                <w:b/>
              </w:rPr>
            </w:pPr>
            <w:r>
              <w:rPr>
                <w:b/>
              </w:rPr>
              <w:t>LNG Shipping Summary and Newbuild Tracking</w:t>
            </w:r>
          </w:p>
        </w:tc>
        <w:tc>
          <w:tcPr>
            <w:tcW w:w="2160" w:type="dxa"/>
            <w:tcBorders>
              <w:top w:val="single" w:sz="4" w:space="0" w:color="000000"/>
              <w:start w:val="single" w:sz="4" w:space="0" w:color="000000"/>
              <w:bottom w:val="single" w:sz="4" w:space="0" w:color="000000"/>
              <w:end w:val="single" w:sz="4" w:space="0" w:color="000000"/>
            </w:tcBorders>
          </w:tcPr>
          <w:p>
            <w:pPr>
              <w:pStyle w:val="Normal"/>
              <w:rPr/>
            </w:pPr>
            <w:r>
              <w:rPr/>
              <w:t>Again, the LNG group has much of this information</w:t>
            </w:r>
          </w:p>
        </w:tc>
        <w:tc>
          <w:tcPr>
            <w:tcW w:w="2250" w:type="dxa"/>
            <w:tcBorders>
              <w:top w:val="single" w:sz="4" w:space="0" w:color="000000"/>
              <w:start w:val="single" w:sz="4" w:space="0" w:color="000000"/>
              <w:bottom w:val="single" w:sz="4" w:space="0" w:color="000000"/>
              <w:end w:val="single" w:sz="4" w:space="0" w:color="000000"/>
            </w:tcBorders>
          </w:tcPr>
          <w:p>
            <w:pPr>
              <w:pStyle w:val="Normal"/>
              <w:rPr/>
            </w:pPr>
            <w:r>
              <w:rPr/>
              <w:t>I’ve got a lot of this info, but it needs to be tracked and updated. Also, we need to find a way to know on a monthly basis the spot charter rates for LNG ships</w:t>
            </w:r>
          </w:p>
        </w:tc>
        <w:tc>
          <w:tcPr>
            <w:tcW w:w="2430" w:type="dxa"/>
            <w:tcBorders>
              <w:top w:val="single" w:sz="4" w:space="0" w:color="000000"/>
              <w:start w:val="single" w:sz="4" w:space="0" w:color="000000"/>
              <w:bottom w:val="single" w:sz="4" w:space="0" w:color="000000"/>
              <w:end w:val="single" w:sz="4" w:space="0" w:color="000000"/>
            </w:tcBorders>
          </w:tcPr>
          <w:p>
            <w:pPr>
              <w:pStyle w:val="Normal"/>
              <w:rPr/>
            </w:pPr>
            <w:r>
              <w:rPr/>
              <w:t>March 31, 2001</w:t>
            </w:r>
          </w:p>
        </w:tc>
        <w:tc>
          <w:tcPr>
            <w:tcW w:w="2970" w:type="dxa"/>
            <w:tcBorders>
              <w:top w:val="single" w:sz="4" w:space="0" w:color="000000"/>
              <w:start w:val="single" w:sz="4" w:space="0" w:color="000000"/>
              <w:bottom w:val="single" w:sz="4" w:space="0" w:color="000000"/>
              <w:end w:val="single" w:sz="4" w:space="0" w:color="000000"/>
            </w:tcBorders>
          </w:tcPr>
          <w:p>
            <w:pPr>
              <w:pStyle w:val="Normal"/>
              <w:rPr/>
            </w:pPr>
            <w:r>
              <w:rPr/>
              <w:t>Fairplay Weekly Shipping Magazine</w:t>
            </w:r>
          </w:p>
          <w:p>
            <w:pPr>
              <w:pStyle w:val="Normal"/>
              <w:rPr/>
            </w:pPr>
            <w:r>
              <w:rPr/>
              <w:t>Lloyd’s List Shipping</w:t>
            </w:r>
          </w:p>
          <w:p>
            <w:pPr>
              <w:pStyle w:val="Normal"/>
              <w:rPr/>
            </w:pPr>
            <w:r>
              <w:rPr/>
              <w:t>Ship broker’s websites</w:t>
            </w:r>
          </w:p>
          <w:p>
            <w:pPr>
              <w:pStyle w:val="Normal"/>
              <w:rPr/>
            </w:pPr>
            <w:r>
              <w:rPr/>
              <w:t>Analyst reports on shipping companies</w:t>
            </w:r>
          </w:p>
        </w:tc>
        <w:tc>
          <w:tcPr>
            <w:tcW w:w="1476" w:type="dxa"/>
            <w:tcBorders>
              <w:top w:val="single" w:sz="4" w:space="0" w:color="000000"/>
              <w:start w:val="single" w:sz="4" w:space="0" w:color="000000"/>
              <w:bottom w:val="single" w:sz="4" w:space="0" w:color="000000"/>
              <w:end w:val="single" w:sz="4" w:space="0" w:color="000000"/>
            </w:tcBorders>
          </w:tcPr>
          <w:p>
            <w:pPr>
              <w:pStyle w:val="Normal"/>
              <w:rPr/>
            </w:pPr>
            <w:r>
              <w:rPr/>
              <w:t>George Thomas</w:t>
            </w:r>
          </w:p>
        </w:tc>
      </w:tr>
    </w:tbl>
    <w:p>
      <w:pPr>
        <w:pStyle w:val="Normal"/>
        <w:rPr>
          <w:b/>
        </w:rPr>
      </w:pPr>
      <w:r>
        <w:rPr>
          <w:b/>
        </w:rPr>
      </w:r>
    </w:p>
    <w:sectPr>
      <w:type w:val="nextPage"/>
      <w:pgSz w:orient="landscape" w:w="15840" w:h="12240"/>
      <w:pgMar w:left="1440" w:right="1440" w:gutter="0" w:header="0" w:top="1800" w:footer="0" w:bottom="18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8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orts.com/" TargetMode="External"/><Relationship Id="rId3" Type="http://schemas.openxmlformats.org/officeDocument/2006/relationships/hyperlink" Target="http://www.massport.com/ports/about_formo.html" TargetMode="External"/><Relationship Id="rId4" Type="http://schemas.openxmlformats.org/officeDocument/2006/relationships/hyperlink" Target="http://www.fe.doe.gov/oil_gas/im_ex/gasimex.html"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2001-03-23T13:16:00Z</dcterms:created>
  <dc:creator>rdyk</dc:creator>
  <dc:description/>
  <dc:language>en-CA</dc:language>
  <cp:lastModifiedBy>lbezanis</cp:lastModifiedBy>
  <cp:lastPrinted>2001-03-23T09:41:00Z</cp:lastPrinted>
  <dcterms:modified xsi:type="dcterms:W3CDTF">2001-03-23T20:19:00Z</dcterms:modified>
  <cp:revision>3</cp:revision>
  <dc:subject/>
  <dc:title>LNG Project Team Update</dc:title>
</cp:coreProperties>
</file>