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header5.xml" ContentType="application/vnd.openxmlformats-officedocument.wordprocessingml.header+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2178"/>
        <w:gridCol w:w="7398"/>
      </w:tblGrid>
      <w:tr>
        <w:trPr/>
        <w:tc>
          <w:tcPr>
            <w:tcW w:w="2178"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sz w:val="28"/>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4.05pt;height:93.7pt" filled="f" o:ole="">
                  <v:imagedata r:id="rId3" o:title=""/>
                </v:shape>
                <o:OLEObject Type="Embed" ProgID="" ShapeID="ole_rId2" DrawAspect="Content" ObjectID="_719458116" r:id="rId2"/>
              </w:object>
            </w:r>
          </w:p>
        </w:tc>
        <w:tc>
          <w:tcPr>
            <w:tcW w:w="7398"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rFonts w:ascii="Arial" w:hAnsi="Arial" w:cs="Arial"/>
                <w:sz w:val="28"/>
              </w:rPr>
            </w:pPr>
            <w:r>
              <w:rPr>
                <w:rFonts w:cs="Arial" w:ascii="Arial" w:hAnsi="Arial"/>
                <w:sz w:val="28"/>
              </w:rPr>
            </w:r>
          </w:p>
          <w:p>
            <w:pPr>
              <w:pStyle w:val="Normal"/>
              <w:rPr>
                <w:b/>
                <w:sz w:val="36"/>
              </w:rPr>
            </w:pPr>
            <w:r>
              <w:rPr>
                <w:rFonts w:eastAsia="Arial" w:cs="Arial" w:ascii="Arial" w:hAnsi="Arial"/>
                <w:b/>
                <w:sz w:val="36"/>
              </w:rPr>
              <w:t xml:space="preserve">                       </w:t>
            </w:r>
            <w:r>
              <w:rPr>
                <w:rFonts w:cs="Arial" w:ascii="Arial" w:hAnsi="Arial"/>
                <w:b/>
                <w:sz w:val="36"/>
              </w:rPr>
              <w:t>ENRON GLOBAL MARKETS</w:t>
            </w:r>
          </w:p>
          <w:p>
            <w:pPr>
              <w:pStyle w:val="Normal"/>
              <w:rPr>
                <w:b/>
                <w:sz w:val="36"/>
              </w:rPr>
            </w:pPr>
            <w:r>
              <w:rPr>
                <w:b/>
                <w:sz w:val="36"/>
              </w:rPr>
            </w:r>
          </w:p>
          <w:p>
            <w:pPr>
              <w:pStyle w:val="Heading3"/>
              <w:keepLines w:val="false"/>
              <w:tabs>
                <w:tab w:val="clear" w:pos="720"/>
                <w:tab w:val="clear" w:pos="1800"/>
                <w:tab w:val="clear" w:pos="2880"/>
                <w:tab w:val="clear" w:pos="4140"/>
              </w:tabs>
              <w:ind w:hanging="0" w:start="0"/>
              <w:rPr>
                <w:rFonts w:ascii="Arial" w:hAnsi="Arial" w:cs="Arial"/>
                <w:sz w:val="28"/>
              </w:rPr>
            </w:pPr>
            <w:r>
              <w:rPr>
                <w:rFonts w:eastAsia="Arial" w:cs="Arial" w:ascii="Arial" w:hAnsi="Arial"/>
                <w:sz w:val="28"/>
              </w:rPr>
              <w:t xml:space="preserve">                                </w:t>
            </w:r>
            <w:r>
              <w:rPr>
                <w:rFonts w:cs="Arial" w:ascii="Arial" w:hAnsi="Arial"/>
                <w:sz w:val="28"/>
              </w:rPr>
              <w:t>ENRON GLOBAL LNG PROJECTS:</w:t>
            </w:r>
          </w:p>
          <w:p>
            <w:pPr>
              <w:pStyle w:val="Heading3"/>
              <w:keepLines w:val="false"/>
              <w:tabs>
                <w:tab w:val="clear" w:pos="720"/>
                <w:tab w:val="clear" w:pos="1800"/>
                <w:tab w:val="clear" w:pos="2880"/>
                <w:tab w:val="clear" w:pos="4140"/>
              </w:tabs>
              <w:ind w:hanging="0" w:start="0"/>
              <w:rPr>
                <w:rFonts w:ascii="Arial" w:hAnsi="Arial" w:cs="Arial"/>
                <w:sz w:val="28"/>
              </w:rPr>
            </w:pPr>
            <w:r>
              <w:rPr>
                <w:rFonts w:eastAsia="Arial" w:cs="Arial" w:ascii="Arial" w:hAnsi="Arial"/>
                <w:sz w:val="28"/>
              </w:rPr>
              <w:t xml:space="preserve">                                                </w:t>
            </w:r>
            <w:r>
              <w:rPr>
                <w:rFonts w:cs="Arial" w:ascii="Arial" w:hAnsi="Arial"/>
                <w:sz w:val="28"/>
              </w:rPr>
              <w:t>EXECUTIVE SUMMARIES</w:t>
            </w:r>
          </w:p>
          <w:p>
            <w:pPr>
              <w:pStyle w:val="Heading3"/>
              <w:keepLines w:val="false"/>
              <w:tabs>
                <w:tab w:val="clear" w:pos="720"/>
                <w:tab w:val="clear" w:pos="1800"/>
                <w:tab w:val="clear" w:pos="2880"/>
                <w:tab w:val="clear" w:pos="4140"/>
              </w:tabs>
              <w:ind w:hanging="0" w:start="0"/>
              <w:rPr>
                <w:rFonts w:ascii="Arial" w:hAnsi="Arial" w:cs="Arial"/>
                <w:sz w:val="28"/>
              </w:rPr>
            </w:pPr>
            <w:r>
              <w:rPr>
                <w:rFonts w:eastAsia="Arial" w:cs="Arial" w:ascii="Arial" w:hAnsi="Arial"/>
                <w:sz w:val="28"/>
              </w:rPr>
              <w:t xml:space="preserve">                                        </w:t>
            </w:r>
            <w:r>
              <w:rPr>
                <w:rFonts w:cs="Arial" w:ascii="Arial" w:hAnsi="Arial"/>
                <w:sz w:val="28"/>
              </w:rPr>
              <w:t>AND CONTRACT SCHEDULES</w:t>
            </w:r>
          </w:p>
          <w:p>
            <w:pPr>
              <w:pStyle w:val="Normal"/>
              <w:rPr>
                <w:rFonts w:ascii="Arial" w:hAnsi="Arial" w:cs="Arial"/>
                <w:sz w:val="28"/>
              </w:rPr>
            </w:pPr>
            <w:r>
              <w:rPr>
                <w:rFonts w:cs="Arial" w:ascii="Arial" w:hAnsi="Arial"/>
                <w:sz w:val="28"/>
              </w:rPr>
            </w:r>
          </w:p>
        </w:tc>
      </w:tr>
    </w:tbl>
    <w:p>
      <w:pPr>
        <w:pStyle w:val="Normal"/>
        <w:keepNext w:val="true"/>
        <w:keepLines/>
        <w:pBdr>
          <w:bottom w:val="double" w:sz="6" w:space="1" w:color="000000"/>
        </w:pBdr>
        <w:tabs>
          <w:tab w:val="left" w:pos="720" w:leader="none"/>
          <w:tab w:val="left" w:pos="1800" w:leader="none"/>
          <w:tab w:val="left" w:pos="2880" w:leader="none"/>
          <w:tab w:val="left" w:pos="4140" w:leader="none"/>
        </w:tabs>
        <w:rPr>
          <w:rFonts w:ascii="Arial" w:hAnsi="Arial" w:cs="Arial"/>
          <w:b/>
          <w:sz w:val="16"/>
        </w:rPr>
      </w:pPr>
      <w:r>
        <w:rPr>
          <w:rFonts w:cs="Arial" w:ascii="Arial" w:hAnsi="Arial"/>
          <w:b/>
          <w:sz w:val="22"/>
        </w:rPr>
        <w:tab/>
        <w:tab/>
        <w:tab/>
        <w:tab/>
        <w:tab/>
        <w:tab/>
        <w:tab/>
        <w:tab/>
        <w:t xml:space="preserve">                    </w:t>
      </w:r>
    </w:p>
    <w:p>
      <w:pPr>
        <w:pStyle w:val="Normal"/>
        <w:tabs>
          <w:tab w:val="left" w:pos="720" w:leader="none"/>
          <w:tab w:val="left" w:pos="1800" w:leader="none"/>
          <w:tab w:val="left" w:pos="2880" w:leader="none"/>
          <w:tab w:val="left" w:pos="4140" w:leader="none"/>
        </w:tabs>
        <w:rPr>
          <w:rFonts w:ascii="Arial" w:hAnsi="Arial" w:cs="Arial"/>
          <w:b/>
          <w:sz w:val="22"/>
        </w:rPr>
      </w:pPr>
      <w:r>
        <w:rPr>
          <w:rFonts w:cs="Arial" w:ascii="Arial" w:hAnsi="Arial"/>
          <w:b/>
          <w:sz w:val="22"/>
        </w:rPr>
      </w:r>
    </w:p>
    <w:p>
      <w:pPr>
        <w:pStyle w:val="Normal"/>
        <w:tabs>
          <w:tab w:val="left" w:pos="720" w:leader="none"/>
          <w:tab w:val="left" w:pos="1800" w:leader="none"/>
          <w:tab w:val="left" w:pos="2880" w:leader="none"/>
          <w:tab w:val="left" w:pos="4140" w:leader="none"/>
        </w:tabs>
        <w:rPr>
          <w:rFonts w:ascii="Arial" w:hAnsi="Arial" w:cs="Arial"/>
          <w:b/>
          <w:sz w:val="22"/>
        </w:rPr>
      </w:pPr>
      <w:r>
        <w:rPr>
          <w:rFonts w:cs="Arial" w:ascii="Arial" w:hAnsi="Arial"/>
          <w:b/>
          <w:sz w:val="22"/>
        </w:rPr>
      </w:r>
    </w:p>
    <w:p>
      <w:pPr>
        <w:pStyle w:val="Heading5"/>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rPr/>
      </w:pPr>
      <w:r>
        <w:rPr/>
        <w:t xml:space="preserve">I. </w:t>
        <w:tab/>
        <w:t>BASELOAD LNG FUEL SUPPLY PROJECTS</w:t>
      </w:r>
    </w:p>
    <w:p>
      <w:pPr>
        <w:pStyle w:val="Normal"/>
        <w:tabs>
          <w:tab w:val="left" w:pos="720" w:leader="none"/>
          <w:tab w:val="left" w:pos="1440" w:leader="none"/>
          <w:tab w:val="left" w:pos="2160" w:leader="none"/>
          <w:tab w:val="left" w:pos="2880" w:leader="none"/>
          <w:tab w:val="left" w:pos="3600" w:leader="none"/>
          <w:tab w:val="left" w:pos="4320" w:leader="none"/>
        </w:tabs>
        <w:rPr>
          <w:rFonts w:ascii="Arial" w:hAnsi="Arial" w:cs="Arial"/>
          <w:b/>
          <w:sz w:val="22"/>
        </w:rPr>
      </w:pPr>
      <w:r>
        <w:rPr>
          <w:rFonts w:cs="Arial" w:ascii="Arial" w:hAnsi="Arial"/>
          <w:b/>
          <w:sz w:val="22"/>
        </w:rPr>
      </w:r>
    </w:p>
    <w:p>
      <w:pPr>
        <w:pStyle w:val="Normal"/>
        <w:numPr>
          <w:ilvl w:val="1"/>
          <w:numId w:val="4"/>
        </w:numPr>
        <w:jc w:val="both"/>
        <w:rPr>
          <w:rFonts w:ascii="Arial" w:hAnsi="Arial" w:cs="Arial"/>
          <w:b/>
          <w:sz w:val="22"/>
        </w:rPr>
      </w:pPr>
      <w:r>
        <w:rPr>
          <w:rFonts w:cs="Arial" w:ascii="Arial" w:hAnsi="Arial"/>
          <w:b/>
          <w:sz w:val="22"/>
        </w:rPr>
        <w:t>Dabhol Phase II LNG Fuel Supply and Management</w:t>
      </w:r>
    </w:p>
    <w:p>
      <w:pPr>
        <w:pStyle w:val="Normal"/>
        <w:jc w:val="both"/>
        <w:rPr>
          <w:rFonts w:ascii="Arial" w:hAnsi="Arial" w:cs="Arial"/>
          <w:b/>
          <w:sz w:val="22"/>
        </w:rPr>
      </w:pPr>
      <w:r>
        <w:rPr>
          <w:rFonts w:cs="Arial" w:ascii="Arial" w:hAnsi="Arial"/>
          <w:b/>
          <w:sz w:val="22"/>
        </w:rPr>
      </w:r>
    </w:p>
    <w:p>
      <w:pPr>
        <w:pStyle w:val="Normal"/>
        <w:ind w:start="720" w:end="0"/>
        <w:jc w:val="both"/>
        <w:rPr/>
      </w:pPr>
      <w:r>
        <w:rPr>
          <w:rFonts w:cs="Arial" w:ascii="Arial" w:hAnsi="Arial"/>
          <w:sz w:val="22"/>
        </w:rPr>
        <w:t xml:space="preserve">This project involves the sourcing and supply of approximately 2.1 MMTA of LNG fuel from two Middle Eastern suppliers in connection with Phase II of the Dabhol Power project.  Twenty-year </w:t>
      </w:r>
      <w:r>
        <w:rPr>
          <w:rFonts w:cs="Arial" w:ascii="Arial" w:hAnsi="Arial"/>
          <w:b/>
          <w:sz w:val="22"/>
        </w:rPr>
        <w:t>LNG Sale and Purchase Agreements</w:t>
      </w:r>
      <w:r>
        <w:rPr>
          <w:rFonts w:cs="Arial" w:ascii="Arial" w:hAnsi="Arial"/>
          <w:sz w:val="22"/>
        </w:rPr>
        <w:t xml:space="preserve"> have been executed between Dabhol Power Company (DPC) and each of Oman LNG, LLC (covering approximately 1.6 MMTA) and Abu Dhabi Gas Liquefaction Company Limited (covering approximately 0.48 MMTA).  There is also an executed </w:t>
      </w:r>
      <w:r>
        <w:rPr>
          <w:rFonts w:cs="Arial" w:ascii="Arial" w:hAnsi="Arial"/>
          <w:b/>
          <w:sz w:val="22"/>
        </w:rPr>
        <w:t>Terminal and Regasification Agreement</w:t>
      </w:r>
      <w:r>
        <w:rPr>
          <w:rFonts w:cs="Arial" w:ascii="Arial" w:hAnsi="Arial"/>
          <w:sz w:val="22"/>
        </w:rPr>
        <w:t xml:space="preserve"> among Dabhol Power Company, Maharashtra State Electricity Board (“MSEB”) and Metropolis Gas Company Private Limited (“MetGas”), which provides for shared terminal access and usage, LNG storage, regasification and send-out, and an </w:t>
      </w:r>
      <w:r>
        <w:rPr>
          <w:rFonts w:cs="Arial" w:ascii="Arial" w:hAnsi="Arial"/>
          <w:b/>
          <w:sz w:val="22"/>
        </w:rPr>
        <w:t>Amended and Restated Fuel Management Agreement</w:t>
      </w:r>
      <w:r>
        <w:rPr>
          <w:rFonts w:cs="Arial" w:ascii="Arial" w:hAnsi="Arial"/>
          <w:sz w:val="22"/>
        </w:rPr>
        <w:t xml:space="preserve"> among DPC, Enron Fuels International, Inc. (“EFI”) and Maharashtra State Electricity Board (“MSEB”).  The obligations and liabilities of EFI under the Amended and Restated Fuel Management Agreement are guaranteed pursuant to a </w:t>
      </w:r>
      <w:r>
        <w:rPr>
          <w:rFonts w:cs="Arial" w:ascii="Arial" w:hAnsi="Arial"/>
          <w:b/>
          <w:sz w:val="22"/>
        </w:rPr>
        <w:t>Guaranty Agreement</w:t>
      </w:r>
      <w:r>
        <w:rPr>
          <w:rFonts w:cs="Arial" w:ascii="Arial" w:hAnsi="Arial"/>
          <w:sz w:val="22"/>
        </w:rPr>
        <w:t xml:space="preserve"> executed by Enron Corp.  The Phase II LNG facilities are presently under construction with an expected start of commercial operations in September-October 2001.</w:t>
      </w:r>
    </w:p>
    <w:p>
      <w:pPr>
        <w:pStyle w:val="Normal"/>
        <w:ind w:start="720" w:end="0"/>
        <w:jc w:val="both"/>
        <w:rPr>
          <w:rFonts w:ascii="Arial" w:hAnsi="Arial" w:cs="Arial"/>
          <w:sz w:val="22"/>
        </w:rPr>
      </w:pPr>
      <w:r>
        <w:rPr>
          <w:rFonts w:cs="Arial" w:ascii="Arial" w:hAnsi="Arial"/>
          <w:sz w:val="22"/>
        </w:rPr>
      </w:r>
    </w:p>
    <w:p>
      <w:pPr>
        <w:pStyle w:val="Normal"/>
        <w:ind w:start="720" w:end="0"/>
        <w:jc w:val="both"/>
        <w:rPr/>
      </w:pPr>
      <w:r>
        <w:rPr>
          <w:rFonts w:cs="Arial" w:ascii="Arial" w:hAnsi="Arial"/>
          <w:sz w:val="22"/>
        </w:rPr>
        <w:t xml:space="preserve">A Table comparison of the major terms of the LNG Sale and Purchase Agreements, as well as Enron’s other long-term baseload LNG fuel supply contracts, is attached as </w:t>
      </w:r>
      <w:r>
        <w:rPr>
          <w:rFonts w:cs="Arial" w:ascii="Arial" w:hAnsi="Arial"/>
          <w:sz w:val="22"/>
          <w:u w:val="single"/>
        </w:rPr>
        <w:t>Exhibit A (Part 1)</w:t>
      </w:r>
      <w:r>
        <w:rPr>
          <w:rFonts w:cs="Arial" w:ascii="Arial" w:hAnsi="Arial"/>
          <w:sz w:val="22"/>
        </w:rPr>
        <w:t xml:space="preserve">.  A specific listing of all of the contracts relating to this project is attached as </w:t>
      </w:r>
      <w:r>
        <w:rPr>
          <w:rFonts w:cs="Arial" w:ascii="Arial" w:hAnsi="Arial"/>
          <w:sz w:val="22"/>
          <w:u w:val="single"/>
        </w:rPr>
        <w:t>Exhibit B</w:t>
      </w:r>
      <w:r>
        <w:rPr>
          <w:rFonts w:cs="Arial" w:ascii="Arial" w:hAnsi="Arial"/>
          <w:sz w:val="22"/>
        </w:rPr>
        <w:t xml:space="preserve">. </w:t>
      </w:r>
    </w:p>
    <w:p>
      <w:pPr>
        <w:pStyle w:val="Normal"/>
        <w:ind w:start="1224" w:end="0"/>
        <w:rPr>
          <w:rFonts w:ascii="Arial" w:hAnsi="Arial" w:cs="Arial"/>
          <w:b/>
          <w:sz w:val="22"/>
        </w:rPr>
      </w:pPr>
      <w:r>
        <w:rPr>
          <w:rFonts w:cs="Arial" w:ascii="Arial" w:hAnsi="Arial"/>
          <w:b/>
          <w:sz w:val="22"/>
        </w:rPr>
      </w:r>
    </w:p>
    <w:p>
      <w:pPr>
        <w:pStyle w:val="Normal"/>
        <w:numPr>
          <w:ilvl w:val="1"/>
          <w:numId w:val="4"/>
        </w:numPr>
        <w:tabs>
          <w:tab w:val="clear" w:pos="720"/>
          <w:tab w:val="left" w:pos="1440" w:leader="none"/>
          <w:tab w:val="left" w:pos="2160" w:leader="none"/>
          <w:tab w:val="left" w:pos="2880" w:leader="none"/>
          <w:tab w:val="left" w:pos="3600" w:leader="none"/>
          <w:tab w:val="left" w:pos="4320" w:leader="none"/>
        </w:tabs>
        <w:jc w:val="both"/>
        <w:rPr>
          <w:rFonts w:ascii="Arial" w:hAnsi="Arial" w:cs="Arial"/>
          <w:b/>
          <w:sz w:val="22"/>
        </w:rPr>
      </w:pPr>
      <w:r>
        <w:rPr>
          <w:rFonts w:cs="Arial" w:ascii="Arial" w:hAnsi="Arial"/>
          <w:b/>
          <w:sz w:val="22"/>
        </w:rPr>
        <w:t>MetGas/Enron Energy Marketing LNG Fuel Supply (India)</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b/>
          <w:sz w:val="22"/>
        </w:rPr>
      </w:pPr>
      <w:r>
        <w:rPr>
          <w:rFonts w:cs="Arial" w:ascii="Arial" w:hAnsi="Arial"/>
          <w:b/>
          <w:sz w:val="22"/>
        </w:rPr>
      </w:r>
    </w:p>
    <w:p>
      <w:pPr>
        <w:pStyle w:val="Normal"/>
        <w:ind w:start="720" w:end="0"/>
        <w:jc w:val="both"/>
        <w:rPr/>
      </w:pPr>
      <w:r>
        <w:rPr>
          <w:rFonts w:cs="Arial" w:ascii="Arial" w:hAnsi="Arial"/>
          <w:sz w:val="22"/>
        </w:rPr>
        <w:t xml:space="preserve">This project involves the sourcing and supply of the first tranche of up to 2.6 MMTA of LNG fuel from Malaysia LNG Tiga Sdn Bhd. (“MLNG Tiga”) in connection with the MetGas natural gas pipeline transmission and distribution system originating in Dabhol, India.  A </w:t>
      </w:r>
      <w:r>
        <w:rPr>
          <w:rFonts w:cs="Arial" w:ascii="Arial" w:hAnsi="Arial"/>
          <w:b/>
          <w:sz w:val="22"/>
        </w:rPr>
        <w:t>Confirmation of Intent</w:t>
      </w:r>
      <w:r>
        <w:rPr>
          <w:rFonts w:cs="Arial" w:ascii="Arial" w:hAnsi="Arial"/>
          <w:sz w:val="22"/>
        </w:rPr>
        <w:t xml:space="preserve"> (“COI”) has been executed between Metropolis Gas Company Private Limited (“MetGas”) and MLNG Tiga.  We are presently negotiating an </w:t>
      </w:r>
      <w:r>
        <w:rPr>
          <w:rFonts w:cs="Arial" w:ascii="Arial" w:hAnsi="Arial"/>
          <w:b/>
          <w:sz w:val="22"/>
        </w:rPr>
        <w:t>LNG Sale and Purchase Agreement</w:t>
      </w:r>
      <w:r>
        <w:rPr>
          <w:rFonts w:cs="Arial" w:ascii="Arial" w:hAnsi="Arial"/>
          <w:sz w:val="22"/>
        </w:rPr>
        <w:t xml:space="preserve"> which will supercede and replace the COI (and which will use Enron Energy Marketing as the Enron counterparty), and an </w:t>
      </w:r>
      <w:r>
        <w:rPr>
          <w:rFonts w:cs="Arial" w:ascii="Arial" w:hAnsi="Arial"/>
          <w:b/>
          <w:sz w:val="22"/>
        </w:rPr>
        <w:t>LNG Fuel Management Agreement</w:t>
      </w:r>
      <w:r>
        <w:rPr>
          <w:rFonts w:cs="Arial" w:ascii="Arial" w:hAnsi="Arial"/>
          <w:sz w:val="22"/>
        </w:rPr>
        <w:t xml:space="preserve"> between Enron Energy Marketing and Enron International Fuel Management Company.  MetGas has access to the DPC LNG facilities (including LNG receiving terminal, storage, vaporization and send-out facilities) by way of a </w:t>
      </w:r>
      <w:r>
        <w:rPr>
          <w:rFonts w:cs="Arial" w:ascii="Arial" w:hAnsi="Arial"/>
          <w:b/>
          <w:sz w:val="22"/>
        </w:rPr>
        <w:t>Terminal and Regasification Agreement</w:t>
      </w:r>
      <w:r>
        <w:rPr>
          <w:rFonts w:cs="Arial" w:ascii="Arial" w:hAnsi="Arial"/>
          <w:sz w:val="22"/>
        </w:rPr>
        <w:t xml:space="preserve"> among DPC, MSEB and MetGas.</w:t>
      </w:r>
    </w:p>
    <w:p>
      <w:pPr>
        <w:pStyle w:val="Normal"/>
        <w:ind w:start="720" w:end="0"/>
        <w:jc w:val="both"/>
        <w:rPr>
          <w:rFonts w:ascii="Arial" w:hAnsi="Arial" w:cs="Arial"/>
          <w:sz w:val="22"/>
        </w:rPr>
      </w:pPr>
      <w:r>
        <w:rPr>
          <w:rFonts w:cs="Arial" w:ascii="Arial" w:hAnsi="Arial"/>
          <w:sz w:val="22"/>
        </w:rPr>
      </w:r>
    </w:p>
    <w:p>
      <w:pPr>
        <w:pStyle w:val="Normal"/>
        <w:ind w:start="720" w:end="0"/>
        <w:jc w:val="both"/>
        <w:rPr>
          <w:rFonts w:ascii="Arial" w:hAnsi="Arial" w:cs="Arial"/>
          <w:sz w:val="22"/>
        </w:rPr>
      </w:pPr>
      <w:r>
        <w:rPr>
          <w:rFonts w:cs="Arial" w:ascii="Arial" w:hAnsi="Arial"/>
          <w:sz w:val="22"/>
        </w:rPr>
      </w:r>
    </w:p>
    <w:p>
      <w:pPr>
        <w:pStyle w:val="Normal"/>
        <w:ind w:start="720" w:end="0"/>
        <w:jc w:val="both"/>
        <w:rPr/>
      </w:pPr>
      <w:r>
        <w:rPr>
          <w:rFonts w:cs="Arial" w:ascii="Arial" w:hAnsi="Arial"/>
          <w:sz w:val="22"/>
        </w:rPr>
        <w:t xml:space="preserve">A Table comparison of the major terms of the LNG Sale and Purchase Agreement, as well as Enron’s other long-term baseload LNG fuel supply contracts, is attached as </w:t>
      </w:r>
      <w:r>
        <w:rPr>
          <w:rFonts w:cs="Arial" w:ascii="Arial" w:hAnsi="Arial"/>
          <w:sz w:val="22"/>
          <w:u w:val="single"/>
        </w:rPr>
        <w:t>Exhibit A (Part 1)</w:t>
      </w:r>
      <w:r>
        <w:rPr>
          <w:rFonts w:cs="Arial" w:ascii="Arial" w:hAnsi="Arial"/>
          <w:sz w:val="22"/>
        </w:rPr>
        <w:t xml:space="preserve">.  A specific listing of all of the contracts relating to this project, both executed and presently under negotiation, is attached as </w:t>
      </w:r>
      <w:r>
        <w:rPr>
          <w:rFonts w:cs="Arial" w:ascii="Arial" w:hAnsi="Arial"/>
          <w:sz w:val="22"/>
          <w:u w:val="single"/>
        </w:rPr>
        <w:t>Exhibit B</w:t>
      </w:r>
      <w:r>
        <w:rPr>
          <w:rFonts w:cs="Arial" w:ascii="Arial" w:hAnsi="Arial"/>
          <w:sz w:val="22"/>
        </w:rPr>
        <w:t>.</w:t>
      </w:r>
    </w:p>
    <w:p>
      <w:pPr>
        <w:pStyle w:val="Normal"/>
        <w:ind w:start="1224" w:end="0"/>
        <w:jc w:val="both"/>
        <w:rPr>
          <w:rFonts w:ascii="Arial" w:hAnsi="Arial" w:cs="Arial"/>
          <w:sz w:val="22"/>
        </w:rPr>
      </w:pPr>
      <w:r>
        <w:rPr>
          <w:rFonts w:cs="Arial" w:ascii="Arial" w:hAnsi="Arial"/>
          <w:sz w:val="22"/>
        </w:rPr>
      </w:r>
    </w:p>
    <w:p>
      <w:pPr>
        <w:pStyle w:val="Normal"/>
        <w:numPr>
          <w:ilvl w:val="1"/>
          <w:numId w:val="4"/>
        </w:numPr>
        <w:jc w:val="both"/>
        <w:rPr>
          <w:rFonts w:ascii="Arial" w:hAnsi="Arial" w:cs="Arial"/>
          <w:b/>
          <w:sz w:val="22"/>
        </w:rPr>
      </w:pPr>
      <w:r>
        <w:rPr>
          <w:rFonts w:cs="Arial" w:ascii="Arial" w:hAnsi="Arial"/>
          <w:b/>
          <w:sz w:val="22"/>
        </w:rPr>
        <w:t>Puerto Rico (EcoElectrica &amp; ProCaribe) LNG/LPG Fuel Supply and Management</w:t>
      </w:r>
    </w:p>
    <w:p>
      <w:pPr>
        <w:pStyle w:val="Normal"/>
        <w:jc w:val="both"/>
        <w:rPr>
          <w:rFonts w:ascii="Arial" w:hAnsi="Arial" w:cs="Arial"/>
          <w:b/>
          <w:sz w:val="22"/>
        </w:rPr>
      </w:pPr>
      <w:r>
        <w:rPr>
          <w:rFonts w:cs="Arial" w:ascii="Arial" w:hAnsi="Arial"/>
          <w:b/>
          <w:sz w:val="22"/>
        </w:rPr>
      </w:r>
    </w:p>
    <w:p>
      <w:pPr>
        <w:pStyle w:val="Normal"/>
        <w:ind w:start="720" w:end="0"/>
        <w:jc w:val="both"/>
        <w:rPr>
          <w:rFonts w:ascii="Arial" w:hAnsi="Arial" w:cs="Arial"/>
          <w:b/>
          <w:sz w:val="22"/>
        </w:rPr>
      </w:pPr>
      <w:r>
        <w:rPr>
          <w:rFonts w:cs="Arial" w:ascii="Arial" w:hAnsi="Arial"/>
          <w:sz w:val="22"/>
        </w:rPr>
        <w:t xml:space="preserve">This project involves the sourcing and supply of LNG and LPG fuel in connection with the EcoElectrica Power project in Puerto Rico.  A </w:t>
      </w:r>
      <w:r>
        <w:rPr>
          <w:rFonts w:cs="Arial" w:ascii="Arial" w:hAnsi="Arial"/>
          <w:b/>
          <w:sz w:val="22"/>
        </w:rPr>
        <w:t>Propane Sale and Purchase Agreement</w:t>
      </w:r>
      <w:r>
        <w:rPr>
          <w:rFonts w:cs="Arial" w:ascii="Arial" w:hAnsi="Arial"/>
          <w:sz w:val="22"/>
        </w:rPr>
        <w:t xml:space="preserve"> was executed among EcoElectrica L.P., and ProCaribe (a division of the Protane Corporation) as Buyers and Dynegy Global Liquids Inc. as Seller, for the eleven month period prior to the start of commercial operations of te LNG facilities, and pursuant to which EcoElectrica is required to maintain a payment security Letter of Credit in favor of Dynegy in the amount of $5.5 million.  An </w:t>
      </w:r>
      <w:r>
        <w:rPr>
          <w:rFonts w:cs="Arial" w:ascii="Arial" w:hAnsi="Arial"/>
          <w:b/>
          <w:sz w:val="22"/>
        </w:rPr>
        <w:t>LNG Sale and Purchase Agreement</w:t>
      </w:r>
      <w:r>
        <w:rPr>
          <w:rFonts w:cs="Arial" w:ascii="Arial" w:hAnsi="Arial"/>
          <w:sz w:val="22"/>
        </w:rPr>
        <w:t xml:space="preserve"> was executed between EcoElectrica L.P. and Cabot LNG Corporation (“Cabot”), pursuant to which EcoElectrica must maintain a payment security Letter of Credit in favor of Cabot in the amount of $30 million.  There is also an executed </w:t>
      </w:r>
      <w:r>
        <w:rPr>
          <w:rFonts w:cs="Arial" w:ascii="Arial" w:hAnsi="Arial"/>
          <w:b/>
          <w:sz w:val="22"/>
        </w:rPr>
        <w:t>Operations, Maintenance and Fuel Management Agreement</w:t>
      </w:r>
      <w:r>
        <w:rPr>
          <w:rFonts w:cs="Arial" w:ascii="Arial" w:hAnsi="Arial"/>
          <w:sz w:val="22"/>
        </w:rPr>
        <w:t xml:space="preserve"> between EcoElectrica and El Puerto Rico Operation, Inc.  There is also an </w:t>
      </w:r>
      <w:r>
        <w:rPr>
          <w:rFonts w:cs="Arial" w:ascii="Arial" w:hAnsi="Arial"/>
          <w:b/>
          <w:sz w:val="22"/>
        </w:rPr>
        <w:t>LNG Tolling Services Agreement</w:t>
      </w:r>
      <w:r>
        <w:rPr>
          <w:rFonts w:cs="Arial" w:ascii="Arial" w:hAnsi="Arial"/>
          <w:sz w:val="22"/>
        </w:rPr>
        <w:t xml:space="preserve"> between EcoElectrica and ProCaribe which provides for LNG throughput unrelated to the power plant facilities.  The EcoElectrica LNG facilities came into operation late this summer and we have taken delivery of three LNG cargoes to date.</w:t>
      </w:r>
    </w:p>
    <w:p>
      <w:pPr>
        <w:pStyle w:val="Normal"/>
        <w:tabs>
          <w:tab w:val="left" w:pos="720" w:leader="none"/>
          <w:tab w:val="left" w:pos="2160" w:leader="none"/>
          <w:tab w:val="left" w:pos="2880" w:leader="none"/>
          <w:tab w:val="left" w:pos="3600" w:leader="none"/>
          <w:tab w:val="left" w:pos="4320" w:leader="none"/>
        </w:tabs>
        <w:ind w:start="720" w:end="0"/>
        <w:jc w:val="both"/>
        <w:rPr>
          <w:rFonts w:ascii="Arial" w:hAnsi="Arial" w:eastAsia="Arial" w:cs="Arial"/>
          <w:sz w:val="22"/>
        </w:rPr>
      </w:pPr>
      <w:r>
        <w:rPr>
          <w:rFonts w:eastAsia="Arial" w:cs="Arial" w:ascii="Arial" w:hAnsi="Arial"/>
          <w:sz w:val="22"/>
        </w:rPr>
        <w:t xml:space="preserve"> </w:t>
      </w:r>
    </w:p>
    <w:p>
      <w:pPr>
        <w:pStyle w:val="Normal"/>
        <w:tabs>
          <w:tab w:val="left" w:pos="720" w:leader="none"/>
        </w:tabs>
        <w:ind w:hanging="720" w:start="720" w:end="0"/>
        <w:jc w:val="both"/>
        <w:rPr/>
      </w:pPr>
      <w:r>
        <w:rPr>
          <w:rFonts w:cs="Arial" w:ascii="Arial" w:hAnsi="Arial"/>
          <w:sz w:val="22"/>
        </w:rPr>
        <w:tab/>
        <w:t xml:space="preserve">A Table comparison of the major terms of the LNG Sale and Purchase Agreement, as well as Enron’s other long-term baseload LNG fuel supply contracts, is attached as </w:t>
      </w:r>
      <w:r>
        <w:rPr>
          <w:rFonts w:cs="Arial" w:ascii="Arial" w:hAnsi="Arial"/>
          <w:sz w:val="22"/>
          <w:u w:val="single"/>
        </w:rPr>
        <w:t>Exhibit A (Part 1)</w:t>
      </w:r>
      <w:r>
        <w:rPr>
          <w:rFonts w:cs="Arial" w:ascii="Arial" w:hAnsi="Arial"/>
          <w:sz w:val="22"/>
        </w:rPr>
        <w:t xml:space="preserve">.  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ind w:start="1224" w:end="0"/>
        <w:jc w:val="both"/>
        <w:rPr>
          <w:rFonts w:ascii="Arial" w:hAnsi="Arial" w:cs="Arial"/>
          <w:sz w:val="22"/>
        </w:rPr>
      </w:pPr>
      <w:r>
        <w:rPr>
          <w:rFonts w:cs="Arial" w:ascii="Arial" w:hAnsi="Arial"/>
          <w:sz w:val="22"/>
        </w:rPr>
      </w:r>
    </w:p>
    <w:p>
      <w:pPr>
        <w:pStyle w:val="Normal"/>
        <w:ind w:start="1224" w:end="0"/>
        <w:jc w:val="both"/>
        <w:rPr>
          <w:rFonts w:ascii="Arial" w:hAnsi="Arial" w:cs="Arial"/>
          <w:sz w:val="22"/>
        </w:rPr>
      </w:pPr>
      <w:r>
        <w:rPr>
          <w:rFonts w:cs="Arial" w:ascii="Arial" w:hAnsi="Arial"/>
          <w:sz w:val="22"/>
        </w:rPr>
      </w:r>
    </w:p>
    <w:p>
      <w:pPr>
        <w:pStyle w:val="Heading5"/>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rPr/>
      </w:pPr>
      <w:r>
        <w:rPr/>
        <w:t xml:space="preserve">II. </w:t>
        <w:tab/>
        <w:t>LNG TRANSPORTATION PROJECTS</w:t>
      </w:r>
    </w:p>
    <w:p>
      <w:pPr>
        <w:pStyle w:val="Normal"/>
        <w:jc w:val="both"/>
        <w:rPr>
          <w:rFonts w:ascii="Arial" w:hAnsi="Arial" w:cs="Arial"/>
          <w:sz w:val="22"/>
        </w:rPr>
      </w:pPr>
      <w:r>
        <w:rPr>
          <w:rFonts w:cs="Arial" w:ascii="Arial" w:hAnsi="Arial"/>
          <w:sz w:val="22"/>
        </w:rPr>
      </w:r>
    </w:p>
    <w:p>
      <w:pPr>
        <w:pStyle w:val="Normal"/>
        <w:numPr>
          <w:ilvl w:val="0"/>
          <w:numId w:val="27"/>
        </w:numPr>
        <w:tabs>
          <w:tab w:val="left" w:pos="720" w:leader="none"/>
        </w:tabs>
        <w:ind w:hanging="720" w:start="720" w:end="0"/>
        <w:jc w:val="both"/>
        <w:rPr>
          <w:rFonts w:ascii="Arial" w:hAnsi="Arial" w:cs="Arial"/>
          <w:b/>
          <w:sz w:val="22"/>
        </w:rPr>
      </w:pPr>
      <w:r>
        <w:rPr>
          <w:rFonts w:cs="Arial" w:ascii="Arial" w:hAnsi="Arial"/>
          <w:b/>
          <w:sz w:val="22"/>
        </w:rPr>
        <w:t>Dabhol Phase II LNG Transportation (LNG LAXMI Time Charter Party)</w:t>
      </w:r>
    </w:p>
    <w:p>
      <w:pPr>
        <w:pStyle w:val="Normal"/>
        <w:jc w:val="both"/>
        <w:rPr>
          <w:rFonts w:ascii="Arial" w:hAnsi="Arial" w:cs="Arial"/>
          <w:b/>
          <w:sz w:val="22"/>
        </w:rPr>
      </w:pPr>
      <w:r>
        <w:rPr>
          <w:rFonts w:cs="Arial" w:ascii="Arial" w:hAnsi="Arial"/>
          <w:b/>
          <w:sz w:val="22"/>
        </w:rPr>
      </w:r>
    </w:p>
    <w:p>
      <w:pPr>
        <w:pStyle w:val="Normal"/>
        <w:ind w:start="720" w:end="0"/>
        <w:jc w:val="both"/>
        <w:rPr/>
      </w:pPr>
      <w:r>
        <w:rPr>
          <w:rFonts w:cs="Arial" w:ascii="Arial" w:hAnsi="Arial"/>
          <w:sz w:val="22"/>
        </w:rPr>
        <w:t xml:space="preserve">This project involves the charter by DPC of a newbuild LNG tanker (the LNG LAXMI) from Greenfield Shipping Company Limited (“GSCL”) in order to transport LNG sourced from two Middle Eastern suppliers in connection with Phase II of the Dabhol Power project.  An </w:t>
      </w:r>
      <w:r>
        <w:rPr>
          <w:rFonts w:cs="Arial" w:ascii="Arial" w:hAnsi="Arial"/>
          <w:b/>
          <w:sz w:val="22"/>
        </w:rPr>
        <w:t>LNG Vessel Time Charter Party</w:t>
      </w:r>
      <w:r>
        <w:rPr>
          <w:rFonts w:cs="Arial" w:ascii="Arial" w:hAnsi="Arial"/>
          <w:sz w:val="22"/>
        </w:rPr>
        <w:t xml:space="preserve"> has been executed between DPC and GSCL.  Pursuant to the Time Charter Party, DPC is required to maintain (i) a Liquidity Letter of Credit in the amount of $10 million and (ii) a Force Majeure Letter of Credit in the amount of $60 million (the DPC Sponsors were also required by the shiplenders to execute a DPC Sponsors Agreement in favor of GSCL obligating the sponsors to procure this FM L/C if DPC failed to do so).  The LNG LAXMI is presently under construction in Japan and is expected to be delivered on schedule in September-October 2001.</w:t>
      </w:r>
    </w:p>
    <w:p>
      <w:pPr>
        <w:pStyle w:val="Normal"/>
        <w:ind w:start="720" w:end="0"/>
        <w:jc w:val="both"/>
        <w:rPr>
          <w:rFonts w:ascii="Arial" w:hAnsi="Arial" w:cs="Arial"/>
          <w:sz w:val="22"/>
        </w:rPr>
      </w:pPr>
      <w:r>
        <w:rPr>
          <w:rFonts w:cs="Arial" w:ascii="Arial" w:hAnsi="Arial"/>
          <w:sz w:val="22"/>
        </w:rPr>
      </w:r>
    </w:p>
    <w:p>
      <w:pPr>
        <w:pStyle w:val="Normal"/>
        <w:tabs>
          <w:tab w:val="left" w:pos="720" w:leader="none"/>
        </w:tabs>
        <w:ind w:hanging="720" w:start="720" w:end="0"/>
        <w:jc w:val="both"/>
        <w:rPr/>
      </w:pPr>
      <w:r>
        <w:rPr>
          <w:rFonts w:cs="Arial" w:ascii="Arial" w:hAnsi="Arial"/>
          <w:sz w:val="22"/>
        </w:rPr>
        <w:tab/>
        <w:t xml:space="preserve">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ind w:start="720" w:end="0"/>
        <w:jc w:val="both"/>
        <w:rPr>
          <w:rFonts w:ascii="Arial" w:hAnsi="Arial" w:cs="Arial"/>
          <w:sz w:val="22"/>
        </w:rPr>
      </w:pPr>
      <w:r>
        <w:rPr>
          <w:rFonts w:cs="Arial" w:ascii="Arial" w:hAnsi="Arial"/>
          <w:sz w:val="22"/>
        </w:rPr>
      </w:r>
    </w:p>
    <w:p>
      <w:pPr>
        <w:pStyle w:val="Normal"/>
        <w:ind w:start="720" w:end="0"/>
        <w:jc w:val="both"/>
        <w:rPr>
          <w:rFonts w:ascii="Arial" w:hAnsi="Arial" w:cs="Arial"/>
          <w:sz w:val="22"/>
        </w:rPr>
      </w:pPr>
      <w:r>
        <w:rPr>
          <w:rFonts w:cs="Arial" w:ascii="Arial" w:hAnsi="Arial"/>
          <w:sz w:val="22"/>
        </w:rPr>
      </w:r>
    </w:p>
    <w:p>
      <w:pPr>
        <w:pStyle w:val="Normal"/>
        <w:ind w:start="72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B.</w:t>
        <w:tab/>
        <w:t>LNG Shipping Joint Venture – Greenfield Shipping Company (LNG LAXMI)</w:t>
      </w:r>
    </w:p>
    <w:p>
      <w:pPr>
        <w:pStyle w:val="Normal"/>
        <w:ind w:start="720" w:end="0"/>
        <w:jc w:val="both"/>
        <w:rPr>
          <w:rFonts w:ascii="Arial" w:hAnsi="Arial" w:cs="Arial"/>
          <w:b/>
          <w:sz w:val="22"/>
        </w:rPr>
      </w:pPr>
      <w:r>
        <w:rPr>
          <w:rFonts w:cs="Arial" w:ascii="Arial" w:hAnsi="Arial"/>
          <w:b/>
          <w:sz w:val="22"/>
        </w:rPr>
      </w:r>
    </w:p>
    <w:p>
      <w:pPr>
        <w:pStyle w:val="Normal"/>
        <w:ind w:start="720" w:end="0"/>
        <w:jc w:val="both"/>
        <w:rPr>
          <w:rFonts w:ascii="Arial" w:hAnsi="Arial" w:cs="Arial"/>
          <w:sz w:val="22"/>
        </w:rPr>
      </w:pPr>
      <w:r>
        <w:rPr>
          <w:rFonts w:cs="Arial" w:ascii="Arial" w:hAnsi="Arial"/>
          <w:sz w:val="22"/>
        </w:rPr>
        <w:t>This project involves the formation and capitalization of GSCL (which is in turn owned by Greenfield Holding Company Limited (“GHCL”) and Redfield Holding Company Limited) and the financing through GSCL of a newbuild 135,000 cbm LNG vessel to be named the “LNG LAXMI” to be used to transport LNG sourced from two Middle Eastern suppliers to Dabhol, India in connection with Phase II of the Dabhol Power project.</w:t>
      </w:r>
    </w:p>
    <w:p>
      <w:pPr>
        <w:pStyle w:val="Normal"/>
        <w:ind w:start="720" w:end="0"/>
        <w:jc w:val="both"/>
        <w:rPr>
          <w:rFonts w:ascii="Arial" w:hAnsi="Arial" w:cs="Arial"/>
          <w:sz w:val="22"/>
        </w:rPr>
      </w:pPr>
      <w:r>
        <w:rPr>
          <w:rFonts w:cs="Arial" w:ascii="Arial" w:hAnsi="Arial"/>
          <w:sz w:val="22"/>
        </w:rPr>
      </w:r>
    </w:p>
    <w:p>
      <w:pPr>
        <w:pStyle w:val="Normal"/>
        <w:numPr>
          <w:ilvl w:val="2"/>
          <w:numId w:val="27"/>
        </w:numPr>
        <w:tabs>
          <w:tab w:val="clear" w:pos="720"/>
          <w:tab w:val="left" w:pos="1440" w:leader="none"/>
        </w:tabs>
        <w:ind w:hanging="720" w:start="1440" w:end="0"/>
        <w:jc w:val="both"/>
        <w:rPr>
          <w:rFonts w:ascii="Arial" w:hAnsi="Arial" w:cs="Arial"/>
          <w:b/>
          <w:sz w:val="22"/>
        </w:rPr>
      </w:pPr>
      <w:r>
        <w:rPr>
          <w:rFonts w:cs="Arial" w:ascii="Arial" w:hAnsi="Arial"/>
          <w:b/>
          <w:sz w:val="22"/>
        </w:rPr>
        <w:t>Formation and Capitalization of Joint Venture Companies</w:t>
      </w:r>
    </w:p>
    <w:p>
      <w:pPr>
        <w:pStyle w:val="Normal"/>
        <w:jc w:val="both"/>
        <w:rPr>
          <w:rFonts w:ascii="Arial" w:hAnsi="Arial" w:cs="Arial"/>
          <w:b/>
          <w:sz w:val="22"/>
        </w:rPr>
      </w:pPr>
      <w:r>
        <w:rPr>
          <w:rFonts w:cs="Arial" w:ascii="Arial" w:hAnsi="Arial"/>
          <w:b/>
          <w:sz w:val="22"/>
        </w:rPr>
      </w:r>
    </w:p>
    <w:p>
      <w:pPr>
        <w:pStyle w:val="Normal"/>
        <w:ind w:start="1440" w:end="0"/>
        <w:jc w:val="both"/>
        <w:rPr/>
      </w:pPr>
      <w:r>
        <w:rPr>
          <w:rFonts w:cs="Arial" w:ascii="Arial" w:hAnsi="Arial"/>
          <w:sz w:val="22"/>
        </w:rPr>
        <w:t xml:space="preserve">An </w:t>
      </w:r>
      <w:r>
        <w:rPr>
          <w:rFonts w:cs="Arial" w:ascii="Arial" w:hAnsi="Arial"/>
          <w:b/>
          <w:sz w:val="22"/>
        </w:rPr>
        <w:t>Amended and Restated Shareholders Agreement</w:t>
      </w:r>
      <w:r>
        <w:rPr>
          <w:rFonts w:cs="Arial" w:ascii="Arial" w:hAnsi="Arial"/>
          <w:sz w:val="22"/>
        </w:rPr>
        <w:t xml:space="preserve"> was executed among MOL, Atlantic Commercial Finance, Inc (“ACFI”), The Shipping Corporation of India (“SCI”) and Greenfield Holding Company Limited (“GHCL”), together with a </w:t>
      </w:r>
      <w:r>
        <w:rPr>
          <w:rFonts w:cs="Arial" w:ascii="Arial" w:hAnsi="Arial"/>
          <w:b/>
          <w:sz w:val="22"/>
        </w:rPr>
        <w:t>Voting Agreement</w:t>
      </w:r>
      <w:r>
        <w:rPr>
          <w:rFonts w:cs="Arial" w:ascii="Arial" w:hAnsi="Arial"/>
          <w:sz w:val="22"/>
        </w:rPr>
        <w:t xml:space="preserve"> between ACFI and MOL and various other operation, management and shareholder funding – related agreements.  The Amended and Restated Shareholders Agreement and Voting Agreement are designed to also govern the various organization, capitalization, management, voting, operation and transfer issues relative to Greenfield Shipping Company Limited (“GSCL”) and Redfield Holding Company Limited (“RHCL”).</w:t>
      </w:r>
    </w:p>
    <w:p>
      <w:pPr>
        <w:pStyle w:val="Normal"/>
        <w:ind w:start="1224" w:end="0"/>
        <w:jc w:val="both"/>
        <w:rPr>
          <w:rFonts w:ascii="Arial" w:hAnsi="Arial" w:cs="Arial"/>
          <w:sz w:val="22"/>
        </w:rPr>
      </w:pPr>
      <w:r>
        <w:rPr>
          <w:rFonts w:cs="Arial" w:ascii="Arial" w:hAnsi="Arial"/>
          <w:sz w:val="22"/>
        </w:rPr>
      </w:r>
    </w:p>
    <w:p>
      <w:pPr>
        <w:pStyle w:val="Normal"/>
        <w:ind w:start="1440" w:end="0"/>
        <w:jc w:val="both"/>
        <w:rPr/>
      </w:pPr>
      <w:r>
        <w:rPr>
          <w:rFonts w:cs="Arial" w:ascii="Arial" w:hAnsi="Arial"/>
          <w:sz w:val="22"/>
        </w:rPr>
        <w:t xml:space="preserve">A specific listing of all of the contracts relating to this project and the joint venture companies is attached as </w:t>
      </w:r>
      <w:r>
        <w:rPr>
          <w:rFonts w:cs="Arial" w:ascii="Arial" w:hAnsi="Arial"/>
          <w:sz w:val="22"/>
          <w:u w:val="single"/>
        </w:rPr>
        <w:t>Exhibit B</w:t>
      </w:r>
      <w:r>
        <w:rPr>
          <w:rFonts w:cs="Arial" w:ascii="Arial" w:hAnsi="Arial"/>
          <w:sz w:val="22"/>
        </w:rPr>
        <w:t>.</w:t>
      </w:r>
    </w:p>
    <w:p>
      <w:pPr>
        <w:pStyle w:val="Normal"/>
        <w:ind w:start="1224" w:end="0"/>
        <w:jc w:val="both"/>
        <w:rPr>
          <w:rFonts w:ascii="Arial" w:hAnsi="Arial" w:cs="Arial"/>
          <w:sz w:val="22"/>
        </w:rPr>
      </w:pPr>
      <w:r>
        <w:rPr>
          <w:rFonts w:cs="Arial" w:ascii="Arial" w:hAnsi="Arial"/>
          <w:sz w:val="22"/>
        </w:rPr>
      </w:r>
    </w:p>
    <w:p>
      <w:pPr>
        <w:pStyle w:val="Normal"/>
        <w:numPr>
          <w:ilvl w:val="2"/>
          <w:numId w:val="27"/>
        </w:numPr>
        <w:tabs>
          <w:tab w:val="clear" w:pos="720"/>
          <w:tab w:val="left" w:pos="1440" w:leader="none"/>
        </w:tabs>
        <w:ind w:hanging="720" w:start="1440" w:end="0"/>
        <w:jc w:val="both"/>
        <w:rPr>
          <w:rFonts w:ascii="Arial" w:hAnsi="Arial" w:cs="Arial"/>
          <w:b/>
          <w:sz w:val="22"/>
        </w:rPr>
      </w:pPr>
      <w:r>
        <w:rPr>
          <w:rFonts w:cs="Arial" w:ascii="Arial" w:hAnsi="Arial"/>
          <w:b/>
          <w:sz w:val="22"/>
        </w:rPr>
        <w:t>LNG Ship Construction and Financing (LNG LAXMI)</w:t>
      </w:r>
    </w:p>
    <w:p>
      <w:pPr>
        <w:pStyle w:val="ssPara1"/>
        <w:spacing w:before="0" w:after="0"/>
        <w:rPr>
          <w:rFonts w:ascii="Arial" w:hAnsi="Arial" w:cs="Arial"/>
          <w:b/>
          <w:sz w:val="22"/>
          <w:lang w:val="en-US"/>
        </w:rPr>
      </w:pPr>
      <w:r>
        <w:rPr>
          <w:rFonts w:cs="Arial"/>
          <w:b/>
          <w:sz w:val="22"/>
          <w:lang w:val="en-US"/>
        </w:rPr>
      </w:r>
    </w:p>
    <w:p>
      <w:pPr>
        <w:pStyle w:val="Normal"/>
        <w:ind w:start="1440" w:end="0"/>
        <w:jc w:val="both"/>
        <w:rPr/>
      </w:pPr>
      <w:r>
        <w:rPr>
          <w:rFonts w:cs="Arial" w:ascii="Arial" w:hAnsi="Arial"/>
          <w:sz w:val="22"/>
        </w:rPr>
        <w:t xml:space="preserve">GSCL has executed a </w:t>
      </w:r>
      <w:r>
        <w:rPr>
          <w:rFonts w:cs="Arial" w:ascii="Arial" w:hAnsi="Arial"/>
          <w:b/>
          <w:sz w:val="22"/>
        </w:rPr>
        <w:t>Shipbuilding Contract</w:t>
      </w:r>
      <w:r>
        <w:rPr>
          <w:rFonts w:cs="Arial" w:ascii="Arial" w:hAnsi="Arial"/>
          <w:sz w:val="22"/>
        </w:rPr>
        <w:t xml:space="preserve"> and related side letter agreements with Mitsubishi Heavy Industries Ltd. (“MHI”) in connection with the construction and acquisition of the vessel LNG LAXMI. The LNG LAXMI is presently under construction in Japan and is expected to be delivered on schedule in September-October 2001.</w:t>
      </w:r>
    </w:p>
    <w:p>
      <w:pPr>
        <w:pStyle w:val="Normal"/>
        <w:ind w:start="1224" w:end="0"/>
        <w:jc w:val="both"/>
        <w:rPr>
          <w:rFonts w:ascii="Arial" w:hAnsi="Arial" w:cs="Arial"/>
          <w:sz w:val="22"/>
        </w:rPr>
      </w:pPr>
      <w:r>
        <w:rPr>
          <w:rFonts w:cs="Arial" w:ascii="Arial" w:hAnsi="Arial"/>
          <w:sz w:val="22"/>
        </w:rPr>
      </w:r>
    </w:p>
    <w:p>
      <w:pPr>
        <w:pStyle w:val="Normal"/>
        <w:ind w:start="1440" w:end="0"/>
        <w:jc w:val="both"/>
        <w:rPr/>
      </w:pPr>
      <w:r>
        <w:rPr>
          <w:rFonts w:cs="Arial" w:ascii="Arial" w:hAnsi="Arial"/>
          <w:sz w:val="22"/>
        </w:rPr>
        <w:t xml:space="preserve">GSCL has executed a </w:t>
      </w:r>
      <w:r>
        <w:rPr>
          <w:rFonts w:cs="Arial" w:ascii="Arial" w:hAnsi="Arial"/>
          <w:b/>
          <w:sz w:val="22"/>
        </w:rPr>
        <w:t>Loan Agreement</w:t>
      </w:r>
      <w:r>
        <w:rPr>
          <w:rFonts w:cs="Arial" w:ascii="Arial" w:hAnsi="Arial"/>
          <w:sz w:val="22"/>
        </w:rPr>
        <w:t xml:space="preserve">, and GSCL, GHCL, MOL, ACFI and SCI have executed various financing and security documents, with Australia and New Zealand Banking Group Limited (as security agent and trustee) (“ANZ’) and various Banks in connection with the LNG LAXMI ship financing.  In addition, Enron Corp. has executed several </w:t>
      </w:r>
      <w:r>
        <w:rPr>
          <w:rFonts w:cs="Arial" w:ascii="Arial" w:hAnsi="Arial"/>
          <w:b/>
          <w:sz w:val="22"/>
        </w:rPr>
        <w:t>credit support documents</w:t>
      </w:r>
      <w:r>
        <w:rPr>
          <w:rFonts w:cs="Arial" w:ascii="Arial" w:hAnsi="Arial"/>
          <w:sz w:val="22"/>
        </w:rPr>
        <w:t xml:space="preserve"> (Including the Sale Shortfall Agreement among Enron Corp, ANZ and GSCL, the Refinancing Deed among Enron Corp. ANZ, various Banks and GSCL and the Minimum Equity Guarantee among Enron Corp, Fuji Bank and ANZ), Enron International Inc. has executed a Support Agreement, and Enron Capital &amp; Trade Resources Corp. has executed a Master Swap Agreement (providing for a 23 year LIBOR swap) which is in turn guaranteed by Enron Corp.  GSCL is required to provide and maintain a $10 million liquidity L/C in favor of ANZ and the Banks which can be replaced with a cash deposit into a reserve account maintained by ANZ.  Finally, GSCL has signed a </w:t>
      </w:r>
      <w:r>
        <w:rPr>
          <w:rFonts w:cs="Arial" w:ascii="Arial" w:hAnsi="Arial"/>
          <w:b/>
          <w:sz w:val="22"/>
        </w:rPr>
        <w:t>Project Co-ordination Agreement</w:t>
      </w:r>
      <w:r>
        <w:rPr>
          <w:rFonts w:cs="Arial" w:ascii="Arial" w:hAnsi="Arial"/>
          <w:sz w:val="22"/>
        </w:rPr>
        <w:t xml:space="preserve"> with DPC, ANZ, US Bank National Association and Industrial Bank of India.  First and second drawdowns under the Loan facility have occurred and the next drawdown is expected to occur not later than February 1, 2001.</w:t>
      </w:r>
    </w:p>
    <w:p>
      <w:pPr>
        <w:pStyle w:val="Normal"/>
        <w:ind w:start="1440" w:end="0"/>
        <w:jc w:val="both"/>
        <w:rPr>
          <w:rFonts w:ascii="Arial" w:hAnsi="Arial" w:cs="Arial"/>
          <w:sz w:val="22"/>
        </w:rPr>
      </w:pPr>
      <w:r>
        <w:rPr>
          <w:rFonts w:cs="Arial" w:ascii="Arial" w:hAnsi="Arial"/>
          <w:sz w:val="22"/>
        </w:rPr>
      </w:r>
    </w:p>
    <w:p>
      <w:pPr>
        <w:pStyle w:val="Normal"/>
        <w:ind w:start="1440" w:end="0"/>
        <w:jc w:val="both"/>
        <w:rPr/>
      </w:pPr>
      <w:r>
        <w:rPr>
          <w:rFonts w:cs="Arial" w:ascii="Arial" w:hAnsi="Arial"/>
          <w:sz w:val="22"/>
        </w:rPr>
        <w:t xml:space="preserve">A specific listing of all of the contracts relating to this financing is attached as </w:t>
      </w:r>
      <w:r>
        <w:rPr>
          <w:rFonts w:cs="Arial" w:ascii="Arial" w:hAnsi="Arial"/>
          <w:sz w:val="22"/>
          <w:u w:val="single"/>
        </w:rPr>
        <w:t>Exhibit B</w:t>
      </w:r>
      <w:r>
        <w:rPr>
          <w:rFonts w:cs="Arial" w:ascii="Arial" w:hAnsi="Arial"/>
          <w:sz w:val="22"/>
        </w:rPr>
        <w:t>.</w:t>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jc w:val="both"/>
        <w:rPr>
          <w:rFonts w:ascii="Arial" w:hAnsi="Arial" w:cs="Arial"/>
          <w:sz w:val="22"/>
        </w:rPr>
      </w:pPr>
      <w:r>
        <w:rPr>
          <w:rFonts w:cs="Arial" w:ascii="Arial" w:hAnsi="Arial"/>
          <w:sz w:val="22"/>
        </w:rPr>
        <w:t>C.</w:t>
        <w:tab/>
        <w:t>HOEGH GALLEON (ex MYSTIC LADY) LNG Vessel Timecharter</w:t>
      </w:r>
    </w:p>
    <w:p>
      <w:pPr>
        <w:pStyle w:val="Normal"/>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3600" w:leader="none"/>
          <w:tab w:val="left" w:pos="4320" w:leader="none"/>
        </w:tabs>
        <w:ind w:start="720" w:end="0"/>
        <w:jc w:val="both"/>
        <w:rPr/>
      </w:pPr>
      <w:r>
        <w:rPr>
          <w:rFonts w:cs="Arial" w:ascii="Arial" w:hAnsi="Arial"/>
          <w:sz w:val="22"/>
        </w:rPr>
        <w:t xml:space="preserve">This transaction involves the long-term timecharter of the 87,000 cbm LNG vessel “HOEGH GALLEON” for use in short-term merchant LNG trading, with the objective of novating the charter for the balance of the term to either Enron’s MetGas, India project company or Enron’s Jose, Venezuela LNG project company.   We have in place an executed </w:t>
      </w:r>
      <w:r>
        <w:rPr>
          <w:rFonts w:cs="Arial" w:ascii="Arial" w:hAnsi="Arial"/>
          <w:b/>
          <w:sz w:val="22"/>
        </w:rPr>
        <w:t>LNG Vessel Time Charter Party</w:t>
      </w:r>
      <w:r>
        <w:rPr>
          <w:rFonts w:cs="Arial" w:ascii="Arial" w:hAnsi="Arial"/>
          <w:sz w:val="22"/>
        </w:rPr>
        <w:t xml:space="preserve"> between ENRON LNG Shipping Company (“ELSC”) and Hoegh Galleon Gas Ltd. (“HGGL”), as well as a Deed of Guarantee of Owner Guarantor (Lief Hoegh A.S.A.) in favor of ELSC and a </w:t>
      </w:r>
      <w:r>
        <w:rPr>
          <w:rFonts w:cs="Arial" w:ascii="Arial" w:hAnsi="Arial"/>
          <w:b/>
          <w:sz w:val="22"/>
        </w:rPr>
        <w:t>Deed of Guarantee</w:t>
      </w:r>
      <w:r>
        <w:rPr>
          <w:rFonts w:cs="Arial" w:ascii="Arial" w:hAnsi="Arial"/>
          <w:sz w:val="22"/>
        </w:rPr>
        <w:t xml:space="preserve"> </w:t>
      </w:r>
      <w:r>
        <w:rPr>
          <w:rFonts w:cs="Arial" w:ascii="Arial" w:hAnsi="Arial"/>
          <w:b/>
          <w:sz w:val="22"/>
        </w:rPr>
        <w:t>of Charterer Guarantor</w:t>
      </w:r>
      <w:r>
        <w:rPr>
          <w:rFonts w:cs="Arial" w:ascii="Arial" w:hAnsi="Arial"/>
          <w:sz w:val="22"/>
        </w:rPr>
        <w:t xml:space="preserve"> (Enron Corp.) in favor of HGGL.  The HOEGH GALLEON is presently undergoing refurbishment in Singapore/Indonesia and is expected to be delivered on time on December 1, 2000. </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s>
        <w:ind w:hanging="720" w:start="720" w:end="0"/>
        <w:jc w:val="both"/>
        <w:rPr/>
      </w:pPr>
      <w:r>
        <w:rPr>
          <w:rFonts w:cs="Arial" w:ascii="Arial" w:hAnsi="Arial"/>
          <w:sz w:val="22"/>
        </w:rPr>
        <w:tab/>
        <w:t xml:space="preserve">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Heading4"/>
        <w:numPr>
          <w:ilvl w:val="1"/>
          <w:numId w:val="4"/>
        </w:numPr>
        <w:tabs>
          <w:tab w:val="clear" w:pos="720"/>
          <w:tab w:val="left" w:pos="1440" w:leader="none"/>
          <w:tab w:val="left" w:pos="2160" w:leader="none"/>
          <w:tab w:val="left" w:pos="3600" w:leader="none"/>
          <w:tab w:val="left" w:pos="4320" w:leader="none"/>
        </w:tabs>
        <w:jc w:val="both"/>
        <w:rPr/>
      </w:pPr>
      <w:r>
        <w:rPr/>
        <w:t>ExMar (Solaia Shipping) Newbuild LNG Vessel Timecharter</w:t>
      </w:r>
    </w:p>
    <w:p>
      <w:pPr>
        <w:pStyle w:val="Normal"/>
        <w:tabs>
          <w:tab w:val="clear" w:pos="720"/>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3600" w:leader="none"/>
          <w:tab w:val="left" w:pos="4320" w:leader="none"/>
        </w:tabs>
        <w:ind w:start="720" w:end="0"/>
        <w:jc w:val="both"/>
        <w:rPr/>
      </w:pPr>
      <w:r>
        <w:rPr>
          <w:rFonts w:cs="Arial" w:ascii="Arial" w:hAnsi="Arial"/>
          <w:sz w:val="22"/>
        </w:rPr>
        <w:t xml:space="preserve">This transaction involves the long-term timecharter of a newbuild 138,000 cbm LNG vessel for use in short-term merchant LNG trading, with the objective of novating the charter for the balance of the term to either Enron’s MetGas, India project company or Enron’s Jose, Venezuela LNG project company.   We have in place an executed </w:t>
      </w:r>
      <w:r>
        <w:rPr>
          <w:rFonts w:cs="Arial" w:ascii="Arial" w:hAnsi="Arial"/>
          <w:b/>
          <w:sz w:val="22"/>
        </w:rPr>
        <w:t>LNG Vessel Time Charter Party</w:t>
      </w:r>
      <w:r>
        <w:rPr>
          <w:rFonts w:cs="Arial" w:ascii="Arial" w:hAnsi="Arial"/>
          <w:sz w:val="22"/>
        </w:rPr>
        <w:t xml:space="preserve"> between ENRON LNG Shipping Company (“ELSC”) and Solaia Shipping Inc. (“Solaia”), as well as a Deed of Guarantee of Owner Guarantor (ExMar Lux S.A.) in favor of ELSC and a </w:t>
      </w:r>
      <w:r>
        <w:rPr>
          <w:rFonts w:cs="Arial" w:ascii="Arial" w:hAnsi="Arial"/>
          <w:b/>
          <w:sz w:val="22"/>
        </w:rPr>
        <w:t>Deed of Guarantee of Charterer Guarantor</w:t>
      </w:r>
      <w:r>
        <w:rPr>
          <w:rFonts w:cs="Arial" w:ascii="Arial" w:hAnsi="Arial"/>
          <w:sz w:val="22"/>
        </w:rPr>
        <w:t xml:space="preserve"> (Enron Corp.) in favor of Solaia.  We also have in place an executed </w:t>
      </w:r>
      <w:r>
        <w:rPr>
          <w:rFonts w:cs="Arial" w:ascii="Arial" w:hAnsi="Arial"/>
          <w:b/>
          <w:sz w:val="22"/>
        </w:rPr>
        <w:t>Option for LNG Vessel Time Charter Party</w:t>
      </w:r>
      <w:r>
        <w:rPr>
          <w:rFonts w:cs="Arial" w:ascii="Arial" w:hAnsi="Arial"/>
          <w:sz w:val="22"/>
        </w:rPr>
        <w:t xml:space="preserve"> between ExMar N.V. and ELSC, which provides ELSC with an option to charter up to 2 additional newbuild LNG ships on substantially similar terms.</w:t>
      </w:r>
    </w:p>
    <w:p>
      <w:pPr>
        <w:pStyle w:val="Normal"/>
        <w:ind w:start="720" w:end="0"/>
        <w:jc w:val="both"/>
        <w:rPr>
          <w:rFonts w:ascii="Arial" w:hAnsi="Arial" w:cs="Arial"/>
          <w:sz w:val="22"/>
        </w:rPr>
      </w:pPr>
      <w:r>
        <w:rPr>
          <w:rFonts w:cs="Arial" w:ascii="Arial" w:hAnsi="Arial"/>
          <w:sz w:val="22"/>
        </w:rPr>
        <w:t>The vessel is presently under construction in Korea and is expected to be delivered on schedule on a date to be selected by ELSC in the period commencing with August 2002 and ending in February 2003.</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s>
        <w:ind w:hanging="720" w:start="720" w:end="0"/>
        <w:jc w:val="both"/>
        <w:rPr/>
      </w:pPr>
      <w:r>
        <w:rPr>
          <w:rFonts w:cs="Arial" w:ascii="Arial" w:hAnsi="Arial"/>
          <w:sz w:val="22"/>
        </w:rPr>
        <w:tab/>
        <w:t xml:space="preserve">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 w:val="left" w:pos="2880" w:leader="none"/>
          <w:tab w:val="left" w:pos="3600" w:leader="none"/>
          <w:tab w:val="left" w:pos="4320" w:leader="none"/>
        </w:tabs>
        <w:ind w:hanging="720" w:start="720" w:end="0"/>
        <w:jc w:val="both"/>
        <w:rPr>
          <w:rFonts w:ascii="Arial" w:hAnsi="Arial" w:cs="Arial"/>
          <w:b/>
          <w:sz w:val="28"/>
        </w:rPr>
      </w:pPr>
      <w:r>
        <w:rPr>
          <w:rFonts w:cs="Arial" w:ascii="Arial" w:hAnsi="Arial"/>
          <w:b/>
          <w:sz w:val="28"/>
        </w:rPr>
      </w:r>
    </w:p>
    <w:p>
      <w:pPr>
        <w:pStyle w:val="Normal"/>
        <w:numPr>
          <w:ilvl w:val="0"/>
          <w:numId w:val="11"/>
        </w:numPr>
        <w:tabs>
          <w:tab w:val="clear" w:pos="720"/>
          <w:tab w:val="left" w:pos="2880" w:leader="none"/>
          <w:tab w:val="left" w:pos="3600" w:leader="none"/>
          <w:tab w:val="left" w:pos="4320" w:leader="none"/>
        </w:tabs>
        <w:jc w:val="both"/>
        <w:rPr>
          <w:rFonts w:ascii="Arial" w:hAnsi="Arial" w:cs="Arial"/>
          <w:b/>
          <w:sz w:val="28"/>
        </w:rPr>
      </w:pPr>
      <w:r>
        <w:rPr>
          <w:rFonts w:cs="Arial" w:ascii="Arial" w:hAnsi="Arial"/>
          <w:b/>
          <w:sz w:val="28"/>
        </w:rPr>
        <w:t>LNG LIQUEFACTION/EXPORT PROJECTS</w:t>
      </w:r>
    </w:p>
    <w:p>
      <w:pPr>
        <w:pStyle w:val="Normal"/>
        <w:tabs>
          <w:tab w:val="left" w:pos="720" w:leader="none"/>
          <w:tab w:val="left" w:pos="2880" w:leader="none"/>
          <w:tab w:val="left" w:pos="3600" w:leader="none"/>
          <w:tab w:val="left" w:pos="4320" w:leader="none"/>
        </w:tabs>
        <w:jc w:val="both"/>
        <w:rPr>
          <w:rFonts w:ascii="Arial" w:hAnsi="Arial" w:cs="Arial"/>
          <w:sz w:val="22"/>
        </w:rPr>
      </w:pPr>
      <w:r>
        <w:rPr>
          <w:rFonts w:cs="Arial" w:ascii="Arial" w:hAnsi="Arial"/>
          <w:b/>
          <w:sz w:val="22"/>
        </w:rPr>
        <w:tab/>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jc w:val="both"/>
        <w:rPr>
          <w:rFonts w:ascii="Arial" w:hAnsi="Arial" w:cs="Arial"/>
          <w:sz w:val="22"/>
        </w:rPr>
      </w:pPr>
      <w:r>
        <w:rPr>
          <w:rFonts w:cs="Arial" w:ascii="Arial" w:hAnsi="Arial"/>
          <w:sz w:val="22"/>
        </w:rPr>
        <w:t>A.</w:t>
        <w:tab/>
        <w:t>Venezuela (JOSE) LNG Liquefaction and Export Project</w:t>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pPr>
      <w:r>
        <w:rPr>
          <w:rFonts w:cs="Arial" w:ascii="Arial" w:hAnsi="Arial"/>
          <w:sz w:val="22"/>
        </w:rPr>
        <w:tab/>
        <w:t xml:space="preserve">This project involves the development, financing, construction and operation of a natural gas liquefaction and export facility in Jose, Venezuela and the marketing and sale of LNG to customers on a worldwide basis.  We have in place an executed </w:t>
      </w:r>
      <w:r>
        <w:rPr>
          <w:rFonts w:cs="Arial" w:ascii="Arial" w:hAnsi="Arial"/>
          <w:b/>
          <w:sz w:val="22"/>
        </w:rPr>
        <w:t>Confidentiality Agreement</w:t>
      </w:r>
      <w:r>
        <w:rPr>
          <w:rFonts w:cs="Arial" w:ascii="Arial" w:hAnsi="Arial"/>
          <w:sz w:val="22"/>
        </w:rPr>
        <w:t xml:space="preserve"> between Enron LNG Power (Atlantic) Limited, Enron Oil &amp; Gas Venezuela-Guarico Ltd. and Corpoven, S.A., and a </w:t>
      </w:r>
      <w:r>
        <w:rPr>
          <w:rFonts w:cs="Arial" w:ascii="Arial" w:hAnsi="Arial"/>
          <w:b/>
          <w:sz w:val="22"/>
        </w:rPr>
        <w:t>Heads of Agreement</w:t>
      </w:r>
      <w:r>
        <w:rPr>
          <w:rFonts w:cs="Arial" w:ascii="Arial" w:hAnsi="Arial"/>
          <w:sz w:val="22"/>
        </w:rPr>
        <w:t xml:space="preserve"> (“HOA”) for Gas Sale and Purchase between Enron LNG Atlantic Ltd. and PDVSA-Gas S.A.  We are presently negotiating the following project documents with PDVSA-Gas S.A.: </w:t>
      </w:r>
      <w:r>
        <w:rPr>
          <w:rFonts w:cs="Arial" w:ascii="Arial" w:hAnsi="Arial"/>
          <w:b/>
          <w:sz w:val="22"/>
        </w:rPr>
        <w:t>LNG Site &amp; Pier Agreement</w:t>
      </w:r>
      <w:r>
        <w:rPr>
          <w:rFonts w:cs="Arial" w:ascii="Arial" w:hAnsi="Arial"/>
          <w:sz w:val="22"/>
        </w:rPr>
        <w:t xml:space="preserve"> between PDVSA-Gas S.A. and Enron LNG Atlantic Ltd.; </w:t>
      </w:r>
      <w:r>
        <w:rPr>
          <w:rFonts w:cs="Arial" w:ascii="Arial" w:hAnsi="Arial"/>
          <w:b/>
          <w:sz w:val="22"/>
        </w:rPr>
        <w:t>Methane Gas Supply Agreement</w:t>
      </w:r>
      <w:r>
        <w:rPr>
          <w:rFonts w:cs="Arial" w:ascii="Arial" w:hAnsi="Arial"/>
          <w:sz w:val="22"/>
        </w:rPr>
        <w:t xml:space="preserve"> between PDVSA-Gas S.A. and Enron LNG Atlantic Ltd.; </w:t>
      </w:r>
      <w:r>
        <w:rPr>
          <w:rFonts w:cs="Arial" w:ascii="Arial" w:hAnsi="Arial"/>
          <w:b/>
          <w:sz w:val="22"/>
        </w:rPr>
        <w:t>Guaranty</w:t>
      </w:r>
      <w:r>
        <w:rPr>
          <w:rFonts w:cs="Arial" w:ascii="Arial" w:hAnsi="Arial"/>
          <w:sz w:val="22"/>
        </w:rPr>
        <w:t xml:space="preserve"> of PDVSA in favor or Enron LNG Atlantic Ltd.; </w:t>
      </w:r>
      <w:r>
        <w:rPr>
          <w:rFonts w:cs="Arial" w:ascii="Arial" w:hAnsi="Arial"/>
          <w:b/>
          <w:sz w:val="22"/>
        </w:rPr>
        <w:t>Guaranty</w:t>
      </w:r>
      <w:r>
        <w:rPr>
          <w:rFonts w:cs="Arial" w:ascii="Arial" w:hAnsi="Arial"/>
          <w:sz w:val="22"/>
        </w:rPr>
        <w:t xml:space="preserve"> of Enron Corp. in favor of PDVSA; and </w:t>
      </w:r>
      <w:r>
        <w:rPr>
          <w:rFonts w:cs="Arial" w:ascii="Arial" w:hAnsi="Arial"/>
          <w:b/>
          <w:sz w:val="22"/>
        </w:rPr>
        <w:t xml:space="preserve">Participation Agreement </w:t>
      </w:r>
      <w:r>
        <w:rPr>
          <w:rFonts w:cs="Arial" w:ascii="Arial" w:hAnsi="Arial"/>
          <w:sz w:val="22"/>
        </w:rPr>
        <w:t>between PDVSA-Gas S.A. and Enron LNG Atlantic Ltd.</w:t>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r>
    </w:p>
    <w:p>
      <w:pPr>
        <w:pStyle w:val="Normal"/>
        <w:ind w:start="720" w:end="0"/>
        <w:jc w:val="both"/>
        <w:rPr/>
      </w:pPr>
      <w:r>
        <w:rPr>
          <w:rFonts w:cs="Arial" w:ascii="Arial" w:hAnsi="Arial"/>
          <w:sz w:val="22"/>
        </w:rPr>
        <w:t xml:space="preserve">A specific listing of all of the contracts relating to this project, both executed and presently under negotiation, is attached as </w:t>
      </w:r>
      <w:r>
        <w:rPr>
          <w:rFonts w:cs="Arial" w:ascii="Arial" w:hAnsi="Arial"/>
          <w:sz w:val="22"/>
          <w:u w:val="single"/>
        </w:rPr>
        <w:t>Exhibit B</w:t>
      </w:r>
      <w:r>
        <w:rPr>
          <w:rFonts w:cs="Arial" w:ascii="Arial" w:hAnsi="Arial"/>
          <w:sz w:val="22"/>
        </w:rPr>
        <w:t>.</w:t>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r>
    </w:p>
    <w:p>
      <w:pPr>
        <w:pStyle w:val="Normal"/>
        <w:tabs>
          <w:tab w:val="left" w:pos="720" w:leader="none"/>
          <w:tab w:val="left" w:pos="1800" w:leader="none"/>
          <w:tab w:val="left" w:pos="2880" w:leader="none"/>
          <w:tab w:val="left" w:pos="4140" w:leader="none"/>
        </w:tabs>
        <w:rPr>
          <w:rFonts w:ascii="Arial" w:hAnsi="Arial" w:cs="Arial"/>
          <w:b/>
          <w:sz w:val="22"/>
        </w:rPr>
      </w:pPr>
      <w:r>
        <w:rPr>
          <w:rFonts w:cs="Arial" w:ascii="Arial" w:hAnsi="Arial"/>
          <w:b/>
          <w:sz w:val="22"/>
        </w:rPr>
        <w:t>B.</w:t>
        <w:tab/>
        <w:t>Egypt LNG Project</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3600" w:leader="none"/>
          <w:tab w:val="left" w:pos="4320" w:leader="none"/>
        </w:tabs>
        <w:ind w:hanging="720" w:start="720" w:end="0"/>
        <w:jc w:val="both"/>
        <w:rPr>
          <w:rFonts w:ascii="Arial" w:hAnsi="Arial" w:cs="Arial"/>
          <w:sz w:val="22"/>
        </w:rPr>
      </w:pPr>
      <w:r>
        <w:rPr>
          <w:rFonts w:cs="Arial" w:ascii="Arial" w:hAnsi="Arial"/>
          <w:sz w:val="22"/>
        </w:rPr>
        <w:tab/>
        <w:t>Enron Global LNG LLC has made a presentation to Egyptian General Petroleum Corporation (“EGPC”) to assist in structuring, developing and financing its proposed greenfield LNG facilities in the Nile River delta area, and to assist and participate in LNG marketing into Europe and the Mediterranean Basin.  To date no contracts are underway.</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Heading7"/>
        <w:ind w:hanging="0" w:start="0"/>
        <w:rPr/>
      </w:pPr>
      <w:r>
        <w:rPr/>
        <w:t>C.</w:t>
        <w:tab/>
        <w:t>Qatar LNG</w:t>
      </w:r>
    </w:p>
    <w:p>
      <w:pPr>
        <w:pStyle w:val="Normal"/>
        <w:rPr/>
      </w:pPr>
      <w:r>
        <w:rPr/>
      </w:r>
    </w:p>
    <w:p>
      <w:pPr>
        <w:pStyle w:val="Normal"/>
        <w:ind w:start="720" w:end="0"/>
        <w:jc w:val="both"/>
        <w:rPr>
          <w:rFonts w:ascii="Arial" w:hAnsi="Arial" w:cs="Arial"/>
          <w:sz w:val="22"/>
        </w:rPr>
      </w:pPr>
      <w:r>
        <w:rPr>
          <w:rFonts w:cs="Arial" w:ascii="Arial" w:hAnsi="Arial"/>
          <w:sz w:val="22"/>
        </w:rPr>
        <w:t>This is a terminated LNG liquefaction and export project with Qatar General Petroleum Corporation which may have some residual contract obligations in the nature of secrecy obligations and fee obligations in the event of future project development activities.</w:t>
      </w:r>
    </w:p>
    <w:p>
      <w:pPr>
        <w:pStyle w:val="Normal"/>
        <w:ind w:start="720" w:end="0"/>
        <w:jc w:val="both"/>
        <w:rPr>
          <w:rFonts w:ascii="Arial" w:hAnsi="Arial" w:cs="Arial"/>
          <w:sz w:val="22"/>
        </w:rPr>
      </w:pPr>
      <w:r>
        <w:rPr>
          <w:rFonts w:cs="Arial" w:ascii="Arial" w:hAnsi="Arial"/>
          <w:sz w:val="22"/>
        </w:rPr>
      </w:r>
    </w:p>
    <w:p>
      <w:pPr>
        <w:pStyle w:val="Normal"/>
        <w:ind w:start="720" w:end="0"/>
        <w:jc w:val="both"/>
        <w:rPr/>
      </w:pPr>
      <w:r>
        <w:rPr>
          <w:rFonts w:cs="Arial" w:ascii="Arial" w:hAnsi="Arial"/>
          <w:sz w:val="22"/>
        </w:rPr>
        <w:t xml:space="preserve">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ind w:start="720" w:end="0"/>
        <w:jc w:val="both"/>
        <w:rPr>
          <w:rFonts w:ascii="Arial" w:hAnsi="Arial" w:cs="Arial"/>
          <w:sz w:val="22"/>
        </w:rPr>
      </w:pPr>
      <w:r>
        <w:rPr>
          <w:rFonts w:cs="Arial" w:ascii="Arial" w:hAnsi="Arial"/>
          <w:sz w:val="22"/>
        </w:rPr>
      </w:r>
    </w:p>
    <w:p>
      <w:pPr>
        <w:pStyle w:val="Heading9"/>
        <w:rPr>
          <w:rFonts w:ascii="Arial" w:hAnsi="Arial" w:cs="Arial"/>
          <w:sz w:val="22"/>
        </w:rPr>
      </w:pPr>
      <w:r>
        <w:rPr>
          <w:rFonts w:cs="Arial"/>
          <w:sz w:val="22"/>
        </w:rPr>
      </w:r>
    </w:p>
    <w:p>
      <w:pPr>
        <w:pStyle w:val="Heading9"/>
        <w:rPr>
          <w:sz w:val="22"/>
        </w:rPr>
      </w:pPr>
      <w:r>
        <w:rPr/>
        <w:t>IV.</w:t>
        <w:tab/>
        <w:t>MERCHANT TRADING CONTRACTS</w:t>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tab/>
      </w:r>
    </w:p>
    <w:p>
      <w:pPr>
        <w:pStyle w:val="Heading3"/>
        <w:numPr>
          <w:ilvl w:val="1"/>
          <w:numId w:val="11"/>
        </w:numPr>
        <w:tabs>
          <w:tab w:val="clear" w:pos="1800"/>
          <w:tab w:val="clear" w:pos="4140"/>
          <w:tab w:val="left" w:pos="720" w:leader="none"/>
          <w:tab w:val="left" w:pos="144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LNG Sale to SONAT Energy Services/EL Paso Merchant Energy (Elba Island LNG Terminal)</w:t>
      </w:r>
    </w:p>
    <w:p>
      <w:pPr>
        <w:pStyle w:val="Normal"/>
        <w:jc w:val="both"/>
        <w:rPr>
          <w:rFonts w:ascii="Arial" w:hAnsi="Arial" w:cs="Arial"/>
          <w:sz w:val="22"/>
        </w:rPr>
      </w:pPr>
      <w:r>
        <w:rPr>
          <w:rFonts w:cs="Arial" w:ascii="Arial" w:hAnsi="Arial"/>
          <w:sz w:val="22"/>
        </w:rPr>
      </w:r>
    </w:p>
    <w:p>
      <w:pPr>
        <w:pStyle w:val="Normal"/>
        <w:ind w:start="720" w:end="0"/>
        <w:jc w:val="both"/>
        <w:rPr/>
      </w:pPr>
      <w:r>
        <w:rPr>
          <w:rFonts w:cs="Arial" w:ascii="Arial" w:hAnsi="Arial"/>
          <w:sz w:val="22"/>
        </w:rPr>
        <w:t xml:space="preserve">This transaction, which originated out of Enron Americas LNG Company’s (“EALC”) rejected bid for access to Southern LNG’s (“SLNG”) Elba Island LNG terminal facility, involves the optional sale by EALC of certain quantities of LNG to SONAT Energy Services Company (“SONAT”), an affiliate of SLNG, for delivery at Southern LNG’s LNG terminal at Elba Island located in Savannah, Georgia.  EALC and SONAT have entered into a </w:t>
      </w:r>
      <w:r>
        <w:rPr>
          <w:rFonts w:cs="Arial" w:ascii="Arial" w:hAnsi="Arial"/>
          <w:b/>
          <w:sz w:val="22"/>
        </w:rPr>
        <w:t>settlement letter agreement</w:t>
      </w:r>
      <w:r>
        <w:rPr>
          <w:rFonts w:cs="Arial" w:ascii="Arial" w:hAnsi="Arial"/>
          <w:sz w:val="22"/>
        </w:rPr>
        <w:t xml:space="preserve"> (the “Settlement Agreement”) that contains a binding </w:t>
      </w:r>
      <w:r>
        <w:rPr>
          <w:rFonts w:cs="Arial" w:ascii="Arial" w:hAnsi="Arial"/>
          <w:b/>
          <w:sz w:val="22"/>
        </w:rPr>
        <w:t>Term Sheet</w:t>
      </w:r>
      <w:r>
        <w:rPr>
          <w:rFonts w:cs="Arial" w:ascii="Arial" w:hAnsi="Arial"/>
          <w:sz w:val="22"/>
        </w:rPr>
        <w:t xml:space="preserve"> which provides the interim terms and conditions under which EALC may sell and deliver, and SONAT will receive and pay for, certain quantities of LNG at the Elba Island LNG terminal prior to execution of the definitive LNG Sale and Purchase Agreement.  In the event that the definitive LNG SPA is not executed, EALC has the option of proceeding with this transaction under the Term Sheet or putting the Term Sheet, SPA drafts and position paper to an expert for a binding and non-appealable determination of all open issues. </w:t>
      </w:r>
    </w:p>
    <w:p>
      <w:pPr>
        <w:pStyle w:val="Normal"/>
        <w:ind w:start="720" w:end="0"/>
        <w:jc w:val="both"/>
        <w:rPr>
          <w:rFonts w:ascii="Arial" w:hAnsi="Arial" w:cs="Arial"/>
          <w:sz w:val="22"/>
        </w:rPr>
      </w:pPr>
      <w:r>
        <w:rPr>
          <w:rFonts w:cs="Arial" w:ascii="Arial" w:hAnsi="Arial"/>
          <w:sz w:val="22"/>
        </w:rPr>
      </w:r>
    </w:p>
    <w:p>
      <w:pPr>
        <w:pStyle w:val="Normal"/>
        <w:ind w:start="720" w:end="0"/>
        <w:jc w:val="both"/>
        <w:rPr/>
      </w:pPr>
      <w:r>
        <w:rPr>
          <w:rFonts w:cs="Arial" w:ascii="Arial" w:hAnsi="Arial"/>
          <w:sz w:val="22"/>
        </w:rPr>
        <w:t xml:space="preserve">SONAT’s parent organization subsequently merged with El Paso Energy Corp. and in connection therewith El Paso Merchant Energy – Gas L.P. (“El Paso Gas”) is being put forth by El Paso Energy Corp. as the proposed purchaser of LNG from EALC.  We are currently negotiating the following documents with El Paso Gas: </w:t>
      </w:r>
      <w:r>
        <w:rPr>
          <w:rFonts w:cs="Arial" w:ascii="Arial" w:hAnsi="Arial"/>
          <w:b/>
          <w:sz w:val="22"/>
        </w:rPr>
        <w:t>LNG Sale and Purchase Agreement</w:t>
      </w:r>
      <w:r>
        <w:rPr>
          <w:rFonts w:cs="Arial" w:ascii="Arial" w:hAnsi="Arial"/>
          <w:sz w:val="22"/>
        </w:rPr>
        <w:t xml:space="preserve"> between El Paso Gas and EALC; </w:t>
      </w:r>
      <w:r>
        <w:rPr>
          <w:rFonts w:cs="Arial" w:ascii="Arial" w:hAnsi="Arial"/>
          <w:b/>
          <w:sz w:val="22"/>
        </w:rPr>
        <w:t>Guaranty</w:t>
      </w:r>
      <w:r>
        <w:rPr>
          <w:rFonts w:cs="Arial" w:ascii="Arial" w:hAnsi="Arial"/>
          <w:sz w:val="22"/>
        </w:rPr>
        <w:t xml:space="preserve"> by Enron Corp. in favor of El Paso Energy Corp.; </w:t>
      </w:r>
      <w:r>
        <w:rPr>
          <w:rFonts w:cs="Arial" w:ascii="Arial" w:hAnsi="Arial"/>
          <w:b/>
          <w:sz w:val="22"/>
        </w:rPr>
        <w:t>Guaranty</w:t>
      </w:r>
      <w:r>
        <w:rPr>
          <w:rFonts w:cs="Arial" w:ascii="Arial" w:hAnsi="Arial"/>
          <w:sz w:val="22"/>
        </w:rPr>
        <w:t xml:space="preserve"> by El Paso Energy Corp. in favor of EALC; </w:t>
      </w:r>
      <w:r>
        <w:rPr>
          <w:rFonts w:cs="Arial" w:ascii="Arial" w:hAnsi="Arial"/>
          <w:b/>
          <w:sz w:val="22"/>
        </w:rPr>
        <w:t>Scheduling Agreement</w:t>
      </w:r>
      <w:r>
        <w:rPr>
          <w:rFonts w:cs="Arial" w:ascii="Arial" w:hAnsi="Arial"/>
          <w:sz w:val="22"/>
        </w:rPr>
        <w:t xml:space="preserve"> among British Gas, EALC, El Paso Gas and Southern LNG; and </w:t>
      </w:r>
      <w:r>
        <w:rPr>
          <w:rFonts w:cs="Arial" w:ascii="Arial" w:hAnsi="Arial"/>
          <w:b/>
          <w:sz w:val="22"/>
        </w:rPr>
        <w:t>LNG Quality Agreement</w:t>
      </w:r>
      <w:r>
        <w:rPr>
          <w:rFonts w:cs="Arial" w:ascii="Arial" w:hAnsi="Arial"/>
          <w:sz w:val="22"/>
        </w:rPr>
        <w:t xml:space="preserve"> between El Paso Gas and EALC.  We recently intervened in SLNG’s FERC proceeding (involving the reactivation and expansion of the receiving terminal facilities) in order to urge FERC to assist in resolving a technical issue concerning SLNG’s ability to process high-GHV LNG (to which EALC has access from the Middle East) through its facilities upon completion of expansion activities.</w:t>
      </w:r>
    </w:p>
    <w:p>
      <w:pPr>
        <w:pStyle w:val="Normal"/>
        <w:tabs>
          <w:tab w:val="left" w:pos="720" w:leader="none"/>
          <w:tab w:val="left" w:pos="2880" w:leader="none"/>
          <w:tab w:val="left" w:pos="3600" w:leader="none"/>
          <w:tab w:val="left" w:pos="4320" w:leader="none"/>
        </w:tabs>
        <w:ind w:hanging="720" w:start="720" w:end="0"/>
        <w:jc w:val="both"/>
        <w:rPr/>
      </w:pPr>
      <w:r>
        <w:rPr/>
        <w:tab/>
      </w:r>
    </w:p>
    <w:p>
      <w:pPr>
        <w:pStyle w:val="Normal"/>
        <w:tabs>
          <w:tab w:val="left" w:pos="720" w:leader="none"/>
        </w:tabs>
        <w:ind w:hanging="720" w:start="720" w:end="0"/>
        <w:jc w:val="both"/>
        <w:rPr/>
      </w:pPr>
      <w:r>
        <w:rPr/>
        <w:tab/>
      </w:r>
      <w:r>
        <w:rPr>
          <w:rFonts w:cs="Arial" w:ascii="Arial" w:hAnsi="Arial"/>
          <w:sz w:val="22"/>
        </w:rPr>
        <w:t xml:space="preserve">A Table comparison of the major terms of the LNG Sale and Purchase Agreement, as well as Enron’s other LNG merchant trading contracts, is attached as </w:t>
      </w:r>
      <w:r>
        <w:rPr>
          <w:rFonts w:cs="Arial" w:ascii="Arial" w:hAnsi="Arial"/>
          <w:sz w:val="22"/>
          <w:u w:val="single"/>
        </w:rPr>
        <w:t>Exhibit A (Part 3)</w:t>
      </w:r>
      <w:r>
        <w:rPr>
          <w:rFonts w:cs="Arial" w:ascii="Arial" w:hAnsi="Arial"/>
          <w:sz w:val="22"/>
        </w:rPr>
        <w:t xml:space="preserve">.  A specific listing of all of the contracts relating to this project, both executed and presently under negotiation, is attached as </w:t>
      </w:r>
      <w:r>
        <w:rPr>
          <w:rFonts w:cs="Arial" w:ascii="Arial" w:hAnsi="Arial"/>
          <w:sz w:val="22"/>
          <w:u w:val="single"/>
        </w:rPr>
        <w:t>Exhibit B</w:t>
      </w:r>
      <w:r>
        <w:rPr>
          <w:rFonts w:cs="Arial" w:ascii="Arial" w:hAnsi="Arial"/>
          <w:sz w:val="22"/>
        </w:rPr>
        <w:t>.</w:t>
      </w:r>
    </w:p>
    <w:p>
      <w:pPr>
        <w:pStyle w:val="Normal"/>
        <w:tabs>
          <w:tab w:val="left" w:pos="72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r>
    </w:p>
    <w:p>
      <w:pPr>
        <w:pStyle w:val="Heading6"/>
        <w:numPr>
          <w:ilvl w:val="1"/>
          <w:numId w:val="11"/>
        </w:numPr>
        <w:jc w:val="both"/>
        <w:rPr/>
      </w:pPr>
      <w:r>
        <w:rPr/>
        <w:t>AdGas Master Spot LNG Purchase &amp; Sale Agreement</w:t>
      </w:r>
    </w:p>
    <w:p>
      <w:pPr>
        <w:pStyle w:val="Normal"/>
        <w:jc w:val="both"/>
        <w:rPr/>
      </w:pPr>
      <w:r>
        <w:rPr/>
      </w:r>
    </w:p>
    <w:p>
      <w:pPr>
        <w:pStyle w:val="Normal"/>
        <w:tabs>
          <w:tab w:val="left" w:pos="720" w:leader="none"/>
          <w:tab w:val="left" w:pos="1440" w:leader="none"/>
          <w:tab w:val="left" w:pos="2160" w:leader="none"/>
          <w:tab w:val="left" w:pos="3600" w:leader="none"/>
          <w:tab w:val="left" w:pos="4320" w:leader="none"/>
        </w:tabs>
        <w:ind w:hanging="720" w:start="720" w:end="0"/>
        <w:jc w:val="both"/>
        <w:rPr/>
      </w:pPr>
      <w:r>
        <w:rPr>
          <w:rFonts w:cs="Arial" w:ascii="Arial" w:hAnsi="Arial"/>
          <w:sz w:val="22"/>
        </w:rPr>
        <w:tab/>
        <w:t xml:space="preserve">This transaction involves the periodic purchase by Enron International Gas Sales Company (“EIGSC”) of spot cargoes of LNG from Abu Dhabi Gas Liquefaction Company Ltd. (“AdGas”) pursuant to an executed “evergreen” </w:t>
      </w:r>
      <w:r>
        <w:rPr>
          <w:rFonts w:cs="Arial" w:ascii="Arial" w:hAnsi="Arial"/>
          <w:b/>
          <w:sz w:val="22"/>
        </w:rPr>
        <w:t>Master Spot LNG Sale and Purchase Agreement (Ex-Ship)</w:t>
      </w:r>
      <w:r>
        <w:rPr>
          <w:rFonts w:cs="Arial" w:ascii="Arial" w:hAnsi="Arial"/>
          <w:sz w:val="22"/>
        </w:rPr>
        <w:t xml:space="preserve"> (the “Master Agreement”).  Pursuant to the Master Agreement, EIGSC may confirm individual LNG spot cargoes or a series of LNG spot cargoes pursuant to an LNG Purchase Confirmation Notice, which if accepted by AdGas forms the basis of a binding commitment to sell and purchase the referenced LNG cargo(es).  In order to take delivery of and resell confirmed cargoes at Trunkline LNG Company’s (“Trunkline”) LNG terminal facilities at Lake Charles, Louisiana, EIGSC has (a) entered into a Terminaling Services Agreement with Trunkline (which incorporates the terms of Trunkline’s FERC Gas Tariff [filed effective June 1, 1998]), (b) applied for and received a LNG Import Permit (Blanket) issued by the United States Department of Energy, and (c) executed a Master Flexible Gas Sales Agreement w/Enron Corp./ENA.  We have purchased and taken delivery (at Lake Charles, Louisiana) of thee spot LNG cargoes and we are in regular communication with AdGas as to the availability of additional cargoes. </w:t>
      </w:r>
    </w:p>
    <w:p>
      <w:pPr>
        <w:pStyle w:val="Normal"/>
        <w:tabs>
          <w:tab w:val="left" w:pos="720" w:leader="none"/>
          <w:tab w:val="left" w:pos="1440" w:leader="none"/>
          <w:tab w:val="left" w:pos="2160" w:leader="none"/>
          <w:tab w:val="left" w:pos="3600" w:leader="none"/>
          <w:tab w:val="left" w:pos="4320" w:leader="none"/>
        </w:tabs>
        <w:ind w:hanging="720" w:start="720" w:end="0"/>
        <w:jc w:val="both"/>
        <w:rPr>
          <w:rFonts w:ascii="Arial" w:hAnsi="Arial" w:cs="Arial"/>
          <w:sz w:val="22"/>
        </w:rPr>
      </w:pPr>
      <w:r>
        <w:rPr>
          <w:rFonts w:cs="Arial" w:ascii="Arial" w:hAnsi="Arial"/>
          <w:sz w:val="22"/>
        </w:rPr>
      </w:r>
    </w:p>
    <w:p>
      <w:pPr>
        <w:pStyle w:val="Normal"/>
        <w:tabs>
          <w:tab w:val="left" w:pos="720" w:leader="none"/>
        </w:tabs>
        <w:ind w:hanging="720" w:start="720" w:end="0"/>
        <w:jc w:val="both"/>
        <w:rPr/>
      </w:pPr>
      <w:r>
        <w:rPr>
          <w:rFonts w:cs="Arial" w:ascii="Arial" w:hAnsi="Arial"/>
          <w:sz w:val="22"/>
        </w:rPr>
        <w:tab/>
        <w:t xml:space="preserve">A Table comparison of the major terms of the Master Spot LNG Sale and Purchase Agreement, as well as Enron’s other LNG merchant trading contracts, is attached as </w:t>
      </w:r>
      <w:r>
        <w:rPr>
          <w:rFonts w:cs="Arial" w:ascii="Arial" w:hAnsi="Arial"/>
          <w:sz w:val="22"/>
          <w:u w:val="single"/>
        </w:rPr>
        <w:t>Exhibit A (Part 3)</w:t>
      </w:r>
      <w:r>
        <w:rPr>
          <w:rFonts w:cs="Arial" w:ascii="Arial" w:hAnsi="Arial"/>
          <w:sz w:val="22"/>
        </w:rPr>
        <w:t xml:space="preserve">.  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b/>
          <w:sz w:val="22"/>
        </w:rPr>
      </w:pPr>
      <w:r>
        <w:rPr>
          <w:rFonts w:cs="Arial" w:ascii="Arial" w:hAnsi="Arial"/>
          <w:b/>
          <w:sz w:val="22"/>
        </w:rPr>
      </w:r>
    </w:p>
    <w:p>
      <w:pPr>
        <w:pStyle w:val="Heading4"/>
        <w:numPr>
          <w:ilvl w:val="1"/>
          <w:numId w:val="11"/>
        </w:numPr>
        <w:tabs>
          <w:tab w:val="clear" w:pos="720"/>
          <w:tab w:val="left" w:pos="1440" w:leader="none"/>
          <w:tab w:val="left" w:pos="2160" w:leader="none"/>
          <w:tab w:val="left" w:pos="3600" w:leader="none"/>
          <w:tab w:val="left" w:pos="4320" w:leader="none"/>
        </w:tabs>
        <w:jc w:val="both"/>
        <w:rPr/>
      </w:pPr>
      <w:r>
        <w:rPr/>
        <w:t>Oman LNG Master Spot LNG Sale and Purchase Agreement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ind w:start="720" w:end="0"/>
        <w:jc w:val="both"/>
        <w:rPr/>
      </w:pPr>
      <w:r>
        <w:rPr>
          <w:rFonts w:cs="Arial" w:ascii="Arial" w:hAnsi="Arial"/>
          <w:sz w:val="22"/>
        </w:rPr>
        <w:t xml:space="preserve">This transaction involves the potential purchase by EIGSC of certain spot cargoes of LNG from Oman LNG, LLC (“OLNG”) pursuant to an “evergreen” </w:t>
      </w:r>
      <w:r>
        <w:rPr>
          <w:rFonts w:cs="Arial" w:ascii="Arial" w:hAnsi="Arial"/>
          <w:b/>
          <w:sz w:val="22"/>
        </w:rPr>
        <w:t>Master Spot LNG Sale and Purchase Agreement (FOB)</w:t>
      </w:r>
      <w:r>
        <w:rPr>
          <w:rFonts w:cs="Arial" w:ascii="Arial" w:hAnsi="Arial"/>
          <w:sz w:val="22"/>
        </w:rPr>
        <w:t xml:space="preserve"> (the “Master Agreement”), and an LNG Vessel Time Charter Party between Enron LNG Shipping Company and OLNG, both of which are presently under negotiation.  Upon execution of the Master Agreement, EIGSC may confirm individual LNG spot cargoes or a series of LNG spot cargoes pursuant to an LNG Purchase Confirmation Notice, which if accepted by OLNG forms the basis of a binding commitment to sell and purchase the referenced LNG cargo(es), and pursuant to the Time Charter provides EIGSC with the ability to utilize the excess capacity of a vessel currently under charter by OLNG to deliver the cargo(es).  We expect to take delivery of our first LNG spot cargo from OLNG at Lake Charles, Louisiana on Saturday, September 22, 2000 and we are in regular communication with OLNG as to the availability of additional cargoes.  </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ind w:hanging="720" w:start="720" w:end="0"/>
        <w:jc w:val="both"/>
        <w:rPr>
          <w:rFonts w:ascii="Arial" w:hAnsi="Arial" w:cs="Arial"/>
          <w:b/>
          <w:sz w:val="22"/>
        </w:rPr>
      </w:pPr>
      <w:r>
        <w:rPr>
          <w:rFonts w:cs="Arial" w:ascii="Arial" w:hAnsi="Arial"/>
          <w:b/>
          <w:sz w:val="22"/>
        </w:rPr>
        <w:tab/>
      </w:r>
      <w:r>
        <w:rPr>
          <w:rFonts w:cs="Arial" w:ascii="Arial" w:hAnsi="Arial"/>
          <w:sz w:val="22"/>
        </w:rPr>
        <w:t xml:space="preserve">A Table comparison of the major terms of the Master Spot LNG Sale and Purchase Agreement, as well as Enron’s other LNG merchant trading contracts, is attached as </w:t>
      </w:r>
      <w:r>
        <w:rPr>
          <w:rFonts w:cs="Arial" w:ascii="Arial" w:hAnsi="Arial"/>
          <w:sz w:val="22"/>
          <w:u w:val="single"/>
        </w:rPr>
        <w:t>Exhibit A (Part 3)</w:t>
      </w:r>
      <w:r>
        <w:rPr>
          <w:rFonts w:cs="Arial" w:ascii="Arial" w:hAnsi="Arial"/>
          <w:sz w:val="22"/>
        </w:rPr>
        <w:t xml:space="preserve">.  A specific listing of all of the contracts relating to this project is attached as </w:t>
      </w:r>
      <w:r>
        <w:rPr>
          <w:rFonts w:cs="Arial" w:ascii="Arial" w:hAnsi="Arial"/>
          <w:sz w:val="22"/>
          <w:u w:val="single"/>
        </w:rPr>
        <w:t>Exhibit B</w:t>
      </w:r>
      <w:r>
        <w:rPr>
          <w:rFonts w:cs="Arial" w:ascii="Arial" w:hAnsi="Arial"/>
          <w:sz w:val="22"/>
        </w:rPr>
        <w: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Heading4"/>
        <w:numPr>
          <w:ilvl w:val="1"/>
          <w:numId w:val="11"/>
        </w:numPr>
        <w:tabs>
          <w:tab w:val="clear" w:pos="720"/>
          <w:tab w:val="left" w:pos="1440" w:leader="none"/>
          <w:tab w:val="left" w:pos="2160" w:leader="none"/>
          <w:tab w:val="left" w:pos="3600" w:leader="none"/>
          <w:tab w:val="left" w:pos="4320" w:leader="none"/>
        </w:tabs>
        <w:jc w:val="both"/>
        <w:rPr/>
      </w:pPr>
      <w:r>
        <w:rPr/>
        <w:t>Nigeria LNG Master Spot LNG Sale and Purchase Agreement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ind w:start="720" w:end="0"/>
        <w:jc w:val="both"/>
        <w:rPr/>
      </w:pPr>
      <w:r>
        <w:rPr>
          <w:rFonts w:cs="Arial" w:ascii="Arial" w:hAnsi="Arial"/>
          <w:sz w:val="22"/>
        </w:rPr>
        <w:t xml:space="preserve">This transaction involves the potential purchase by EIGSC of spot cargoes of LNG from Nigeria LNG Limited (“NLNG”) pursuant to an “evergreen” </w:t>
      </w:r>
      <w:r>
        <w:rPr>
          <w:rFonts w:cs="Arial" w:ascii="Arial" w:hAnsi="Arial"/>
          <w:b/>
          <w:sz w:val="22"/>
        </w:rPr>
        <w:t>Master Spot LNG Sale and Purchase Agreement (Ex-Ship)</w:t>
      </w:r>
      <w:r>
        <w:rPr>
          <w:rFonts w:cs="Arial" w:ascii="Arial" w:hAnsi="Arial"/>
          <w:sz w:val="22"/>
        </w:rPr>
        <w:t xml:space="preserve"> (the “Master Agreement”) which is presently under negotiation.  Upon execution of the Master Agreement, EIGSC may confirm individual LNG spot cargoes or a series of LNG spot cargoes pursuant to an LNG Purchase Confirmation Notice, which if accepted by NLNG forms the basis of a binding commitment to sell and purchase the referenced LNG cargo(es).  We have in place an executed </w:t>
      </w:r>
      <w:r>
        <w:rPr>
          <w:rFonts w:cs="Arial" w:ascii="Arial" w:hAnsi="Arial"/>
          <w:b/>
          <w:sz w:val="22"/>
        </w:rPr>
        <w:t>Confidentiality Agreement</w:t>
      </w:r>
      <w:r>
        <w:rPr>
          <w:rFonts w:cs="Arial" w:ascii="Arial" w:hAnsi="Arial"/>
          <w:sz w:val="22"/>
        </w:rPr>
        <w:t xml:space="preserve"> with NLNG.</w:t>
      </w:r>
    </w:p>
    <w:p>
      <w:pPr>
        <w:pStyle w:val="Normal"/>
        <w:tabs>
          <w:tab w:val="left" w:pos="72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ind w:hanging="720" w:start="720" w:end="0"/>
        <w:jc w:val="both"/>
        <w:rPr/>
      </w:pPr>
      <w:r>
        <w:rPr>
          <w:rFonts w:cs="Arial" w:ascii="Arial" w:hAnsi="Arial"/>
          <w:sz w:val="22"/>
        </w:rPr>
        <w:tab/>
        <w:t xml:space="preserve">A specific listing of all of the contracts relating to this project, both executed and presently under negotiation, is attached as </w:t>
      </w:r>
      <w:r>
        <w:rPr>
          <w:rFonts w:cs="Arial" w:ascii="Arial" w:hAnsi="Arial"/>
          <w:sz w:val="22"/>
          <w:u w:val="single"/>
        </w:rPr>
        <w:t>Exhibit B</w:t>
      </w:r>
      <w:r>
        <w:rPr>
          <w:rFonts w:cs="Arial" w:ascii="Arial" w:hAnsi="Arial"/>
          <w:sz w:val="22"/>
        </w:rPr>
        <w:t>.</w:t>
      </w:r>
    </w:p>
    <w:p>
      <w:pPr>
        <w:pStyle w:val="Normal"/>
        <w:tabs>
          <w:tab w:val="left" w:pos="720" w:leader="none"/>
          <w:tab w:val="left" w:pos="2880" w:leader="none"/>
          <w:tab w:val="left" w:pos="3600" w:leader="none"/>
          <w:tab w:val="left" w:pos="4320" w:leader="none"/>
        </w:tabs>
        <w:ind w:hanging="720" w:start="720" w:end="0"/>
        <w:jc w:val="both"/>
        <w:rPr>
          <w:rFonts w:ascii="Arial" w:hAnsi="Arial" w:cs="Arial"/>
          <w:b/>
          <w:sz w:val="22"/>
        </w:rPr>
      </w:pPr>
      <w:r>
        <w:rPr>
          <w:rFonts w:cs="Arial" w:ascii="Arial" w:hAnsi="Arial"/>
          <w:b/>
          <w:sz w:val="22"/>
        </w:rPr>
      </w:r>
    </w:p>
    <w:p>
      <w:pPr>
        <w:pStyle w:val="Normal"/>
        <w:tabs>
          <w:tab w:val="left" w:pos="720" w:leader="none"/>
          <w:tab w:val="left" w:pos="2880" w:leader="none"/>
          <w:tab w:val="left" w:pos="3600" w:leader="none"/>
          <w:tab w:val="left" w:pos="4320" w:leader="none"/>
        </w:tabs>
        <w:ind w:hanging="720" w:start="720" w:end="0"/>
        <w:jc w:val="both"/>
        <w:rPr>
          <w:rFonts w:ascii="Arial" w:hAnsi="Arial" w:cs="Arial"/>
          <w:b/>
          <w:sz w:val="22"/>
        </w:rPr>
      </w:pPr>
      <w:r>
        <w:rPr>
          <w:rFonts w:cs="Arial" w:ascii="Arial" w:hAnsi="Arial"/>
          <w:b/>
          <w:sz w:val="22"/>
        </w:rPr>
        <w:t>E.</w:t>
        <w:tab/>
        <w:t>Malaysia LNG Master Spot LNG Purchase and Sale Agreement</w:t>
      </w:r>
    </w:p>
    <w:p>
      <w:pPr>
        <w:pStyle w:val="Heading4"/>
        <w:numPr>
          <w:ilvl w:val="0"/>
          <w:numId w:val="0"/>
        </w:numPr>
        <w:tabs>
          <w:tab w:val="clear" w:pos="720"/>
          <w:tab w:val="left" w:pos="1440" w:leader="none"/>
          <w:tab w:val="left" w:pos="2160" w:leader="none"/>
          <w:tab w:val="left" w:pos="3600" w:leader="none"/>
          <w:tab w:val="left" w:pos="4320" w:leader="none"/>
        </w:tabs>
        <w:ind w:hanging="0" w:start="0"/>
        <w:jc w:val="both"/>
        <w:rPr>
          <w:rFonts w:ascii="Arial" w:hAnsi="Arial" w:cs="Arial"/>
          <w:b w:val="false"/>
          <w:sz w:val="22"/>
        </w:rPr>
      </w:pPr>
      <w:r>
        <w:rPr>
          <w:rFonts w:cs="Arial"/>
          <w:b w:val="false"/>
          <w:sz w:val="22"/>
        </w:rPr>
      </w:r>
    </w:p>
    <w:p>
      <w:pPr>
        <w:pStyle w:val="Normal"/>
        <w:tabs>
          <w:tab w:val="left" w:pos="720" w:leader="none"/>
          <w:tab w:val="left" w:pos="2160" w:leader="none"/>
          <w:tab w:val="left" w:pos="3600" w:leader="none"/>
          <w:tab w:val="left" w:pos="4320" w:leader="none"/>
        </w:tabs>
        <w:ind w:start="720" w:end="0"/>
        <w:jc w:val="both"/>
        <w:rPr/>
      </w:pPr>
      <w:r>
        <w:rPr>
          <w:rFonts w:cs="Arial" w:ascii="Arial" w:hAnsi="Arial"/>
          <w:sz w:val="22"/>
        </w:rPr>
        <w:t xml:space="preserve">This transaction involves the potential purchase by EIGSC of spot cargoes of LNG from Malaysia LNG Sdn. Bhd. (“MLNG”) pursuant to an “evergreen” </w:t>
      </w:r>
      <w:r>
        <w:rPr>
          <w:rFonts w:cs="Arial" w:ascii="Arial" w:hAnsi="Arial"/>
          <w:b/>
          <w:sz w:val="22"/>
        </w:rPr>
        <w:t>Master Spot LNG Sale and Purchase Agreement (Ex-Ship)</w:t>
      </w:r>
      <w:r>
        <w:rPr>
          <w:rFonts w:cs="Arial" w:ascii="Arial" w:hAnsi="Arial"/>
          <w:sz w:val="22"/>
        </w:rPr>
        <w:t xml:space="preserve"> and/or an “evergreen </w:t>
      </w:r>
      <w:r>
        <w:rPr>
          <w:rFonts w:cs="Arial" w:ascii="Arial" w:hAnsi="Arial"/>
          <w:b/>
          <w:sz w:val="22"/>
        </w:rPr>
        <w:t>Master Spot LNG Sale and Purchase Agreement (FOB)</w:t>
      </w:r>
      <w:r>
        <w:rPr>
          <w:rFonts w:cs="Arial" w:ascii="Arial" w:hAnsi="Arial"/>
          <w:sz w:val="22"/>
        </w:rPr>
        <w:t xml:space="preserve"> (collectively, the “Master Agreements”) which are presently under negotiation.  Upon execution of the Master Agreements, EIGSC may confirm individual LNG spot cargoes or a series of LNG spot cargoes on either FOB or Ex-Ship delivery terms pursuant to an LNG Purchase Confirmation Notice, which if accepted by NLNG forms the basis of a binding commitment to sell and purchase the referenced LNG cargo(es).  We have in place an executed </w:t>
      </w:r>
      <w:r>
        <w:rPr>
          <w:rFonts w:cs="Arial" w:ascii="Arial" w:hAnsi="Arial"/>
          <w:b/>
          <w:sz w:val="22"/>
        </w:rPr>
        <w:t>Confidentiality Agreement</w:t>
      </w:r>
      <w:r>
        <w:rPr>
          <w:rFonts w:cs="Arial" w:ascii="Arial" w:hAnsi="Arial"/>
          <w:sz w:val="22"/>
        </w:rPr>
        <w:t xml:space="preserve"> with MLNG.</w:t>
      </w:r>
    </w:p>
    <w:p>
      <w:pPr>
        <w:pStyle w:val="Normal"/>
        <w:ind w:hanging="720" w:start="720" w:end="0"/>
        <w:rPr/>
      </w:pPr>
      <w:r>
        <w:rPr/>
        <w:tab/>
      </w:r>
    </w:p>
    <w:p>
      <w:pPr>
        <w:pStyle w:val="Normal"/>
        <w:tabs>
          <w:tab w:val="left" w:pos="720" w:leader="none"/>
          <w:tab w:val="left" w:pos="2160" w:leader="none"/>
          <w:tab w:val="left" w:pos="3600" w:leader="none"/>
          <w:tab w:val="left" w:pos="4320" w:leader="none"/>
        </w:tabs>
        <w:ind w:hanging="720" w:start="720" w:end="0"/>
        <w:jc w:val="both"/>
        <w:rPr/>
      </w:pPr>
      <w:r>
        <w:rPr/>
        <w:tab/>
      </w:r>
      <w:r>
        <w:rPr>
          <w:rFonts w:cs="Arial" w:ascii="Arial" w:hAnsi="Arial"/>
          <w:sz w:val="22"/>
        </w:rPr>
        <w:t xml:space="preserve">A specific listing of all of the contracts relating to this project, both executed and presently under negotiation, is attached as </w:t>
      </w:r>
      <w:r>
        <w:rPr>
          <w:rFonts w:cs="Arial" w:ascii="Arial" w:hAnsi="Arial"/>
          <w:sz w:val="22"/>
          <w:u w:val="single"/>
        </w:rPr>
        <w:t>Exhibit B</w:t>
      </w:r>
      <w:r>
        <w:rPr>
          <w:rFonts w:cs="Arial" w:ascii="Arial" w:hAnsi="Arial"/>
          <w:sz w:val="22"/>
        </w:rPr>
        <w:t>.</w:t>
      </w:r>
    </w:p>
    <w:p>
      <w:pPr>
        <w:pStyle w:val="Heading4"/>
        <w:numPr>
          <w:ilvl w:val="0"/>
          <w:numId w:val="0"/>
        </w:numPr>
        <w:tabs>
          <w:tab w:val="left" w:pos="720" w:leader="none"/>
          <w:tab w:val="left" w:pos="1440" w:leader="none"/>
          <w:tab w:val="left" w:pos="2160" w:leader="none"/>
          <w:tab w:val="left" w:pos="3600" w:leader="none"/>
          <w:tab w:val="left" w:pos="4320" w:leader="none"/>
        </w:tabs>
        <w:ind w:hanging="0" w:start="0"/>
        <w:jc w:val="both"/>
        <w:rPr>
          <w:rFonts w:ascii="Arial" w:hAnsi="Arial" w:cs="Arial"/>
          <w:sz w:val="22"/>
        </w:rPr>
      </w:pPr>
      <w:r>
        <w:rPr>
          <w:rFonts w:cs="Arial"/>
          <w:sz w:val="22"/>
        </w:rPr>
      </w:r>
    </w:p>
    <w:p>
      <w:pPr>
        <w:pStyle w:val="Heading4"/>
        <w:numPr>
          <w:ilvl w:val="0"/>
          <w:numId w:val="0"/>
        </w:numPr>
        <w:tabs>
          <w:tab w:val="left" w:pos="720" w:leader="none"/>
          <w:tab w:val="left" w:pos="1440" w:leader="none"/>
          <w:tab w:val="left" w:pos="2160" w:leader="none"/>
          <w:tab w:val="left" w:pos="3600" w:leader="none"/>
          <w:tab w:val="left" w:pos="4320" w:leader="none"/>
        </w:tabs>
        <w:ind w:hanging="0" w:start="0"/>
        <w:jc w:val="both"/>
        <w:rPr/>
      </w:pPr>
      <w:r>
        <w:rPr/>
        <w:t>F.</w:t>
        <w:tab/>
        <w:t>RasGas Mid-Term LNG SPA</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ind w:start="720" w:end="0"/>
        <w:jc w:val="both"/>
        <w:rPr/>
      </w:pPr>
      <w:r>
        <w:rPr>
          <w:rFonts w:cs="Arial" w:ascii="Arial" w:hAnsi="Arial"/>
          <w:sz w:val="22"/>
        </w:rPr>
        <w:t xml:space="preserve">This transaction involves the potential purchase by EIGSC of spot cargoes of LNG from Ras Laffan Natural Gas Liquefaction Company Limited (“RasGas”) pursuant to an “evergreen” </w:t>
      </w:r>
      <w:r>
        <w:rPr>
          <w:rFonts w:cs="Arial" w:ascii="Arial" w:hAnsi="Arial"/>
          <w:b/>
          <w:sz w:val="22"/>
        </w:rPr>
        <w:t xml:space="preserve">Master Spot LNG Sale and Purchase Agreement (Ex-Ship) </w:t>
      </w:r>
      <w:r>
        <w:rPr>
          <w:rFonts w:cs="Arial" w:ascii="Arial" w:hAnsi="Arial"/>
          <w:sz w:val="22"/>
        </w:rPr>
        <w:t>(the “Master Agreement”) which is presently under negotiation.  Upon execution of the Master Agreement, EIGSC may confirm individual LNG spot cargoes or a series of LNG spot cargoes pursuant to an LNG Purchase Confirmation Notice, which if accepted by RasGas forms the basis of a binding commitment to sell and purchase the referenced LNG cargo(es).</w:t>
      </w:r>
    </w:p>
    <w:p>
      <w:pPr>
        <w:pStyle w:val="Normal"/>
        <w:tabs>
          <w:tab w:val="left" w:pos="72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ind w:hanging="720" w:start="720" w:end="0"/>
        <w:jc w:val="both"/>
        <w:rPr/>
      </w:pPr>
      <w:r>
        <w:rPr>
          <w:rFonts w:cs="Arial" w:ascii="Arial" w:hAnsi="Arial"/>
          <w:sz w:val="22"/>
        </w:rPr>
        <w:tab/>
        <w:t xml:space="preserve">A specific listing of all of the contracts relating to this project, both executed and presently under negotiation, is attached as </w:t>
      </w:r>
      <w:r>
        <w:rPr>
          <w:rFonts w:cs="Arial" w:ascii="Arial" w:hAnsi="Arial"/>
          <w:sz w:val="22"/>
          <w:u w:val="single"/>
        </w:rPr>
        <w:t>Exhibit B</w:t>
      </w:r>
      <w:r>
        <w:rPr>
          <w:rFonts w:cs="Arial" w:ascii="Arial" w:hAnsi="Arial"/>
          <w:sz w:val="22"/>
        </w:rPr>
        <w:t>.</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numPr>
          <w:ilvl w:val="0"/>
          <w:numId w:val="11"/>
        </w:numPr>
        <w:tabs>
          <w:tab w:val="clear" w:pos="720"/>
          <w:tab w:val="left" w:pos="2160" w:leader="none"/>
          <w:tab w:val="left" w:pos="3600" w:leader="none"/>
          <w:tab w:val="left" w:pos="4320" w:leader="none"/>
        </w:tabs>
        <w:jc w:val="both"/>
        <w:rPr>
          <w:rFonts w:ascii="Arial" w:hAnsi="Arial" w:cs="Arial"/>
          <w:b/>
          <w:sz w:val="28"/>
        </w:rPr>
      </w:pPr>
      <w:r>
        <w:rPr>
          <w:rFonts w:cs="Arial" w:ascii="Arial" w:hAnsi="Arial"/>
          <w:b/>
          <w:sz w:val="28"/>
        </w:rPr>
        <w:t>LNG Terminal Access Arrangements</w:t>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ssPara1"/>
        <w:numPr>
          <w:ilvl w:val="1"/>
          <w:numId w:val="11"/>
        </w:numPr>
        <w:tabs>
          <w:tab w:val="clear" w:pos="720"/>
          <w:tab w:val="left" w:pos="2160" w:leader="none"/>
          <w:tab w:val="left" w:pos="3600" w:leader="none"/>
          <w:tab w:val="left" w:pos="4320" w:leader="none"/>
        </w:tabs>
        <w:spacing w:before="0" w:after="0"/>
        <w:rPr>
          <w:b/>
          <w:lang w:val="en-US"/>
        </w:rPr>
      </w:pPr>
      <w:r>
        <w:rPr>
          <w:b/>
          <w:lang w:val="en-US"/>
        </w:rPr>
        <w:t xml:space="preserve">Dabhol, India </w:t>
      </w:r>
    </w:p>
    <w:p>
      <w:pPr>
        <w:pStyle w:val="ssPara1"/>
        <w:tabs>
          <w:tab w:val="left" w:pos="720" w:leader="none"/>
          <w:tab w:val="left" w:pos="2160" w:leader="none"/>
          <w:tab w:val="left" w:pos="3600" w:leader="none"/>
          <w:tab w:val="left" w:pos="4320" w:leader="none"/>
        </w:tabs>
        <w:spacing w:before="0" w:after="0"/>
        <w:rPr>
          <w:b/>
          <w:lang w:val="en-US"/>
        </w:rPr>
      </w:pPr>
      <w:r>
        <w:rPr>
          <w:b/>
          <w:lang w:val="en-US"/>
        </w:rPr>
      </w:r>
    </w:p>
    <w:p>
      <w:pPr>
        <w:pStyle w:val="Normal"/>
        <w:tabs>
          <w:tab w:val="left" w:pos="720" w:leader="none"/>
          <w:tab w:val="left" w:pos="2160" w:leader="none"/>
          <w:tab w:val="left" w:pos="3600" w:leader="none"/>
          <w:tab w:val="left" w:pos="4320" w:leader="none"/>
        </w:tabs>
        <w:ind w:hanging="720" w:start="720" w:end="0"/>
        <w:jc w:val="both"/>
        <w:rPr/>
      </w:pPr>
      <w:r>
        <w:rPr/>
        <w:tab/>
      </w:r>
      <w:r>
        <w:rPr>
          <w:rFonts w:cs="Arial" w:ascii="Arial" w:hAnsi="Arial"/>
          <w:sz w:val="22"/>
        </w:rPr>
        <w:t xml:space="preserve">Dabhol Power Company has access to the LNG receiving terminal, storage, regasification and send-out facilities by virtue of its direct ownership of the terminal facilities.  For a description of the DPC LNG IPP project, see section I (A) above.  MetGas has access, on a shared basis, to DPC’s LNG receiving terminal facilities pursuant to the </w:t>
      </w:r>
      <w:r>
        <w:rPr>
          <w:rFonts w:cs="Arial" w:ascii="Arial" w:hAnsi="Arial"/>
          <w:b/>
          <w:sz w:val="22"/>
        </w:rPr>
        <w:t>Terminal and Regasification Agreement</w:t>
      </w:r>
      <w:r>
        <w:rPr>
          <w:rFonts w:cs="Arial" w:ascii="Arial" w:hAnsi="Arial"/>
          <w:sz w:val="22"/>
        </w:rPr>
        <w:t xml:space="preserve"> referenced in section I (B) above.</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Heading7"/>
        <w:tabs>
          <w:tab w:val="clear" w:pos="1440"/>
          <w:tab w:val="left" w:pos="720" w:leader="none"/>
          <w:tab w:val="left" w:pos="2160" w:leader="none"/>
          <w:tab w:val="left" w:pos="3600" w:leader="none"/>
          <w:tab w:val="left" w:pos="4320" w:leader="none"/>
        </w:tabs>
        <w:ind w:hanging="0" w:start="0"/>
        <w:rPr/>
      </w:pPr>
      <w:r>
        <w:rPr/>
        <w:t>B.</w:t>
        <w:tab/>
        <w:t>Penuelas, Puerto Rico</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ind w:hanging="720" w:start="720" w:end="0"/>
        <w:jc w:val="both"/>
        <w:rPr/>
      </w:pPr>
      <w:r>
        <w:rPr>
          <w:rFonts w:cs="Arial" w:ascii="Arial" w:hAnsi="Arial"/>
          <w:sz w:val="22"/>
        </w:rPr>
        <w:tab/>
        <w:t xml:space="preserve">EcoElectrica has access to the LNG receiving terminal, storage, regasification and send-out facilities by virtue of its direct ownership of the terminal facilities.  For a description of the EcoElectrica LNG IPP project, ass section I (C) above.  ProCaribe has access, on a shared basis, to DPC’s LNG receiving terminal facilities pursuant to the </w:t>
      </w:r>
      <w:r>
        <w:rPr>
          <w:rFonts w:cs="Arial" w:ascii="Arial" w:hAnsi="Arial"/>
          <w:b/>
          <w:sz w:val="22"/>
        </w:rPr>
        <w:t>LNG Tolling Services Agreement</w:t>
      </w:r>
      <w:r>
        <w:rPr>
          <w:rFonts w:cs="Arial" w:ascii="Arial" w:hAnsi="Arial"/>
          <w:sz w:val="22"/>
        </w:rPr>
        <w:t xml:space="preserve"> referenced in section I (C) above.</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Heading7"/>
        <w:tabs>
          <w:tab w:val="clear" w:pos="1440"/>
          <w:tab w:val="left" w:pos="720" w:leader="none"/>
          <w:tab w:val="left" w:pos="2160" w:leader="none"/>
          <w:tab w:val="left" w:pos="3600" w:leader="none"/>
          <w:tab w:val="left" w:pos="4320" w:leader="none"/>
        </w:tabs>
        <w:ind w:hanging="0" w:start="0"/>
        <w:rPr/>
      </w:pPr>
      <w:r>
        <w:rPr/>
        <w:t>C.</w:t>
        <w:tab/>
        <w:t>Elba Island, Georgia</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ssPara1"/>
        <w:tabs>
          <w:tab w:val="left" w:pos="720" w:leader="none"/>
          <w:tab w:val="left" w:pos="2160" w:leader="none"/>
          <w:tab w:val="left" w:pos="3600" w:leader="none"/>
          <w:tab w:val="left" w:pos="4320" w:leader="none"/>
        </w:tabs>
        <w:spacing w:before="0" w:after="0"/>
        <w:ind w:hanging="720" w:start="720" w:end="0"/>
        <w:rPr/>
      </w:pPr>
      <w:r>
        <w:rPr/>
        <w:tab/>
      </w:r>
      <w:r>
        <w:rPr>
          <w:lang w:val="en-US"/>
        </w:rPr>
        <w:t xml:space="preserve">Enron has access to the Elba Island LNG terminal facilities by virtue of its right to put cargoes to El Paso Merchant Energy (an affiliate of the terminal owner) pursuant to the </w:t>
      </w:r>
      <w:r>
        <w:rPr>
          <w:b/>
          <w:lang w:val="en-US"/>
        </w:rPr>
        <w:t>LNG Sale and Purchase Agreement</w:t>
      </w:r>
      <w:r>
        <w:rPr>
          <w:lang w:val="en-US"/>
        </w:rPr>
        <w:t xml:space="preserve"> referenced in section IV (A) above.</w:t>
      </w:r>
    </w:p>
    <w:p>
      <w:pPr>
        <w:pStyle w:val="ssPara1"/>
        <w:tabs>
          <w:tab w:val="left" w:pos="720" w:leader="none"/>
          <w:tab w:val="left" w:pos="2160" w:leader="none"/>
          <w:tab w:val="left" w:pos="3600" w:leader="none"/>
          <w:tab w:val="left" w:pos="4320" w:leader="none"/>
        </w:tabs>
        <w:spacing w:before="0" w:after="0"/>
        <w:rPr>
          <w:b/>
          <w:lang w:val="en-US"/>
        </w:rPr>
      </w:pPr>
      <w:r>
        <w:rPr>
          <w:b/>
          <w:lang w:val="en-US"/>
        </w:rPr>
      </w:r>
    </w:p>
    <w:p>
      <w:pPr>
        <w:pStyle w:val="Heading7"/>
        <w:numPr>
          <w:ilvl w:val="0"/>
          <w:numId w:val="25"/>
        </w:numPr>
        <w:tabs>
          <w:tab w:val="clear" w:pos="1440"/>
          <w:tab w:val="left" w:pos="720" w:leader="none"/>
          <w:tab w:val="left" w:pos="2160" w:leader="none"/>
          <w:tab w:val="left" w:pos="3600" w:leader="none"/>
          <w:tab w:val="left" w:pos="4320" w:leader="none"/>
        </w:tabs>
        <w:rPr/>
      </w:pPr>
      <w:r>
        <w:rPr/>
        <w:t>Lake Charles, Louisiana</w:t>
      </w:r>
    </w:p>
    <w:p>
      <w:pPr>
        <w:pStyle w:val="Normal"/>
        <w:rPr/>
      </w:pPr>
      <w:r>
        <w:rPr/>
      </w:r>
    </w:p>
    <w:p>
      <w:pPr>
        <w:pStyle w:val="Normal"/>
        <w:ind w:start="720" w:end="0"/>
        <w:jc w:val="both"/>
        <w:rPr/>
      </w:pPr>
      <w:r>
        <w:rPr>
          <w:rFonts w:cs="Arial" w:ascii="Arial" w:hAnsi="Arial"/>
          <w:sz w:val="22"/>
        </w:rPr>
        <w:t xml:space="preserve">In order to provide for spot LNG cargo reception and send-out to ENA, EIGSC has periodically secured access to Trunkline LNG’s receiving facilities at Lake Charles Louisiana by way of a </w:t>
      </w:r>
      <w:r>
        <w:rPr>
          <w:rFonts w:cs="Arial" w:ascii="Arial" w:hAnsi="Arial"/>
          <w:b/>
          <w:sz w:val="22"/>
        </w:rPr>
        <w:t>Firm Terminaling Service Agreement</w:t>
      </w:r>
      <w:r>
        <w:rPr>
          <w:rFonts w:cs="Arial" w:ascii="Arial" w:hAnsi="Arial"/>
          <w:sz w:val="22"/>
        </w:rPr>
        <w:t>.  EIGSC is presently discussing the pricing terms under which it may secure long-term access to these facilities.</w:t>
      </w:r>
    </w:p>
    <w:p>
      <w:pPr>
        <w:pStyle w:val="Normal"/>
        <w:jc w:val="both"/>
        <w:rPr>
          <w:rFonts w:ascii="Arial" w:hAnsi="Arial" w:cs="Arial"/>
          <w:sz w:val="22"/>
        </w:rPr>
      </w:pPr>
      <w:r>
        <w:rPr>
          <w:rFonts w:cs="Arial" w:ascii="Arial" w:hAnsi="Arial"/>
          <w:sz w:val="22"/>
        </w:rPr>
      </w:r>
    </w:p>
    <w:p>
      <w:pPr>
        <w:pStyle w:val="Normal"/>
        <w:numPr>
          <w:ilvl w:val="1"/>
          <w:numId w:val="4"/>
        </w:numPr>
        <w:jc w:val="both"/>
        <w:rPr>
          <w:rFonts w:ascii="Arial" w:hAnsi="Arial" w:cs="Arial"/>
          <w:b/>
          <w:sz w:val="22"/>
        </w:rPr>
      </w:pPr>
      <w:r>
        <w:rPr>
          <w:rFonts w:cs="Arial" w:ascii="Arial" w:hAnsi="Arial"/>
          <w:b/>
          <w:sz w:val="22"/>
        </w:rPr>
        <w:t>Grand Bahama, Bahamas</w:t>
      </w:r>
    </w:p>
    <w:p>
      <w:pPr>
        <w:pStyle w:val="Normal"/>
        <w:jc w:val="both"/>
        <w:rPr>
          <w:rFonts w:ascii="Arial" w:hAnsi="Arial" w:cs="Arial"/>
          <w:b/>
          <w:sz w:val="22"/>
        </w:rPr>
      </w:pPr>
      <w:r>
        <w:rPr>
          <w:rFonts w:cs="Arial" w:ascii="Arial" w:hAnsi="Arial"/>
          <w:b/>
          <w:sz w:val="22"/>
        </w:rPr>
      </w:r>
    </w:p>
    <w:p>
      <w:pPr>
        <w:pStyle w:val="Normal"/>
        <w:ind w:start="720" w:end="0"/>
        <w:jc w:val="both"/>
        <w:rPr>
          <w:rFonts w:ascii="Arial" w:hAnsi="Arial" w:cs="Arial"/>
          <w:b/>
          <w:sz w:val="22"/>
        </w:rPr>
      </w:pPr>
      <w:r>
        <w:rPr>
          <w:rFonts w:cs="Arial" w:ascii="Arial" w:hAnsi="Arial"/>
          <w:sz w:val="22"/>
        </w:rPr>
        <w:t xml:space="preserve">Enron recently executed a </w:t>
      </w:r>
      <w:r>
        <w:rPr>
          <w:rFonts w:cs="Arial" w:ascii="Arial" w:hAnsi="Arial"/>
          <w:b/>
          <w:sz w:val="22"/>
        </w:rPr>
        <w:t>Letter of Intent</w:t>
      </w:r>
      <w:r>
        <w:rPr>
          <w:rFonts w:cs="Arial" w:ascii="Arial" w:hAnsi="Arial"/>
          <w:sz w:val="22"/>
        </w:rPr>
        <w:t xml:space="preserve"> with the Grand Bahamas Port Authority which provides for, among other things, the allocation of land and development of an LNG receiving, storage and send-out facilities at a strategic location in the Bahamas.  Enron intends to construct a subsea gas pipeline in order to deliver the regasified LNG from the Bahamas to an Enron affiliate’s pipeline facilities in Southern Florida.</w:t>
      </w:r>
    </w:p>
    <w:p>
      <w:pPr>
        <w:pStyle w:val="Normal"/>
        <w:jc w:val="both"/>
        <w:rPr>
          <w:rFonts w:ascii="Arial" w:hAnsi="Arial" w:cs="Arial"/>
          <w:b/>
          <w:sz w:val="22"/>
        </w:rPr>
      </w:pPr>
      <w:r>
        <w:rPr>
          <w:rFonts w:cs="Arial" w:ascii="Arial" w:hAnsi="Arial"/>
          <w:b/>
          <w:sz w:val="22"/>
        </w:rPr>
      </w:r>
    </w:p>
    <w:p>
      <w:pPr>
        <w:pStyle w:val="Heading6"/>
        <w:ind w:hanging="0" w:start="0"/>
        <w:jc w:val="both"/>
        <w:rPr/>
      </w:pPr>
      <w:r>
        <w:rPr/>
        <w:t>F.</w:t>
        <w:tab/>
        <w:t>Dominican Republic</w:t>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ind w:hanging="720" w:start="720" w:end="0"/>
        <w:jc w:val="both"/>
        <w:rPr/>
      </w:pPr>
      <w:r>
        <w:rPr>
          <w:rFonts w:cs="Arial" w:ascii="Arial" w:hAnsi="Arial"/>
          <w:b/>
          <w:sz w:val="22"/>
        </w:rPr>
        <w:tab/>
      </w:r>
      <w:r>
        <w:rPr>
          <w:rFonts w:cs="Arial" w:ascii="Arial" w:hAnsi="Arial"/>
          <w:sz w:val="22"/>
        </w:rPr>
        <w:t xml:space="preserve">Enron recently executed a </w:t>
      </w:r>
      <w:r>
        <w:rPr>
          <w:rFonts w:cs="Arial" w:ascii="Arial" w:hAnsi="Arial"/>
          <w:b/>
          <w:sz w:val="22"/>
        </w:rPr>
        <w:t>Joint Development Agreement</w:t>
      </w:r>
      <w:r>
        <w:rPr>
          <w:rFonts w:cs="Arial" w:ascii="Arial" w:hAnsi="Arial"/>
          <w:sz w:val="22"/>
        </w:rPr>
        <w:t xml:space="preserve"> with Union Fenosa which provides for, among other things, the development of an LNG-fired IPP and related receiving, storage and send-out facilities at a strategic location in the Dominican Republic.</w:t>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Heading7"/>
        <w:numPr>
          <w:ilvl w:val="0"/>
          <w:numId w:val="16"/>
        </w:numPr>
        <w:tabs>
          <w:tab w:val="clear" w:pos="1440"/>
          <w:tab w:val="left" w:pos="720" w:leader="none"/>
          <w:tab w:val="left" w:pos="2160" w:leader="none"/>
          <w:tab w:val="left" w:pos="3600" w:leader="none"/>
          <w:tab w:val="left" w:pos="4320" w:leader="none"/>
        </w:tabs>
        <w:ind w:hanging="720" w:start="720" w:end="0"/>
        <w:rPr/>
      </w:pPr>
      <w:r>
        <w:rPr/>
        <w:t>Japan</w:t>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Heading6"/>
        <w:ind w:hanging="720" w:start="720" w:end="0"/>
        <w:jc w:val="both"/>
        <w:rPr/>
      </w:pPr>
      <w:r>
        <w:rPr/>
        <w:tab/>
      </w:r>
      <w:r>
        <w:rPr>
          <w:b w:val="false"/>
        </w:rPr>
        <w:t xml:space="preserve">Enron recently executed a </w:t>
      </w:r>
      <w:r>
        <w:rPr/>
        <w:t>Confidentiality Agreement</w:t>
      </w:r>
      <w:r>
        <w:rPr>
          <w:b w:val="false"/>
        </w:rPr>
        <w:t xml:space="preserve"> with BHP which provides for, among other things, the development of an LNG receiving, storage and send-out facilities at a strategic location in Japan.</w:t>
      </w:r>
    </w:p>
    <w:p>
      <w:pPr>
        <w:pStyle w:val="Normal"/>
        <w:tabs>
          <w:tab w:val="left" w:pos="720" w:leader="none"/>
          <w:tab w:val="left" w:pos="2160" w:leader="none"/>
          <w:tab w:val="left" w:pos="3600" w:leader="none"/>
          <w:tab w:val="left" w:pos="4320" w:leader="none"/>
        </w:tabs>
        <w:jc w:val="both"/>
        <w:rPr>
          <w:rFonts w:ascii="Arial" w:hAnsi="Arial" w:cs="Arial"/>
          <w:b/>
          <w:sz w:val="28"/>
        </w:rPr>
      </w:pPr>
      <w:r>
        <w:rPr>
          <w:rFonts w:cs="Arial" w:ascii="Arial" w:hAnsi="Arial"/>
          <w:b/>
          <w:sz w:val="28"/>
        </w:rPr>
      </w:r>
    </w:p>
    <w:p>
      <w:pPr>
        <w:pStyle w:val="Normal"/>
        <w:tabs>
          <w:tab w:val="left" w:pos="720" w:leader="none"/>
          <w:tab w:val="left" w:pos="2160" w:leader="none"/>
          <w:tab w:val="left" w:pos="3600" w:leader="none"/>
          <w:tab w:val="left" w:pos="4320" w:leader="none"/>
        </w:tabs>
        <w:jc w:val="both"/>
        <w:rPr>
          <w:rFonts w:ascii="Arial" w:hAnsi="Arial" w:cs="Arial"/>
          <w:b/>
          <w:sz w:val="28"/>
        </w:rPr>
      </w:pPr>
      <w:r>
        <w:rPr>
          <w:rFonts w:cs="Arial" w:ascii="Arial" w:hAnsi="Arial"/>
          <w:b/>
          <w:sz w:val="28"/>
        </w:rPr>
      </w:r>
    </w:p>
    <w:p>
      <w:pPr>
        <w:pStyle w:val="Heading7"/>
        <w:tabs>
          <w:tab w:val="clear" w:pos="1440"/>
          <w:tab w:val="left" w:pos="720" w:leader="none"/>
          <w:tab w:val="left" w:pos="2160" w:leader="none"/>
          <w:tab w:val="left" w:pos="3600" w:leader="none"/>
          <w:tab w:val="left" w:pos="4320" w:leader="none"/>
        </w:tabs>
        <w:ind w:hanging="0" w:start="0"/>
        <w:rPr>
          <w:sz w:val="28"/>
        </w:rPr>
      </w:pPr>
      <w:r>
        <w:rPr>
          <w:sz w:val="28"/>
        </w:rPr>
        <w:t>VI.</w:t>
        <w:tab/>
        <w:t>Gas Technology Projects</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b/>
          <w:i/>
          <w:i/>
          <w:sz w:val="22"/>
        </w:rPr>
      </w:pPr>
      <w:r>
        <w:rPr>
          <w:rFonts w:cs="Arial" w:ascii="Arial" w:hAnsi="Arial"/>
          <w:b/>
          <w:i/>
          <w:sz w:val="22"/>
        </w:rPr>
      </w:r>
    </w:p>
    <w:p>
      <w:pPr>
        <w:pStyle w:val="Heading7"/>
        <w:numPr>
          <w:ilvl w:val="1"/>
          <w:numId w:val="16"/>
        </w:numPr>
        <w:rPr/>
      </w:pPr>
      <w:r>
        <w:rPr/>
        <w:t>PipeShip/CoilShip Technology</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720" w:leader="none"/>
          <w:tab w:val="left" w:pos="1440" w:leader="none"/>
          <w:tab w:val="left" w:pos="2160" w:leader="none"/>
          <w:tab w:val="left" w:pos="3600" w:leader="none"/>
          <w:tab w:val="left" w:pos="4320" w:leader="none"/>
        </w:tabs>
        <w:ind w:start="720" w:end="0"/>
        <w:jc w:val="both"/>
        <w:rPr/>
      </w:pPr>
      <w:r>
        <w:rPr>
          <w:rFonts w:cs="Arial" w:ascii="Arial" w:hAnsi="Arial"/>
          <w:sz w:val="22"/>
        </w:rPr>
        <w:t xml:space="preserve">This project involves the ownership and license of certain proprietary natural gas marine transportation technologies generally known as “PipeShip” and “CoilShip,” and which are collectively referred to herein as the “Technology.”  Enron Transportation Services, Ltd. (“ETSL”) took ownership of the Technology pursuant to a </w:t>
      </w:r>
      <w:r>
        <w:rPr>
          <w:rFonts w:cs="Arial" w:ascii="Arial" w:hAnsi="Arial"/>
          <w:b/>
          <w:sz w:val="22"/>
        </w:rPr>
        <w:t>Technology Assignment Agreement</w:t>
      </w:r>
      <w:r>
        <w:rPr>
          <w:rFonts w:cs="Arial" w:ascii="Arial" w:hAnsi="Arial"/>
          <w:sz w:val="22"/>
        </w:rPr>
        <w:t xml:space="preserve"> with Wild Rose Holdings Ltd (“WRHL”).  ETSL has since pursued the acquisition of </w:t>
      </w:r>
      <w:r>
        <w:rPr>
          <w:rFonts w:cs="Arial" w:ascii="Arial" w:hAnsi="Arial"/>
          <w:b/>
          <w:sz w:val="22"/>
        </w:rPr>
        <w:t>Patent Registrations</w:t>
      </w:r>
      <w:r>
        <w:rPr>
          <w:rFonts w:cs="Arial" w:ascii="Arial" w:hAnsi="Arial"/>
          <w:sz w:val="22"/>
        </w:rPr>
        <w:t xml:space="preserve"> covering the Technology in the US and various other jurisdictions which are specifically identified the list of project documents set forth in </w:t>
      </w:r>
      <w:r>
        <w:rPr>
          <w:rFonts w:cs="Arial" w:ascii="Arial" w:hAnsi="Arial"/>
          <w:sz w:val="22"/>
          <w:u w:val="single"/>
        </w:rPr>
        <w:t>Exhibit B</w:t>
      </w:r>
      <w:r>
        <w:rPr>
          <w:rFonts w:cs="Arial" w:ascii="Arial" w:hAnsi="Arial"/>
          <w:sz w:val="22"/>
        </w:rPr>
        <w:t xml:space="preserve"> attached hereto.</w:t>
      </w:r>
    </w:p>
    <w:p>
      <w:pPr>
        <w:pStyle w:val="Normal"/>
        <w:jc w:val="center"/>
        <w:rPr>
          <w:rFonts w:ascii="Arial" w:hAnsi="Arial" w:cs="Arial"/>
          <w:b/>
          <w:sz w:val="24"/>
        </w:rPr>
      </w:pPr>
      <w:r>
        <w:rPr>
          <w:rFonts w:cs="Arial" w:ascii="Arial" w:hAnsi="Arial"/>
          <w:b/>
          <w:sz w:val="24"/>
        </w:rPr>
        <w:t>Exhibit A</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Part 1:    Key Terms of Enron’s Baseload LNG Sale and Purchase Agreements</w:t>
      </w:r>
    </w:p>
    <w:p>
      <w:pPr>
        <w:pStyle w:val="Normal"/>
        <w:tabs>
          <w:tab w:val="clear" w:pos="720"/>
          <w:tab w:val="left" w:pos="1440" w:leader="none"/>
          <w:tab w:val="left" w:pos="2160" w:leader="none"/>
          <w:tab w:val="left" w:pos="3600" w:leader="none"/>
          <w:tab w:val="left" w:pos="4320" w:leader="none"/>
        </w:tabs>
        <w:rPr>
          <w:rFonts w:ascii="Arial" w:hAnsi="Arial" w:cs="Arial"/>
          <w:b/>
          <w:sz w:val="24"/>
        </w:rPr>
      </w:pPr>
      <w:r>
        <w:rPr>
          <w:rFonts w:cs="Arial" w:ascii="Arial" w:hAnsi="Arial"/>
          <w:b/>
          <w:sz w:val="24"/>
        </w:rPr>
      </w:r>
    </w:p>
    <w:tbl>
      <w:tblPr>
        <w:tblW w:w="13248" w:type="dxa"/>
        <w:jc w:val="start"/>
        <w:tblInd w:w="0" w:type="dxa"/>
        <w:tblLayout w:type="fixed"/>
        <w:tblCellMar>
          <w:top w:w="0" w:type="dxa"/>
          <w:start w:w="108" w:type="dxa"/>
          <w:bottom w:w="0" w:type="dxa"/>
          <w:end w:w="108" w:type="dxa"/>
        </w:tblCellMar>
      </w:tblPr>
      <w:tblGrid>
        <w:gridCol w:w="1188"/>
        <w:gridCol w:w="900"/>
        <w:gridCol w:w="1260"/>
        <w:gridCol w:w="810"/>
        <w:gridCol w:w="1080"/>
        <w:gridCol w:w="900"/>
        <w:gridCol w:w="810"/>
        <w:gridCol w:w="810"/>
        <w:gridCol w:w="1080"/>
        <w:gridCol w:w="1080"/>
        <w:gridCol w:w="1170"/>
        <w:gridCol w:w="1080"/>
        <w:gridCol w:w="1080"/>
      </w:tblGrid>
      <w:tr>
        <w:trPr>
          <w:tblHeader w:val="true"/>
          <w:trHeight w:val="300" w:hRule="atLeast"/>
        </w:trPr>
        <w:tc>
          <w:tcPr>
            <w:tcW w:w="1188"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PROJECT</w:t>
            </w:r>
          </w:p>
        </w:tc>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SELLER</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BUYER</w:t>
            </w:r>
          </w:p>
        </w:tc>
        <w:tc>
          <w:tcPr>
            <w:tcW w:w="81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START DATE &amp; TERM</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DELIVERY POINT</w:t>
            </w:r>
          </w:p>
        </w:tc>
        <w:tc>
          <w:tcPr>
            <w:tcW w:w="90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PRICE</w:t>
            </w:r>
          </w:p>
        </w:tc>
        <w:tc>
          <w:tcPr>
            <w:tcW w:w="81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BASE ANN. QTY.</w:t>
            </w:r>
          </w:p>
        </w:tc>
        <w:tc>
          <w:tcPr>
            <w:tcW w:w="81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T-O-P</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LEVEL</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UP/DOWN</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FLEX</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MAKE-UP/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MAKE-GOOD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RIGHTS</w:t>
            </w:r>
          </w:p>
        </w:tc>
        <w:tc>
          <w:tcPr>
            <w:tcW w:w="117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FM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RESTOR-</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ATION</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SECURITY</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SELLER’S</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LIABILITY</w:t>
            </w:r>
          </w:p>
        </w:tc>
      </w:tr>
      <w:tr>
        <w:trPr>
          <w:trHeight w:val="242" w:hRule="atLeast"/>
        </w:trPr>
        <w:tc>
          <w:tcPr>
            <w:tcW w:w="1188"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Dabhol Phase II IPP</w:t>
            </w:r>
          </w:p>
        </w:tc>
        <w:tc>
          <w:tcPr>
            <w:tcW w:w="90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Oman LNG</w:t>
            </w:r>
          </w:p>
        </w:tc>
        <w:tc>
          <w:tcPr>
            <w:tcW w:w="126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Dabhol Power Company</w:t>
            </w:r>
          </w:p>
        </w:tc>
        <w:tc>
          <w:tcPr>
            <w:tcW w:w="81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Oct. -Nov.</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2001</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Qalhat, Oman</w:t>
            </w:r>
          </w:p>
        </w:tc>
        <w:tc>
          <w:tcPr>
            <w:tcW w:w="90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$2.67 at JCC/$18</w:t>
            </w:r>
          </w:p>
        </w:tc>
        <w:tc>
          <w:tcPr>
            <w:tcW w:w="81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ACQ =1.6 MMTA</w:t>
            </w:r>
          </w:p>
        </w:tc>
        <w:tc>
          <w:tcPr>
            <w:tcW w:w="81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88.75% during build-up period; then fixed at 95% </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Down flex of 11.25% during build-up period; then down flex fixed at 5%.</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2 cargo upward flexibility right if requested at ADP.</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Make-up  at DPC’s option; Reason-able endeavors to take Make-Good Quantities</w:t>
            </w:r>
          </w:p>
        </w:tc>
        <w:tc>
          <w:tcPr>
            <w:tcW w:w="117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Reasonable endeavors to take FM Restoration Quantities</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Revolving Payment L/C of $20MM.</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Formula designed to recover pipeline capacity charge plus portion of  marine transport costs and gas customer deliver or pay claims</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Dabhol Phase II IPP</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AdGas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Dabhol Power Company</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Oct. -Nov.</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2001</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Das Island, Abu Dhabi</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$2.70 at JCC/$18</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ACQ = 0.48 MMTA</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approx90%</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pPr>
            <w:r>
              <w:rPr>
                <w:rFonts w:cs="Arial" w:ascii="Arial" w:hAnsi="Arial"/>
                <w:b/>
                <w:sz w:val="16"/>
              </w:rPr>
              <w:t>DFQ of 2 cargoes per year during 1</w:t>
            </w:r>
            <w:r>
              <w:rPr>
                <w:rFonts w:cs="Arial" w:ascii="Arial" w:hAnsi="Arial"/>
                <w:b/>
                <w:sz w:val="16"/>
                <w:vertAlign w:val="superscript"/>
              </w:rPr>
              <w:t>st</w:t>
            </w:r>
            <w:r>
              <w:rPr>
                <w:rFonts w:cs="Arial" w:ascii="Arial" w:hAnsi="Arial"/>
                <w:b/>
                <w:sz w:val="16"/>
              </w:rPr>
              <w:t xml:space="preserve"> 5 years (1 at ADP and 1 on 90 days notice); 1 cargo DFQ per year there-after (on 90 days notice)</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DFQ Earn-back feature</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Make-up and Make-Good at DPC’s option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No req’mt.</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Revolving Payment L/C in an amount equal to 120% of avg. price of 1 cargo (approx  $8MM).</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Formula designed to recover pipeline capacity charge plus portion of  marine transport costs and gas customer deliver or pay claims</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MetGas/EEM Pipeline – LNG COI</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Malaysia LNG Tiga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MetGas/</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Energy</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Mktg.</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July 1, 2002 +/- 3 months</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Title Passes at Bintulu, Malaysia; Risk of Loss passes at Dabhol</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Avg. of $3.24 at JCC/$18</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BACQ = 1.1 MMTA</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SPACQ = 0.2 MMTA</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OPACQ = 0.8 MMTA</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STACQ = 0.3 MMTA (opt. to convert into BACQ after 5 yrs)</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Spot Q = 0.2 MMTA</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pPr>
            <w:r>
              <w:rPr>
                <w:rFonts w:cs="Arial" w:ascii="Arial" w:hAnsi="Arial"/>
                <w:b/>
                <w:sz w:val="16"/>
              </w:rPr>
              <w:t>90% 1</w:t>
            </w:r>
            <w:r>
              <w:rPr>
                <w:rFonts w:cs="Arial" w:ascii="Arial" w:hAnsi="Arial"/>
                <w:b/>
                <w:sz w:val="16"/>
                <w:vertAlign w:val="superscript"/>
              </w:rPr>
              <w:t>st</w:t>
            </w:r>
            <w:r>
              <w:rPr>
                <w:rFonts w:cs="Arial" w:ascii="Arial" w:hAnsi="Arial"/>
                <w:b/>
                <w:sz w:val="16"/>
              </w:rPr>
              <w:t xml:space="preserve"> 3 mos, then 96%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96% upon annual confirm</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96% upon confirm prior to 9/30/99</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96% upon annual confirm</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100% upon confirm</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pPr>
            <w:r>
              <w:rPr>
                <w:rFonts w:cs="Arial" w:ascii="Arial" w:hAnsi="Arial"/>
                <w:b/>
                <w:sz w:val="16"/>
              </w:rPr>
              <w:t>10% DQT 1</w:t>
            </w:r>
            <w:r>
              <w:rPr>
                <w:rFonts w:cs="Arial" w:ascii="Arial" w:hAnsi="Arial"/>
                <w:b/>
                <w:sz w:val="16"/>
                <w:vertAlign w:val="superscript"/>
              </w:rPr>
              <w:t>st</w:t>
            </w:r>
            <w:r>
              <w:rPr>
                <w:rFonts w:cs="Arial" w:ascii="Arial" w:hAnsi="Arial"/>
                <w:b/>
                <w:sz w:val="16"/>
              </w:rPr>
              <w:t xml:space="preserve"> 3 mos, then 4% DQT</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4% DQT</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4% DQT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4% DQT</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N/A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Make-Up  within 5 years of TOP payment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Reason-able endeavors to take Make Good quantities</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Reasonable endeavors to take FM restoration quantities</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Revolving Payment L/C of $20MM.</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General Damages Claim</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MetGas/EEM Pipeline – LNG SPA</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Malaysia LNG Tiga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Energy</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Mktg.</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Under Nego.</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Title Passes at Bintulu, Malaysia; Risk of Loss passes at Dabhol</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Avg. of $3.24 at JCC/$18</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BACQ = 1.1 MMTA</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SPACQ = 0.2 MMTA</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STACQ = 0.3 MMTA (opt. to convert into BACQ after 5 yrs)</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Spot Q = 0.2 MMTA</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pPr>
            <w:r>
              <w:rPr>
                <w:rFonts w:cs="Arial" w:ascii="Arial" w:hAnsi="Arial"/>
                <w:b/>
                <w:sz w:val="16"/>
              </w:rPr>
              <w:t>90% 1</w:t>
            </w:r>
            <w:r>
              <w:rPr>
                <w:rFonts w:cs="Arial" w:ascii="Arial" w:hAnsi="Arial"/>
                <w:b/>
                <w:sz w:val="16"/>
                <w:vertAlign w:val="superscript"/>
              </w:rPr>
              <w:t>st</w:t>
            </w:r>
            <w:r>
              <w:rPr>
                <w:rFonts w:cs="Arial" w:ascii="Arial" w:hAnsi="Arial"/>
                <w:b/>
                <w:sz w:val="16"/>
              </w:rPr>
              <w:t xml:space="preserve"> 3 mos, then 96%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96% upon annual confirm</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96% upon confirm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100% upon confirm</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pPr>
            <w:r>
              <w:rPr>
                <w:rFonts w:cs="Arial" w:ascii="Arial" w:hAnsi="Arial"/>
                <w:b/>
                <w:sz w:val="16"/>
              </w:rPr>
              <w:t>10% DQT 1</w:t>
            </w:r>
            <w:r>
              <w:rPr>
                <w:rFonts w:cs="Arial" w:ascii="Arial" w:hAnsi="Arial"/>
                <w:b/>
                <w:sz w:val="16"/>
                <w:vertAlign w:val="superscript"/>
              </w:rPr>
              <w:t>st</w:t>
            </w:r>
            <w:r>
              <w:rPr>
                <w:rFonts w:cs="Arial" w:ascii="Arial" w:hAnsi="Arial"/>
                <w:b/>
                <w:sz w:val="16"/>
              </w:rPr>
              <w:t xml:space="preserve"> 3 mos, then 4% DQT</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4% DQT</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4% DQT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N/A</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Make-Up  within 5 years of TOP payment </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Reason-able endeavors to take Make Good quantities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Reasonable endeavors to take FM restoration quantities</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Revolving Payment L/C in an amount equal to value of 4 cargoes plus  $3MM.</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Pipeline capacity charge plus gas customer deliver or pay claims</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EcoElectrica </w:t>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Cabot LNG</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EcoElectrica</w:t>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9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8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snapToGrid w:val="false"/>
              <w:rPr>
                <w:rFonts w:ascii="Arial" w:hAnsi="Arial" w:cs="Arial"/>
                <w:b/>
                <w:sz w:val="16"/>
              </w:rPr>
            </w:pPr>
            <w:r>
              <w:rPr>
                <w:rFonts w:cs="Arial" w:ascii="Arial" w:hAnsi="Arial"/>
                <w:b/>
                <w:sz w:val="16"/>
              </w:rPr>
            </w:r>
          </w:p>
        </w:tc>
      </w:tr>
    </w:tbl>
    <w:p>
      <w:pPr>
        <w:pStyle w:val="Normal"/>
        <w:tabs>
          <w:tab w:val="clear" w:pos="720"/>
          <w:tab w:val="left" w:pos="1440" w:leader="none"/>
          <w:tab w:val="left" w:pos="2160" w:leader="none"/>
          <w:tab w:val="left" w:pos="3600" w:leader="none"/>
          <w:tab w:val="left" w:pos="4320" w:leader="none"/>
        </w:tabs>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r>
    </w:p>
    <w:p>
      <w:pPr>
        <w:pStyle w:val="Normal"/>
        <w:tabs>
          <w:tab w:val="clear" w:pos="720"/>
          <w:tab w:val="left" w:pos="1440" w:leader="none"/>
          <w:tab w:val="left" w:pos="2160" w:leader="none"/>
          <w:tab w:val="left" w:pos="3600" w:leader="none"/>
          <w:tab w:val="left" w:pos="4320" w:leader="none"/>
        </w:tabs>
        <w:rPr>
          <w:rFonts w:ascii="Arial" w:hAnsi="Arial" w:cs="Arial"/>
          <w:b/>
          <w:sz w:val="24"/>
        </w:rPr>
      </w:pPr>
      <w:r>
        <w:rPr>
          <w:rFonts w:cs="Arial" w:ascii="Arial" w:hAnsi="Arial"/>
          <w:b/>
          <w:sz w:val="24"/>
        </w:rPr>
        <w:t>Part 2:  Key Terms of Enron’s</w:t>
      </w:r>
    </w:p>
    <w:p>
      <w:pPr>
        <w:pStyle w:val="Normal"/>
        <w:rPr>
          <w:rFonts w:ascii="Arial" w:hAnsi="Arial" w:cs="Arial"/>
          <w:b/>
          <w:sz w:val="24"/>
        </w:rPr>
      </w:pPr>
      <w:r>
        <w:rPr>
          <w:rFonts w:cs="Arial" w:ascii="Arial" w:hAnsi="Arial"/>
          <w:b/>
          <w:sz w:val="24"/>
        </w:rPr>
        <w:t>LNG Merchant Trading Contracts</w:t>
      </w:r>
    </w:p>
    <w:p>
      <w:pPr>
        <w:pStyle w:val="Normal"/>
        <w:tabs>
          <w:tab w:val="clear" w:pos="720"/>
          <w:tab w:val="left" w:pos="1440" w:leader="none"/>
          <w:tab w:val="left" w:pos="2160" w:leader="none"/>
          <w:tab w:val="left" w:pos="3600" w:leader="none"/>
          <w:tab w:val="left" w:pos="4320" w:leader="none"/>
        </w:tabs>
        <w:rPr>
          <w:rFonts w:ascii="Arial" w:hAnsi="Arial" w:cs="Arial"/>
          <w:b/>
          <w:sz w:val="24"/>
        </w:rPr>
      </w:pPr>
      <w:r>
        <w:rPr>
          <w:rFonts w:cs="Arial" w:ascii="Arial" w:hAnsi="Arial"/>
          <w:b/>
          <w:sz w:val="24"/>
        </w:rPr>
      </w:r>
    </w:p>
    <w:tbl>
      <w:tblPr>
        <w:tblW w:w="13248" w:type="dxa"/>
        <w:jc w:val="start"/>
        <w:tblInd w:w="0" w:type="dxa"/>
        <w:tblLayout w:type="fixed"/>
        <w:tblCellMar>
          <w:top w:w="0" w:type="dxa"/>
          <w:start w:w="108" w:type="dxa"/>
          <w:bottom w:w="0" w:type="dxa"/>
          <w:end w:w="108" w:type="dxa"/>
        </w:tblCellMar>
      </w:tblPr>
      <w:tblGrid>
        <w:gridCol w:w="1188"/>
        <w:gridCol w:w="1260"/>
        <w:gridCol w:w="1260"/>
        <w:gridCol w:w="1080"/>
        <w:gridCol w:w="1080"/>
        <w:gridCol w:w="1350"/>
        <w:gridCol w:w="1260"/>
        <w:gridCol w:w="1620"/>
        <w:gridCol w:w="1620"/>
        <w:gridCol w:w="1530"/>
      </w:tblGrid>
      <w:tr>
        <w:trPr>
          <w:tblHeader w:val="true"/>
          <w:trHeight w:val="300" w:hRule="atLeast"/>
        </w:trPr>
        <w:tc>
          <w:tcPr>
            <w:tcW w:w="1188"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CONTRACT</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SELLER</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BUYER</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TERM</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LOADING</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POINT</w:t>
            </w:r>
          </w:p>
        </w:tc>
        <w:tc>
          <w:tcPr>
            <w:tcW w:w="135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DISCHARGE</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POINT</w:t>
            </w:r>
          </w:p>
        </w:tc>
        <w:tc>
          <w:tcPr>
            <w:tcW w:w="126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PRICE</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OFF-SPEC GAS</w:t>
            </w:r>
          </w:p>
        </w:tc>
        <w:tc>
          <w:tcPr>
            <w:tcW w:w="162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MAKE-UP RIGHTS</w:t>
            </w:r>
          </w:p>
        </w:tc>
        <w:tc>
          <w:tcPr>
            <w:tcW w:w="1530"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SELLER’S DELIVERY FAILURE</w:t>
            </w:r>
          </w:p>
        </w:tc>
      </w:tr>
      <w:tr>
        <w:trPr>
          <w:trHeight w:val="242" w:hRule="atLeast"/>
        </w:trPr>
        <w:tc>
          <w:tcPr>
            <w:tcW w:w="1188"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Master Ex-Ship Spot LNG SPA</w:t>
            </w:r>
          </w:p>
        </w:tc>
        <w:tc>
          <w:tcPr>
            <w:tcW w:w="126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Abu Dhabi Natural Gas Liquefaction Company Ltd.</w:t>
            </w:r>
          </w:p>
        </w:tc>
        <w:tc>
          <w:tcPr>
            <w:tcW w:w="126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International Gas Sales Company (“EIGSC”)</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Evergreen</w:t>
            </w:r>
          </w:p>
        </w:tc>
        <w:tc>
          <w:tcPr>
            <w:tcW w:w="108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Das Island, Abu Dhabi</w:t>
            </w:r>
          </w:p>
        </w:tc>
        <w:tc>
          <w:tcPr>
            <w:tcW w:w="135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To be agreed in each Confirmation Notice</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Subsequent deviation upon agreement</w:t>
            </w:r>
          </w:p>
        </w:tc>
        <w:tc>
          <w:tcPr>
            <w:tcW w:w="126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To be agreed in each Confirmation Notice</w:t>
            </w:r>
          </w:p>
        </w:tc>
        <w:tc>
          <w:tcPr>
            <w:tcW w:w="162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Reasonable endeavors to accept; but extra costs are reimbursed.  Rejection right if cannot accept. </w:t>
            </w:r>
          </w:p>
        </w:tc>
        <w:tc>
          <w:tcPr>
            <w:tcW w:w="162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may make-up any cargo which was previously paid fr but not lifted.</w:t>
            </w:r>
          </w:p>
        </w:tc>
        <w:tc>
          <w:tcPr>
            <w:tcW w:w="1530" w:type="dxa"/>
            <w:tcBorders>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Damages for direct losses such as transportation, terminaling and cover gas costs. </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Master FOB Spot LNG SPA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Oman LNG LLC</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EIGSC</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Evergreen</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Qalhat, Oman.  EIGSC charters HANJIN MUSCAT from OLNG for transportation</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To be agreed in each Confirmation Notice</w:t>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r>
          </w:p>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Subsequent deviation upon agreement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To be agreed in each Confirmation Notice</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Reasonable endeavors to accept; but extra costs are reimbursed.  Rejection right if cannot accept.</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may make-up any cargo which was previously paid fr but not lifted.</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Damages for transportation, terminaling and cover gas costs, as well as lost profits under certain circumstances.</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Elba Island LNG SPA Term Sheet</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Americas LNG Company</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 Paso Merchant Energy L.P., as successor to Sonat Energy Services</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17 years commencing on a date selected by Enron between Jan. 1, 2002 and Oct 1, 2003 </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At Enron’s option</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SLNG’s facilities at Elba Island, Georgia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Henry Hub + Annual Fixed Comp. plus Terminal Costs of 41% of actual monthly costs (approx, $11MM/yr)</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 xml:space="preserve">No req’mt on El Paso Gas to accept </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 Paso may make-up w/in 5 yrs. of TOP payment (but not to exceed remaining term of contract).</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req’d to pay Terminal Costs during FM affecting Enron.  Neither Enron nor El Paso have FM restoration rights/oblig.</w:t>
            </w:r>
          </w:p>
        </w:tc>
      </w:tr>
      <w:tr>
        <w:trPr>
          <w:trHeight w:val="300" w:hRule="atLeast"/>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Elba Island LNG SPA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Enron Energy Marketing LLC</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 Paso Merchant Energy L.P.</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17 years commencing on a date selected by Enron between Jan. 1, 2002 and Oct 1, 2003</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Elba Iat Enron’s option</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SLNG’s facilities at Elba Island, Georgia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Henry Hub + Annual Fixed Comp. plus Terminal Costs of 41% of actual monthly costs (approx, $11MM/yr)</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Under nego.</w:t>
            </w:r>
          </w:p>
        </w:tc>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El Paso may make-up w/in 5 yrs. of TOP payment (but not to exceed remaining term of contract).</w:t>
            </w:r>
          </w:p>
        </w:tc>
        <w:tc>
          <w:tcPr>
            <w:tcW w:w="15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2160" w:leader="none"/>
                <w:tab w:val="left" w:pos="3600" w:leader="none"/>
                <w:tab w:val="left" w:pos="4320" w:leader="none"/>
              </w:tabs>
              <w:rPr>
                <w:rFonts w:ascii="Arial" w:hAnsi="Arial" w:cs="Arial"/>
                <w:b/>
                <w:sz w:val="16"/>
              </w:rPr>
            </w:pPr>
            <w:r>
              <w:rPr>
                <w:rFonts w:cs="Arial" w:ascii="Arial" w:hAnsi="Arial"/>
                <w:b/>
                <w:sz w:val="16"/>
              </w:rPr>
              <w:t>Under nego.</w:t>
            </w:r>
          </w:p>
        </w:tc>
      </w:tr>
    </w:tbl>
    <w:p>
      <w:pPr>
        <w:sectPr>
          <w:headerReference w:type="default" r:id="rId6"/>
          <w:headerReference w:type="first" r:id="rId7"/>
          <w:footerReference w:type="default" r:id="rId8"/>
          <w:footerReference w:type="first" r:id="rId9"/>
          <w:type w:val="nextPage"/>
          <w:pgSz w:orient="landscape" w:w="15840" w:h="12240"/>
          <w:pgMar w:left="1440" w:right="1440" w:gutter="0" w:header="720" w:top="1440" w:footer="720" w:bottom="1440"/>
          <w:pgNumType w:fmt="decimal"/>
          <w:formProt w:val="false"/>
          <w:textDirection w:val="lrTb"/>
          <w:docGrid w:type="default" w:linePitch="360" w:charSpace="0"/>
        </w:sectPr>
      </w:pPr>
    </w:p>
    <w:p>
      <w:pPr>
        <w:pStyle w:val="Normal"/>
        <w:tabs>
          <w:tab w:val="clear" w:pos="720"/>
          <w:tab w:val="left" w:pos="1440" w:leader="none"/>
          <w:tab w:val="left" w:pos="2160" w:leader="none"/>
          <w:tab w:val="left" w:pos="3600" w:leader="none"/>
          <w:tab w:val="left" w:pos="4320" w:leader="none"/>
        </w:tabs>
        <w:jc w:val="center"/>
        <w:rPr>
          <w:rFonts w:ascii="Arial" w:hAnsi="Arial" w:cs="Arial"/>
          <w:b/>
          <w:sz w:val="24"/>
        </w:rPr>
      </w:pPr>
      <w:r>
        <w:rPr>
          <w:rFonts w:cs="Arial" w:ascii="Arial" w:hAnsi="Arial"/>
          <w:b/>
          <w:sz w:val="24"/>
        </w:rPr>
        <w:t>Exhibit B</w:t>
      </w:r>
    </w:p>
    <w:p>
      <w:pPr>
        <w:pStyle w:val="Normal"/>
        <w:tabs>
          <w:tab w:val="clear" w:pos="720"/>
          <w:tab w:val="left" w:pos="1440" w:leader="none"/>
          <w:tab w:val="left" w:pos="2160" w:leader="none"/>
          <w:tab w:val="left" w:pos="3600" w:leader="none"/>
          <w:tab w:val="left" w:pos="4320" w:leader="none"/>
        </w:tabs>
        <w:jc w:val="center"/>
        <w:rPr>
          <w:rFonts w:ascii="Arial" w:hAnsi="Arial" w:cs="Arial"/>
          <w:b/>
          <w:sz w:val="24"/>
        </w:rPr>
      </w:pPr>
      <w:r>
        <w:rPr>
          <w:rFonts w:cs="Arial" w:ascii="Arial" w:hAnsi="Arial"/>
          <w:b/>
          <w:sz w:val="24"/>
        </w:rPr>
      </w:r>
    </w:p>
    <w:p>
      <w:pPr>
        <w:pStyle w:val="Normal"/>
        <w:tabs>
          <w:tab w:val="clear" w:pos="720"/>
          <w:tab w:val="left" w:pos="1440" w:leader="none"/>
          <w:tab w:val="left" w:pos="2160" w:leader="none"/>
          <w:tab w:val="left" w:pos="3600" w:leader="none"/>
          <w:tab w:val="left" w:pos="4320" w:leader="none"/>
        </w:tabs>
        <w:jc w:val="center"/>
        <w:rPr>
          <w:rFonts w:ascii="Arial" w:hAnsi="Arial" w:cs="Arial"/>
          <w:b/>
          <w:sz w:val="24"/>
        </w:rPr>
      </w:pPr>
      <w:r>
        <w:rPr>
          <w:rFonts w:cs="Arial" w:ascii="Arial" w:hAnsi="Arial"/>
          <w:b/>
          <w:sz w:val="24"/>
        </w:rPr>
        <w:t>Global LNG Projects -- Document List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4"/>
        </w:rPr>
      </w:pPr>
      <w:r>
        <w:rPr>
          <w:rFonts w:cs="Arial" w:ascii="Arial" w:hAnsi="Arial"/>
          <w:b/>
          <w:sz w:val="24"/>
        </w:rPr>
      </w:r>
    </w:p>
    <w:p>
      <w:pPr>
        <w:pStyle w:val="Normal"/>
        <w:tabs>
          <w:tab w:val="clear" w:pos="720"/>
          <w:tab w:val="left" w:pos="1440" w:leader="none"/>
          <w:tab w:val="left" w:pos="2160" w:leader="none"/>
          <w:tab w:val="left" w:pos="3600" w:leader="none"/>
          <w:tab w:val="left" w:pos="4320" w:leader="none"/>
        </w:tabs>
        <w:jc w:val="both"/>
        <w:rPr/>
      </w:pPr>
      <w:r>
        <w:rPr/>
      </w:r>
    </w:p>
    <w:p>
      <w:pPr>
        <w:pStyle w:val="Heading5"/>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rPr/>
      </w:pPr>
      <w:r>
        <w:rPr/>
        <w:t xml:space="preserve">I. </w:t>
        <w:tab/>
        <w:t>BASELOAD LNG FUEL SUPPLY PROJECTS</w:t>
      </w:r>
    </w:p>
    <w:p>
      <w:pPr>
        <w:pStyle w:val="Normal"/>
        <w:tabs>
          <w:tab w:val="left" w:pos="720" w:leader="none"/>
          <w:tab w:val="left" w:pos="1440" w:leader="none"/>
          <w:tab w:val="left" w:pos="2160" w:leader="none"/>
          <w:tab w:val="left" w:pos="2880" w:leader="none"/>
          <w:tab w:val="left" w:pos="3600" w:leader="none"/>
          <w:tab w:val="left" w:pos="4320" w:leader="none"/>
        </w:tabs>
        <w:rPr>
          <w:rFonts w:ascii="Arial" w:hAnsi="Arial" w:cs="Arial"/>
          <w:b/>
          <w:sz w:val="22"/>
        </w:rPr>
      </w:pPr>
      <w:r>
        <w:rPr>
          <w:rFonts w:cs="Arial" w:ascii="Arial" w:hAnsi="Arial"/>
          <w:b/>
          <w:sz w:val="22"/>
        </w:rPr>
      </w:r>
    </w:p>
    <w:p>
      <w:pPr>
        <w:pStyle w:val="Heading8"/>
        <w:numPr>
          <w:ilvl w:val="0"/>
          <w:numId w:val="8"/>
        </w:numPr>
        <w:tabs>
          <w:tab w:val="clear" w:pos="1440"/>
          <w:tab w:val="clear" w:pos="2160"/>
          <w:tab w:val="clear" w:pos="3600"/>
          <w:tab w:val="clear" w:pos="4320"/>
          <w:tab w:val="left" w:pos="720" w:leader="none"/>
        </w:tabs>
        <w:ind w:hanging="720" w:start="720" w:end="0"/>
        <w:rPr/>
      </w:pPr>
      <w:r>
        <w:rPr/>
        <w:t>Dabhol Phase II LNG Fuel Supply and Management</w:t>
      </w:r>
    </w:p>
    <w:p>
      <w:pPr>
        <w:pStyle w:val="Normal"/>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s>
        <w:ind w:hanging="720" w:start="1440" w:end="0"/>
        <w:jc w:val="both"/>
        <w:rPr>
          <w:rFonts w:ascii="Arial" w:hAnsi="Arial" w:cs="Arial"/>
          <w:b/>
          <w:i/>
          <w:i/>
          <w:sz w:val="22"/>
        </w:rPr>
      </w:pPr>
      <w:r>
        <w:rPr>
          <w:rFonts w:cs="Arial" w:ascii="Arial" w:hAnsi="Arial"/>
          <w:sz w:val="22"/>
        </w:rPr>
        <w:t>1.</w:t>
        <w:tab/>
        <w:t xml:space="preserve">LNG Sale and Purchase Agreement between Dabhol Power Company (“DPC”) and Oman LNG LLC (“OLNG”) </w:t>
      </w:r>
    </w:p>
    <w:p>
      <w:pPr>
        <w:pStyle w:val="Normal"/>
        <w:tabs>
          <w:tab w:val="left" w:pos="720" w:leader="none"/>
          <w:tab w:val="left" w:pos="1440" w:leader="none"/>
          <w:tab w:val="left" w:pos="2160" w:leader="none"/>
          <w:tab w:val="left" w:pos="2880" w:leader="none"/>
          <w:tab w:val="left" w:pos="3600" w:leader="none"/>
          <w:tab w:val="left" w:pos="4320" w:leader="none"/>
        </w:tabs>
        <w:jc w:val="both"/>
        <w:rPr/>
      </w:pPr>
      <w:r>
        <w:rPr>
          <w:rFonts w:cs="Arial" w:ascii="Arial" w:hAnsi="Arial"/>
          <w:sz w:val="22"/>
        </w:rPr>
        <w:tab/>
        <w:t>2.</w:t>
        <w:tab/>
        <w:t xml:space="preserve">Oman Port Conditions of Use </w:t>
      </w:r>
      <w:r>
        <w:rPr>
          <w:rFonts w:cs="Arial" w:ascii="Arial" w:hAnsi="Arial"/>
          <w:b/>
          <w:i/>
          <w:sz w:val="22"/>
        </w:rPr>
        <w:t>[DRAFT – under negotiation]</w:t>
      </w:r>
    </w:p>
    <w:p>
      <w:pPr>
        <w:pStyle w:val="BodyTextIndent3"/>
        <w:numPr>
          <w:ilvl w:val="0"/>
          <w:numId w:val="20"/>
        </w:numPr>
        <w:tabs>
          <w:tab w:val="clear" w:pos="2160"/>
          <w:tab w:val="left" w:pos="720" w:leader="none"/>
          <w:tab w:val="left" w:pos="1440" w:leader="none"/>
          <w:tab w:val="left" w:pos="2880" w:leader="none"/>
          <w:tab w:val="left" w:pos="3600" w:leader="none"/>
          <w:tab w:val="left" w:pos="4320" w:leader="none"/>
        </w:tabs>
        <w:ind w:hanging="720" w:start="1440" w:end="0"/>
        <w:jc w:val="both"/>
        <w:rPr/>
      </w:pPr>
      <w:r>
        <w:rPr/>
        <w:t>LNG Sale and Purchase Agreement between DDPC and Abu Dhabi Gas Liquefaction Company Limited (“AdGas”)</w:t>
      </w:r>
    </w:p>
    <w:p>
      <w:pPr>
        <w:pStyle w:val="BodyTextIndent3"/>
        <w:numPr>
          <w:ilvl w:val="0"/>
          <w:numId w:val="20"/>
        </w:numPr>
        <w:tabs>
          <w:tab w:val="clear" w:pos="2160"/>
          <w:tab w:val="left" w:pos="720" w:leader="none"/>
          <w:tab w:val="left" w:pos="1440" w:leader="none"/>
          <w:tab w:val="left" w:pos="2880" w:leader="none"/>
          <w:tab w:val="left" w:pos="3600" w:leader="none"/>
          <w:tab w:val="left" w:pos="4320" w:leader="none"/>
        </w:tabs>
        <w:ind w:hanging="720" w:start="1440" w:end="0"/>
        <w:jc w:val="both"/>
        <w:rPr/>
      </w:pPr>
      <w:r>
        <w:rPr/>
        <w:t>Amended and Restated Fuel Management Agreement among DPC, Enron Fuels International, Inc. (“EFI”) and Maharashtra State Electricity Board (“MSEB”)</w:t>
      </w:r>
    </w:p>
    <w:p>
      <w:pPr>
        <w:pStyle w:val="BodyTextIndent3"/>
        <w:numPr>
          <w:ilvl w:val="0"/>
          <w:numId w:val="20"/>
        </w:numPr>
        <w:tabs>
          <w:tab w:val="clear" w:pos="2160"/>
          <w:tab w:val="left" w:pos="720" w:leader="none"/>
          <w:tab w:val="left" w:pos="1440" w:leader="none"/>
          <w:tab w:val="left" w:pos="2880" w:leader="none"/>
          <w:tab w:val="left" w:pos="3600" w:leader="none"/>
          <w:tab w:val="left" w:pos="4320" w:leader="none"/>
        </w:tabs>
        <w:ind w:hanging="720" w:start="1440" w:end="0"/>
        <w:jc w:val="both"/>
        <w:rPr/>
      </w:pPr>
      <w:r>
        <w:rPr/>
        <w:t>Enron Corp. Guaranty of the obligations and liabilities of EFI under the Amended and Restated Fuel Management Agreement among DPC, EFI and MSEB</w:t>
      </w:r>
    </w:p>
    <w:p>
      <w:pPr>
        <w:pStyle w:val="Normal"/>
        <w:ind w:start="720" w:end="0"/>
        <w:jc w:val="both"/>
        <w:rPr>
          <w:rFonts w:ascii="Arial" w:hAnsi="Arial" w:cs="Arial"/>
          <w:sz w:val="22"/>
        </w:rPr>
      </w:pPr>
      <w:r>
        <w:rPr>
          <w:rFonts w:cs="Arial" w:ascii="Arial" w:hAnsi="Arial"/>
          <w:sz w:val="22"/>
        </w:rPr>
      </w:r>
    </w:p>
    <w:p>
      <w:pPr>
        <w:pStyle w:val="Normal"/>
        <w:numPr>
          <w:ilvl w:val="0"/>
          <w:numId w:val="8"/>
        </w:numPr>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b/>
          <w:sz w:val="22"/>
        </w:rPr>
      </w:pPr>
      <w:r>
        <w:rPr>
          <w:rFonts w:cs="Arial" w:ascii="Arial" w:hAnsi="Arial"/>
          <w:b/>
          <w:sz w:val="22"/>
        </w:rPr>
        <w:t>MetGas/Enron Energy Marketing LNG Fuel Supply (India)</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b/>
          <w:sz w:val="22"/>
        </w:rPr>
      </w:pPr>
      <w:r>
        <w:rPr>
          <w:rFonts w:cs="Arial" w:ascii="Arial" w:hAnsi="Arial"/>
          <w:b/>
          <w:sz w:val="22"/>
        </w:rPr>
      </w:r>
    </w:p>
    <w:p>
      <w:pPr>
        <w:pStyle w:val="BodyTextIndent"/>
        <w:numPr>
          <w:ilvl w:val="0"/>
          <w:numId w:val="14"/>
        </w:numPr>
        <w:jc w:val="both"/>
        <w:rPr/>
      </w:pPr>
      <w:r>
        <w:rPr/>
        <w:t>Confirmation of Intent (re LNG Sale and Purchase Agreement) between Enron Energy Marketing (“EEM”) and Malaysia LNG Tiga Sdn. Bhd. (“MLNG Tiga”)</w:t>
      </w:r>
    </w:p>
    <w:p>
      <w:pPr>
        <w:pStyle w:val="BodyTextIndent"/>
        <w:numPr>
          <w:ilvl w:val="0"/>
          <w:numId w:val="14"/>
        </w:numPr>
        <w:jc w:val="both"/>
        <w:rPr/>
      </w:pPr>
      <w:r>
        <w:rPr/>
        <w:t>Side Letter to Confirmation of Intent</w:t>
      </w:r>
    </w:p>
    <w:p>
      <w:pPr>
        <w:pStyle w:val="BodyTextIndent"/>
        <w:numPr>
          <w:ilvl w:val="0"/>
          <w:numId w:val="14"/>
        </w:numPr>
        <w:jc w:val="both"/>
        <w:rPr/>
      </w:pPr>
      <w:r>
        <w:rPr/>
        <w:t xml:space="preserve">LNG Sale and Purchase Agreement between EEM and MLNG Tiga </w:t>
      </w:r>
      <w:r>
        <w:rPr>
          <w:b/>
          <w:i/>
        </w:rPr>
        <w:t>[DRAFT – Still under negotiation]</w:t>
      </w:r>
    </w:p>
    <w:p>
      <w:pPr>
        <w:pStyle w:val="BodyTextIndent"/>
        <w:numPr>
          <w:ilvl w:val="0"/>
          <w:numId w:val="14"/>
        </w:numPr>
        <w:jc w:val="both"/>
        <w:rPr/>
      </w:pPr>
      <w:r>
        <w:rPr/>
        <w:t xml:space="preserve">LNG Fuel Management Agreement among EIFMC, EEM and Metropolis Gas Private Limited  </w:t>
      </w:r>
      <w:r>
        <w:rPr>
          <w:b/>
          <w:i/>
        </w:rPr>
        <w:t>[under initial discussion]</w:t>
      </w:r>
    </w:p>
    <w:p>
      <w:pPr>
        <w:pStyle w:val="BodyTextIndent"/>
        <w:numPr>
          <w:ilvl w:val="0"/>
          <w:numId w:val="14"/>
        </w:numPr>
        <w:jc w:val="both"/>
        <w:rPr/>
      </w:pPr>
      <w:r>
        <w:rPr/>
        <w:t>Terminal and Regasification Agreement among DPC, MSEB and MetGas</w:t>
      </w:r>
    </w:p>
    <w:p>
      <w:pPr>
        <w:pStyle w:val="Normal"/>
        <w:jc w:val="both"/>
        <w:rPr>
          <w:rFonts w:ascii="Arial" w:hAnsi="Arial" w:cs="Arial"/>
          <w:sz w:val="22"/>
        </w:rPr>
      </w:pPr>
      <w:r>
        <w:rPr>
          <w:rFonts w:cs="Arial" w:ascii="Arial" w:hAnsi="Arial"/>
          <w:sz w:val="22"/>
        </w:rPr>
      </w:r>
    </w:p>
    <w:p>
      <w:pPr>
        <w:pStyle w:val="Heading8"/>
        <w:numPr>
          <w:ilvl w:val="0"/>
          <w:numId w:val="8"/>
        </w:numPr>
        <w:tabs>
          <w:tab w:val="clear" w:pos="1440"/>
          <w:tab w:val="clear" w:pos="2160"/>
          <w:tab w:val="clear" w:pos="3600"/>
          <w:tab w:val="clear" w:pos="4320"/>
          <w:tab w:val="left" w:pos="720" w:leader="none"/>
        </w:tabs>
        <w:ind w:hanging="720" w:start="720" w:end="0"/>
        <w:rPr/>
      </w:pPr>
      <w:r>
        <w:rPr/>
        <w:t>Puerto Rico (EcoElectrica &amp; ProCaribe) LNG/LPG Fuel Supply and Management</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 w:val="left" w:pos="3600" w:leader="none"/>
          <w:tab w:val="left" w:pos="4320" w:leader="none"/>
        </w:tabs>
        <w:ind w:hanging="1440" w:start="1440" w:end="0"/>
        <w:jc w:val="both"/>
        <w:rPr>
          <w:rFonts w:ascii="Arial" w:hAnsi="Arial" w:cs="Arial"/>
          <w:sz w:val="22"/>
        </w:rPr>
      </w:pPr>
      <w:r>
        <w:rPr>
          <w:rFonts w:cs="Arial" w:ascii="Arial" w:hAnsi="Arial"/>
          <w:sz w:val="22"/>
        </w:rPr>
        <w:tab/>
        <w:t>1.</w:t>
        <w:tab/>
        <w:t xml:space="preserve">LNG Sale and Purchase Agreement between EcoElectrica and Cabot LNG </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Propane Sale and Purchase Agreement between EcoElectrica and Dynegy</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Settlement Agreement between EcoElectrica and Dynegy re Take-or-Pay Claims Pursuant to Propane Sale and Purchase Agreement between EcoElectrica and Dynegy</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Operation, Maintenance and Fuel Management Agreement between EcoElectrica L.P. and EI Puerto Rico Operations, Inc.</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 xml:space="preserve">LNG Fuel Management Agreement among Enron International Fuel Management Company (“EIFMC”), EI Puerto Rico Operations, Inc. and EcoElectrica L.P. </w:t>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LNG Tolling Services Agreement</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b/>
          <w:sz w:val="22"/>
        </w:rPr>
      </w:pPr>
      <w:r>
        <w:rPr>
          <w:rFonts w:cs="Arial" w:ascii="Arial" w:hAnsi="Arial"/>
          <w:b/>
          <w:sz w:val="22"/>
        </w:rPr>
      </w:r>
    </w:p>
    <w:p>
      <w:pPr>
        <w:pStyle w:val="Normal"/>
        <w:ind w:start="1224" w:end="0"/>
        <w:jc w:val="both"/>
        <w:rPr>
          <w:rFonts w:ascii="Arial" w:hAnsi="Arial" w:cs="Arial"/>
          <w:b/>
          <w:sz w:val="22"/>
        </w:rPr>
      </w:pPr>
      <w:r>
        <w:rPr>
          <w:rFonts w:cs="Arial" w:ascii="Arial" w:hAnsi="Arial"/>
          <w:b/>
          <w:sz w:val="22"/>
        </w:rPr>
      </w:r>
    </w:p>
    <w:p>
      <w:pPr>
        <w:pStyle w:val="Heading5"/>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rPr/>
      </w:pPr>
      <w:r>
        <w:rPr/>
        <w:t xml:space="preserve">II. </w:t>
        <w:tab/>
        <w:t>LNG TRANSPORTATION PROJECTS</w:t>
      </w:r>
    </w:p>
    <w:p>
      <w:pPr>
        <w:pStyle w:val="Normal"/>
        <w:jc w:val="both"/>
        <w:rPr>
          <w:rFonts w:ascii="Arial" w:hAnsi="Arial" w:cs="Arial"/>
          <w:sz w:val="22"/>
        </w:rPr>
      </w:pPr>
      <w:r>
        <w:rPr>
          <w:rFonts w:cs="Arial" w:ascii="Arial" w:hAnsi="Arial"/>
          <w:sz w:val="22"/>
        </w:rPr>
      </w:r>
    </w:p>
    <w:p>
      <w:pPr>
        <w:pStyle w:val="Normal"/>
        <w:numPr>
          <w:ilvl w:val="0"/>
          <w:numId w:val="6"/>
        </w:numPr>
        <w:tabs>
          <w:tab w:val="left" w:pos="720" w:leader="none"/>
        </w:tabs>
        <w:ind w:hanging="720" w:start="720" w:end="0"/>
        <w:jc w:val="both"/>
        <w:rPr>
          <w:rFonts w:ascii="Arial" w:hAnsi="Arial" w:cs="Arial"/>
          <w:b/>
          <w:sz w:val="22"/>
        </w:rPr>
      </w:pPr>
      <w:r>
        <w:rPr>
          <w:rFonts w:cs="Arial" w:ascii="Arial" w:hAnsi="Arial"/>
          <w:b/>
          <w:sz w:val="22"/>
        </w:rPr>
        <w:t>Dabhol Phase II LNG Transportation (LNG LAXMI Time Charter Party)</w:t>
      </w:r>
    </w:p>
    <w:p>
      <w:pPr>
        <w:pStyle w:val="Normal"/>
        <w:jc w:val="both"/>
        <w:rPr>
          <w:rFonts w:ascii="Arial" w:hAnsi="Arial" w:cs="Arial"/>
          <w:b/>
          <w:sz w:val="22"/>
        </w:rPr>
      </w:pPr>
      <w:r>
        <w:rPr>
          <w:rFonts w:cs="Arial" w:ascii="Arial" w:hAnsi="Arial"/>
          <w:b/>
          <w:sz w:val="22"/>
        </w:rPr>
      </w:r>
    </w:p>
    <w:p>
      <w:pPr>
        <w:pStyle w:val="Normal"/>
        <w:tabs>
          <w:tab w:val="left" w:pos="720" w:leader="none"/>
          <w:tab w:val="left" w:pos="1440" w:leader="none"/>
          <w:tab w:val="left" w:pos="2880" w:leader="none"/>
          <w:tab w:val="left" w:pos="3600" w:leader="none"/>
          <w:tab w:val="left" w:pos="4320" w:leader="none"/>
        </w:tabs>
        <w:ind w:hanging="1440" w:start="1440" w:end="0"/>
        <w:jc w:val="both"/>
        <w:rPr>
          <w:rFonts w:ascii="Arial" w:hAnsi="Arial" w:cs="Arial"/>
          <w:sz w:val="22"/>
        </w:rPr>
      </w:pPr>
      <w:r>
        <w:rPr>
          <w:rFonts w:cs="Arial" w:ascii="Arial" w:hAnsi="Arial"/>
          <w:sz w:val="22"/>
        </w:rPr>
        <w:tab/>
        <w:t>1.</w:t>
        <w:tab/>
        <w:t>Time Charter Party between DPC and Greenfield Shipping Company Limited (“GSCL”)</w:t>
      </w:r>
    </w:p>
    <w:p>
      <w:pPr>
        <w:pStyle w:val="Normal"/>
        <w:numPr>
          <w:ilvl w:val="0"/>
          <w:numId w:val="18"/>
        </w:numPr>
        <w:tabs>
          <w:tab w:val="left" w:pos="720" w:leader="none"/>
          <w:tab w:val="left" w:pos="144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Liquidity Letter of Credit (in the amount of $10 million to be posted by DPC in favor of GSCL prior to delivery of the Vessel)</w:t>
      </w:r>
    </w:p>
    <w:p>
      <w:pPr>
        <w:pStyle w:val="Normal"/>
        <w:numPr>
          <w:ilvl w:val="0"/>
          <w:numId w:val="18"/>
        </w:numPr>
        <w:tabs>
          <w:tab w:val="left" w:pos="720" w:leader="none"/>
          <w:tab w:val="left" w:pos="1440" w:leader="none"/>
          <w:tab w:val="left" w:pos="2880" w:leader="none"/>
          <w:tab w:val="left" w:pos="3600" w:leader="none"/>
          <w:tab w:val="left" w:pos="4320" w:leader="none"/>
        </w:tabs>
        <w:ind w:hanging="720" w:start="1440" w:end="0"/>
        <w:jc w:val="both"/>
        <w:rPr>
          <w:rFonts w:ascii="Arial" w:hAnsi="Arial" w:cs="Arial"/>
          <w:sz w:val="22"/>
        </w:rPr>
      </w:pPr>
      <w:r>
        <w:rPr>
          <w:rFonts w:cs="Arial" w:ascii="Arial" w:hAnsi="Arial"/>
          <w:sz w:val="22"/>
        </w:rPr>
        <w:t>Force Majeure Letter of Credit (in the amount of $60 million to be posted by DPC in favor of GSCL prior to delivery of the Vessel)</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ab/>
        <w:t>4.</w:t>
        <w:tab/>
        <w:t>Performance Guaranty by MOL in favor of DPC</w:t>
      </w:r>
    </w:p>
    <w:p>
      <w:pPr>
        <w:pStyle w:val="Normal"/>
        <w:numPr>
          <w:ilvl w:val="0"/>
          <w:numId w:val="14"/>
        </w:numPr>
        <w:tabs>
          <w:tab w:val="left" w:pos="720" w:leader="none"/>
          <w:tab w:val="left" w:pos="3600" w:leader="none"/>
          <w:tab w:val="left" w:pos="4320" w:leader="none"/>
        </w:tabs>
        <w:jc w:val="both"/>
        <w:rPr>
          <w:rFonts w:ascii="Arial" w:hAnsi="Arial" w:cs="Arial"/>
          <w:sz w:val="22"/>
        </w:rPr>
      </w:pPr>
      <w:r>
        <w:rPr>
          <w:rFonts w:cs="Arial" w:ascii="Arial" w:hAnsi="Arial"/>
          <w:sz w:val="22"/>
        </w:rPr>
        <w:t>Shipbuilding Contract &amp; Side Letters between GSCL and Mitsubishi Heavy Industries Ltd. (“MHI”)</w:t>
      </w:r>
    </w:p>
    <w:p>
      <w:pPr>
        <w:pStyle w:val="Normal"/>
        <w:ind w:hanging="720" w:start="1440" w:end="0"/>
        <w:jc w:val="both"/>
        <w:rPr>
          <w:rFonts w:ascii="Arial" w:hAnsi="Arial" w:cs="Arial"/>
          <w:sz w:val="22"/>
        </w:rPr>
      </w:pPr>
      <w:r>
        <w:rPr>
          <w:rFonts w:cs="Arial" w:ascii="Arial" w:hAnsi="Arial"/>
          <w:sz w:val="22"/>
        </w:rPr>
        <w:t>6.</w:t>
        <w:tab/>
        <w:t>Refund Guarantee by Bank of Tokyo-Mitsubishi (on behalf of MHI) in favor of GSCL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b/>
          <w:sz w:val="22"/>
        </w:rPr>
        <w:t>B.</w:t>
        <w:tab/>
        <w:t>LNG Shipping Joint Venture – Greenfield Shipping Company (LNG LAXMI)</w:t>
      </w:r>
    </w:p>
    <w:p>
      <w:pPr>
        <w:pStyle w:val="Normal"/>
        <w:ind w:start="720" w:end="0"/>
        <w:jc w:val="both"/>
        <w:rPr>
          <w:rFonts w:ascii="Arial" w:hAnsi="Arial" w:cs="Arial"/>
          <w:b/>
          <w:sz w:val="22"/>
        </w:rPr>
      </w:pPr>
      <w:r>
        <w:rPr>
          <w:rFonts w:cs="Arial" w:ascii="Arial" w:hAnsi="Arial"/>
          <w:b/>
          <w:sz w:val="22"/>
        </w:rPr>
      </w:r>
    </w:p>
    <w:p>
      <w:pPr>
        <w:pStyle w:val="Normal"/>
        <w:numPr>
          <w:ilvl w:val="2"/>
          <w:numId w:val="6"/>
        </w:numPr>
        <w:ind w:hanging="720" w:start="1440" w:end="0"/>
        <w:jc w:val="both"/>
        <w:rPr>
          <w:rFonts w:ascii="Arial" w:hAnsi="Arial" w:cs="Arial"/>
          <w:b/>
          <w:sz w:val="22"/>
        </w:rPr>
      </w:pPr>
      <w:r>
        <w:rPr>
          <w:rFonts w:cs="Arial" w:ascii="Arial" w:hAnsi="Arial"/>
          <w:b/>
          <w:sz w:val="22"/>
        </w:rPr>
        <w:t>Formation and Capitalization of Joint Venture Companies</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3600" w:leader="none"/>
          <w:tab w:val="left" w:pos="4320" w:leader="none"/>
        </w:tabs>
        <w:ind w:hanging="720" w:start="2160" w:end="0"/>
        <w:jc w:val="both"/>
        <w:rPr>
          <w:rFonts w:ascii="Arial" w:hAnsi="Arial" w:cs="Arial"/>
          <w:sz w:val="22"/>
        </w:rPr>
      </w:pPr>
      <w:r>
        <w:rPr>
          <w:rFonts w:cs="Arial" w:ascii="Arial" w:hAnsi="Arial"/>
          <w:sz w:val="22"/>
        </w:rPr>
        <w:t>a.</w:t>
        <w:tab/>
        <w:t>Shareholders Agreement among MOL, Atlantic Commercial Finance, Inc. (“ACFI”) and Greenfield Holding Company Limited (“GHCL”)</w:t>
      </w:r>
    </w:p>
    <w:p>
      <w:pPr>
        <w:pStyle w:val="Normal"/>
        <w:tabs>
          <w:tab w:val="left" w:pos="720" w:leader="none"/>
          <w:tab w:val="left" w:pos="1440" w:leader="none"/>
          <w:tab w:val="left" w:pos="2160" w:leader="none"/>
        </w:tabs>
        <w:ind w:hanging="2160" w:start="2160" w:end="0"/>
        <w:jc w:val="both"/>
        <w:rPr>
          <w:rFonts w:ascii="Arial" w:hAnsi="Arial" w:cs="Arial"/>
          <w:sz w:val="22"/>
        </w:rPr>
      </w:pPr>
      <w:r>
        <w:rPr>
          <w:rFonts w:cs="Arial" w:ascii="Arial" w:hAnsi="Arial"/>
          <w:sz w:val="22"/>
        </w:rPr>
        <w:tab/>
        <w:tab/>
        <w:t>b.</w:t>
        <w:tab/>
        <w:t>Share Purchase Agreement among The Shipping Corporation of India Ltd. (“SCI”), MOL, ACFI and GHCL</w:t>
      </w:r>
    </w:p>
    <w:p>
      <w:pPr>
        <w:pStyle w:val="Normal"/>
        <w:numPr>
          <w:ilvl w:val="0"/>
          <w:numId w:val="23"/>
        </w:numPr>
        <w:tabs>
          <w:tab w:val="left" w:pos="720" w:leader="none"/>
          <w:tab w:val="left" w:pos="1440" w:leader="none"/>
        </w:tabs>
        <w:jc w:val="both"/>
        <w:rPr>
          <w:rFonts w:ascii="Arial" w:hAnsi="Arial" w:cs="Arial"/>
          <w:sz w:val="22"/>
        </w:rPr>
      </w:pPr>
      <w:r>
        <w:rPr>
          <w:rFonts w:cs="Arial" w:ascii="Arial" w:hAnsi="Arial"/>
          <w:sz w:val="22"/>
        </w:rPr>
        <w:t>First Amended and Restated Shareholders Agreement among MOL, ACFI, GHCL and SCI</w:t>
      </w:r>
    </w:p>
    <w:p>
      <w:pPr>
        <w:pStyle w:val="Normal"/>
        <w:numPr>
          <w:ilvl w:val="0"/>
          <w:numId w:val="23"/>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Voting Agreement among MOL and ACFI</w:t>
      </w:r>
    </w:p>
    <w:p>
      <w:pPr>
        <w:pStyle w:val="Normal"/>
        <w:numPr>
          <w:ilvl w:val="0"/>
          <w:numId w:val="23"/>
        </w:numPr>
        <w:tabs>
          <w:tab w:val="left" w:pos="720" w:leader="none"/>
          <w:tab w:val="left" w:pos="1440" w:leader="none"/>
          <w:tab w:val="left" w:pos="3600" w:leader="none"/>
          <w:tab w:val="left" w:pos="4320" w:leader="none"/>
        </w:tabs>
        <w:jc w:val="both"/>
        <w:rPr>
          <w:rFonts w:ascii="Arial" w:hAnsi="Arial" w:cs="Arial"/>
          <w:sz w:val="22"/>
        </w:rPr>
      </w:pPr>
      <w:r>
        <w:rPr>
          <w:rFonts w:cs="Arial" w:ascii="Arial" w:hAnsi="Arial"/>
          <w:sz w:val="22"/>
        </w:rPr>
        <w:t>First Amended and Restated Voting Agreement among MOL and ACFI</w:t>
      </w:r>
    </w:p>
    <w:p>
      <w:pPr>
        <w:pStyle w:val="Normal"/>
        <w:tabs>
          <w:tab w:val="left" w:pos="720" w:leader="none"/>
          <w:tab w:val="left" w:pos="1440" w:leader="none"/>
          <w:tab w:val="left" w:pos="2160" w:leader="none"/>
          <w:tab w:val="left" w:pos="3600" w:leader="none"/>
          <w:tab w:val="left" w:pos="4320" w:leader="none"/>
        </w:tabs>
        <w:ind w:hanging="2160" w:start="2160" w:end="0"/>
        <w:jc w:val="both"/>
        <w:rPr>
          <w:rFonts w:ascii="Arial" w:hAnsi="Arial" w:cs="Arial"/>
          <w:sz w:val="22"/>
        </w:rPr>
      </w:pPr>
      <w:r>
        <w:rPr>
          <w:rFonts w:cs="Arial" w:ascii="Arial" w:hAnsi="Arial"/>
          <w:sz w:val="22"/>
        </w:rPr>
        <w:tab/>
        <w:tab/>
        <w:t>f.</w:t>
        <w:tab/>
        <w:t>Supervision and Pre-Delivery Management Agreement between MOL and GSCL</w:t>
      </w:r>
    </w:p>
    <w:p>
      <w:pPr>
        <w:pStyle w:val="Normal"/>
        <w:numPr>
          <w:ilvl w:val="0"/>
          <w:numId w:val="26"/>
        </w:numPr>
        <w:tabs>
          <w:tab w:val="left" w:pos="720" w:leader="none"/>
          <w:tab w:val="left" w:pos="1440" w:leader="none"/>
          <w:tab w:val="left" w:pos="2160" w:leader="none"/>
          <w:tab w:val="left" w:pos="3600" w:leader="none"/>
          <w:tab w:val="left" w:pos="4320" w:leader="none"/>
        </w:tabs>
        <w:ind w:hanging="720" w:start="2160" w:end="0"/>
        <w:jc w:val="both"/>
        <w:rPr>
          <w:rFonts w:ascii="Arial" w:hAnsi="Arial" w:cs="Arial"/>
          <w:sz w:val="22"/>
        </w:rPr>
      </w:pPr>
      <w:r>
        <w:rPr>
          <w:rFonts w:cs="Arial" w:ascii="Arial" w:hAnsi="Arial"/>
          <w:sz w:val="22"/>
        </w:rPr>
        <w:t>Management Agreement between GSCL and MOL</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ab/>
        <w:tab/>
        <w:t>h.</w:t>
        <w:tab/>
        <w:t>Dividend Maintenance Agreement between MOL and ACFI</w:t>
      </w:r>
    </w:p>
    <w:p>
      <w:pPr>
        <w:pStyle w:val="Normal"/>
        <w:tabs>
          <w:tab w:val="left" w:pos="720" w:leader="none"/>
          <w:tab w:val="left" w:pos="1440" w:leader="none"/>
          <w:tab w:val="left" w:pos="2160" w:leader="none"/>
          <w:tab w:val="left" w:pos="3600" w:leader="none"/>
          <w:tab w:val="left" w:pos="4320" w:leader="none"/>
        </w:tabs>
        <w:ind w:hanging="2160" w:start="2160" w:end="0"/>
        <w:jc w:val="both"/>
        <w:rPr>
          <w:rFonts w:ascii="Arial" w:hAnsi="Arial" w:cs="Arial"/>
          <w:sz w:val="22"/>
        </w:rPr>
      </w:pPr>
      <w:r>
        <w:rPr>
          <w:rFonts w:cs="Arial" w:ascii="Arial" w:hAnsi="Arial"/>
          <w:sz w:val="22"/>
        </w:rPr>
        <w:tab/>
        <w:tab/>
        <w:t>i.</w:t>
        <w:tab/>
        <w:t>Enron Support Agreement between Enron International Inc. and GSCL</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ab/>
        <w:tab/>
        <w:t>j.</w:t>
        <w:tab/>
        <w:t>Sponsors Costs Agreement among MOL, ACFI and GHCL</w:t>
      </w:r>
    </w:p>
    <w:p>
      <w:pPr>
        <w:pStyle w:val="Normal"/>
        <w:tabs>
          <w:tab w:val="left" w:pos="720" w:leader="none"/>
          <w:tab w:val="left" w:pos="1440" w:leader="none"/>
          <w:tab w:val="left" w:pos="2160" w:leader="none"/>
          <w:tab w:val="left" w:pos="2880" w:leader="none"/>
          <w:tab w:val="left" w:pos="3600" w:leader="none"/>
          <w:tab w:val="left" w:pos="4320" w:leader="none"/>
        </w:tabs>
        <w:ind w:hanging="2160" w:start="2160" w:end="0"/>
        <w:jc w:val="both"/>
        <w:rPr>
          <w:rFonts w:ascii="Arial" w:hAnsi="Arial" w:cs="Arial"/>
          <w:sz w:val="22"/>
        </w:rPr>
      </w:pPr>
      <w:r>
        <w:rPr>
          <w:rFonts w:cs="Arial" w:ascii="Arial" w:hAnsi="Arial"/>
          <w:sz w:val="22"/>
        </w:rPr>
        <w:tab/>
        <w:tab/>
        <w:t>k.</w:t>
        <w:tab/>
        <w:t>First Amendment to Sponsors Costs Agreement among MOL, ACFI, SCI and GHCL</w:t>
      </w:r>
    </w:p>
    <w:p>
      <w:pPr>
        <w:pStyle w:val="Normal"/>
        <w:tabs>
          <w:tab w:val="left" w:pos="720" w:leader="none"/>
          <w:tab w:val="left" w:pos="1440" w:leader="none"/>
          <w:tab w:val="left" w:pos="2160" w:leader="none"/>
          <w:tab w:val="left" w:pos="2880" w:leader="none"/>
          <w:tab w:val="left" w:pos="3600" w:leader="none"/>
          <w:tab w:val="left" w:pos="4320" w:leader="none"/>
        </w:tabs>
        <w:ind w:hanging="2160" w:start="2160" w:end="0"/>
        <w:jc w:val="both"/>
        <w:rPr>
          <w:rFonts w:ascii="Arial" w:hAnsi="Arial" w:cs="Arial"/>
          <w:sz w:val="22"/>
        </w:rPr>
      </w:pPr>
      <w:r>
        <w:rPr>
          <w:rFonts w:cs="Arial" w:ascii="Arial" w:hAnsi="Arial"/>
          <w:sz w:val="22"/>
        </w:rPr>
        <w:tab/>
        <w:tab/>
        <w:t>l.</w:t>
        <w:tab/>
        <w:t>Supervision, Training and Crewing Agreement between MOL and SCI</w:t>
      </w:r>
    </w:p>
    <w:p>
      <w:pPr>
        <w:pStyle w:val="Normal"/>
        <w:tabs>
          <w:tab w:val="left" w:pos="720" w:leader="none"/>
          <w:tab w:val="left" w:pos="1440" w:leader="none"/>
          <w:tab w:val="left" w:pos="2160" w:leader="none"/>
          <w:tab w:val="left" w:pos="8100" w:leader="none"/>
          <w:tab w:val="left" w:pos="8640" w:leader="none"/>
        </w:tabs>
        <w:ind w:hanging="2160" w:start="2160" w:end="0"/>
        <w:jc w:val="both"/>
        <w:rPr>
          <w:rFonts w:ascii="Arial" w:hAnsi="Arial" w:cs="Arial"/>
          <w:sz w:val="22"/>
        </w:rPr>
      </w:pPr>
      <w:r>
        <w:rPr>
          <w:rFonts w:cs="Arial" w:ascii="Arial" w:hAnsi="Arial"/>
          <w:sz w:val="22"/>
        </w:rPr>
        <w:tab/>
        <w:tab/>
        <w:t>m.</w:t>
        <w:tab/>
        <w:t>Credit Agreement relating to a subordinated dollar term loan facility of US$75,000,000 between GSCL as Borrower and GHCL as Lender</w:t>
      </w:r>
    </w:p>
    <w:p>
      <w:pPr>
        <w:pStyle w:val="BlockText"/>
        <w:tabs>
          <w:tab w:val="left" w:pos="720" w:leader="none"/>
          <w:tab w:val="left" w:pos="1440" w:leader="none"/>
          <w:tab w:val="left" w:pos="2160" w:leader="none"/>
        </w:tabs>
        <w:ind w:hanging="2160" w:start="2160" w:end="0"/>
        <w:jc w:val="both"/>
        <w:rPr/>
      </w:pPr>
      <w:r>
        <w:rPr/>
        <w:tab/>
        <w:tab/>
        <w:t>n.</w:t>
        <w:tab/>
        <w:t>Credit Agreement relating to a dollar term loan facility of US$4,000,000 between GHCL as Borrower and ACFI as Lender</w:t>
      </w:r>
    </w:p>
    <w:p>
      <w:pPr>
        <w:pStyle w:val="Normal"/>
        <w:tabs>
          <w:tab w:val="left" w:pos="720" w:leader="none"/>
          <w:tab w:val="left" w:pos="1440" w:leader="none"/>
          <w:tab w:val="left" w:pos="2160" w:leader="none"/>
          <w:tab w:val="left" w:pos="8640" w:leader="none"/>
        </w:tabs>
        <w:ind w:hanging="2160" w:start="2160" w:end="0"/>
        <w:jc w:val="both"/>
        <w:rPr>
          <w:rFonts w:ascii="Arial" w:hAnsi="Arial" w:cs="Arial"/>
          <w:sz w:val="22"/>
        </w:rPr>
      </w:pPr>
      <w:r>
        <w:rPr>
          <w:rFonts w:cs="Arial" w:ascii="Arial" w:hAnsi="Arial"/>
          <w:sz w:val="22"/>
        </w:rPr>
        <w:tab/>
        <w:tab/>
        <w:t>o.</w:t>
        <w:tab/>
        <w:t>Credit Agreement relating to a dollar term loan facility of US$4,000,000 between GHCL as Borrower and SCI as Lender</w:t>
      </w:r>
    </w:p>
    <w:p>
      <w:pPr>
        <w:pStyle w:val="Normal"/>
        <w:tabs>
          <w:tab w:val="left" w:pos="720" w:leader="none"/>
          <w:tab w:val="left" w:pos="1440" w:leader="none"/>
          <w:tab w:val="left" w:pos="2160" w:leader="none"/>
        </w:tabs>
        <w:ind w:hanging="2160" w:start="2160" w:end="0"/>
        <w:jc w:val="both"/>
        <w:rPr>
          <w:rFonts w:ascii="Arial" w:hAnsi="Arial" w:cs="Arial"/>
          <w:sz w:val="22"/>
        </w:rPr>
      </w:pPr>
      <w:r>
        <w:rPr>
          <w:rFonts w:cs="Arial" w:ascii="Arial" w:hAnsi="Arial"/>
          <w:sz w:val="22"/>
        </w:rPr>
        <w:tab/>
        <w:tab/>
        <w:t>p.</w:t>
        <w:tab/>
        <w:t>Credit Agreement relating to a dollar term loan facility of US$3,813,483.84 between GHCL as Borrower and ACFI as Lender</w:t>
      </w:r>
    </w:p>
    <w:p>
      <w:pPr>
        <w:pStyle w:val="Normal"/>
        <w:tabs>
          <w:tab w:val="left" w:pos="720" w:leader="none"/>
          <w:tab w:val="left" w:pos="1440" w:leader="none"/>
          <w:tab w:val="left" w:pos="2160" w:leader="none"/>
        </w:tabs>
        <w:ind w:hanging="2160" w:start="2160" w:end="0"/>
        <w:jc w:val="both"/>
        <w:rPr>
          <w:rFonts w:ascii="Arial" w:hAnsi="Arial" w:cs="Arial"/>
          <w:sz w:val="22"/>
        </w:rPr>
      </w:pPr>
      <w:r>
        <w:rPr>
          <w:rFonts w:cs="Arial" w:ascii="Arial" w:hAnsi="Arial"/>
          <w:sz w:val="22"/>
        </w:rPr>
        <w:tab/>
        <w:tab/>
        <w:t>q.</w:t>
        <w:tab/>
        <w:t>Bridging Loan Agreement relating to a dollar term loan facility of US$11,440,451.51 between GHCL as Borrower and MOL as Lender</w:t>
      </w:r>
    </w:p>
    <w:p>
      <w:pPr>
        <w:pStyle w:val="Normal"/>
        <w:tabs>
          <w:tab w:val="left" w:pos="720" w:leader="none"/>
          <w:tab w:val="left" w:pos="1440" w:leader="none"/>
          <w:tab w:val="left" w:pos="2160" w:leader="none"/>
          <w:tab w:val="left" w:pos="8640" w:leader="none"/>
        </w:tabs>
        <w:ind w:hanging="2160" w:start="2160" w:end="0"/>
        <w:jc w:val="both"/>
        <w:rPr>
          <w:rFonts w:ascii="Arial" w:hAnsi="Arial" w:cs="Arial"/>
          <w:sz w:val="22"/>
        </w:rPr>
      </w:pPr>
      <w:r>
        <w:rPr>
          <w:rFonts w:cs="Arial" w:ascii="Arial" w:hAnsi="Arial"/>
          <w:sz w:val="22"/>
        </w:rPr>
        <w:tab/>
        <w:tab/>
        <w:t>r.</w:t>
        <w:tab/>
        <w:t>Credit Agreement relating to a dollar term loan facility of US$12,000,000 between GHCL as Borrower and MOL as Lender</w:t>
      </w:r>
    </w:p>
    <w:p>
      <w:pPr>
        <w:pStyle w:val="Normal"/>
        <w:ind w:start="1224" w:end="0"/>
        <w:jc w:val="both"/>
        <w:rPr>
          <w:rFonts w:ascii="Arial" w:hAnsi="Arial" w:cs="Arial"/>
          <w:sz w:val="22"/>
        </w:rPr>
      </w:pPr>
      <w:r>
        <w:rPr>
          <w:rFonts w:cs="Arial" w:ascii="Arial" w:hAnsi="Arial"/>
          <w:sz w:val="22"/>
        </w:rPr>
      </w:r>
    </w:p>
    <w:p>
      <w:pPr>
        <w:pStyle w:val="Normal"/>
        <w:numPr>
          <w:ilvl w:val="2"/>
          <w:numId w:val="6"/>
        </w:numPr>
        <w:ind w:hanging="720" w:start="1440" w:end="0"/>
        <w:jc w:val="both"/>
        <w:rPr>
          <w:rFonts w:ascii="Arial" w:hAnsi="Arial" w:cs="Arial"/>
          <w:b/>
          <w:sz w:val="22"/>
        </w:rPr>
      </w:pPr>
      <w:r>
        <w:rPr>
          <w:rFonts w:cs="Arial" w:ascii="Arial" w:hAnsi="Arial"/>
          <w:b/>
          <w:sz w:val="22"/>
        </w:rPr>
        <w:t>LNG Ship Financing (LNG LAXMI)</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b/>
          <w:sz w:val="22"/>
        </w:rPr>
      </w:pPr>
      <w:r>
        <w:rPr>
          <w:rFonts w:cs="Arial" w:ascii="Arial" w:hAnsi="Arial"/>
          <w:b/>
          <w:sz w:val="22"/>
        </w:rPr>
      </w:r>
    </w:p>
    <w:p>
      <w:pPr>
        <w:pStyle w:val="Normal"/>
        <w:numPr>
          <w:ilvl w:val="0"/>
          <w:numId w:val="22"/>
        </w:numPr>
        <w:tabs>
          <w:tab w:val="left" w:pos="720" w:leader="none"/>
          <w:tab w:val="left" w:pos="1440" w:leader="none"/>
          <w:tab w:val="left" w:pos="3600" w:leader="none"/>
          <w:tab w:val="left" w:pos="4320" w:leader="none"/>
        </w:tabs>
        <w:jc w:val="both"/>
        <w:rPr>
          <w:rFonts w:ascii="Arial" w:hAnsi="Arial" w:cs="Arial"/>
          <w:sz w:val="22"/>
        </w:rPr>
      </w:pPr>
      <w:r>
        <w:rPr>
          <w:rFonts w:cs="Arial" w:ascii="Arial" w:hAnsi="Arial"/>
          <w:sz w:val="22"/>
        </w:rPr>
        <w:t>Loan Agreement among Australia and New Zealand Banking Group Limited (as security agent and trustee) (“ANZ”), various Banks and Greenfield Shipping Company Ltd. (“GSCL”)</w:t>
      </w:r>
    </w:p>
    <w:p>
      <w:pPr>
        <w:pStyle w:val="BlockText"/>
        <w:tabs>
          <w:tab w:val="left" w:pos="720" w:leader="none"/>
          <w:tab w:val="left" w:pos="1440" w:leader="none"/>
          <w:tab w:val="left" w:pos="2160" w:leader="none"/>
          <w:tab w:val="left" w:pos="9360" w:leader="none"/>
        </w:tabs>
        <w:ind w:hanging="2160" w:start="2160" w:end="0"/>
        <w:jc w:val="both"/>
        <w:rPr/>
      </w:pPr>
      <w:r>
        <w:rPr/>
        <w:tab/>
        <w:tab/>
        <w:t>b.</w:t>
        <w:tab/>
        <w:t xml:space="preserve">First Supplemental Agreement to a Loan Agreement dated 12 February, 1999 among ANZ, various Banks and GSCL </w:t>
      </w:r>
    </w:p>
    <w:p>
      <w:pPr>
        <w:pStyle w:val="Normal"/>
        <w:tabs>
          <w:tab w:val="left" w:pos="720" w:leader="none"/>
          <w:tab w:val="left" w:pos="1440" w:leader="none"/>
          <w:tab w:val="left" w:pos="2160" w:leader="none"/>
        </w:tabs>
        <w:ind w:hanging="2160" w:start="2160" w:end="0"/>
        <w:jc w:val="both"/>
        <w:rPr>
          <w:rFonts w:ascii="Arial" w:hAnsi="Arial" w:cs="Arial"/>
          <w:sz w:val="22"/>
        </w:rPr>
      </w:pPr>
      <w:r>
        <w:rPr>
          <w:rFonts w:cs="Arial" w:ascii="Arial" w:hAnsi="Arial"/>
          <w:sz w:val="22"/>
        </w:rPr>
        <w:tab/>
        <w:tab/>
        <w:t>c.</w:t>
        <w:tab/>
        <w:t xml:space="preserve">Deed of Accession and Amendment among Australia and New Zealand Banking Group Limited (as security agent and trustee) (“ANZ”), MOL, ACFI and SCI </w:t>
      </w:r>
    </w:p>
    <w:p>
      <w:pPr>
        <w:pStyle w:val="Normal"/>
        <w:numPr>
          <w:ilvl w:val="0"/>
          <w:numId w:val="15"/>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Co-ordination Agreement among ANZ, GHCL and GSCL</w:t>
      </w:r>
    </w:p>
    <w:p>
      <w:pPr>
        <w:pStyle w:val="Normal"/>
        <w:numPr>
          <w:ilvl w:val="0"/>
          <w:numId w:val="15"/>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Pre-Delivery Security Assignment between GSCL and ANZ</w:t>
      </w:r>
    </w:p>
    <w:p>
      <w:pPr>
        <w:pStyle w:val="Normal"/>
        <w:numPr>
          <w:ilvl w:val="0"/>
          <w:numId w:val="15"/>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Mortgage by GSCL in favor of ANZ [To be executed upon delivery of Vessel from Shipyard]</w:t>
      </w:r>
    </w:p>
    <w:p>
      <w:pPr>
        <w:pStyle w:val="Normal"/>
        <w:numPr>
          <w:ilvl w:val="0"/>
          <w:numId w:val="15"/>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Deed of Covenant between GSCL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General Assignment between GSCL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Charter Assignment between GSCL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Accounts Charge between GSCL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Manager’s Undertaking between MOL and ANZ</w:t>
      </w:r>
    </w:p>
    <w:p>
      <w:pPr>
        <w:pStyle w:val="Normal"/>
        <w:numPr>
          <w:ilvl w:val="0"/>
          <w:numId w:val="26"/>
        </w:numPr>
        <w:tabs>
          <w:tab w:val="left" w:pos="720" w:leader="none"/>
          <w:tab w:val="left" w:pos="1440" w:leader="none"/>
          <w:tab w:val="left" w:pos="2160" w:leader="none"/>
        </w:tabs>
        <w:ind w:hanging="720" w:start="2160" w:end="0"/>
        <w:jc w:val="both"/>
        <w:rPr>
          <w:rFonts w:ascii="Arial" w:hAnsi="Arial" w:cs="Arial"/>
          <w:sz w:val="22"/>
        </w:rPr>
      </w:pPr>
      <w:r>
        <w:rPr>
          <w:rFonts w:cs="Arial" w:ascii="Arial" w:hAnsi="Arial"/>
          <w:sz w:val="22"/>
        </w:rPr>
        <w:t>Letter of Credit (in the amount of $10 Million to be posted by GSCL in favor of ANZ upon Delivery of the Vessel.  Can be replaced with a deposit into the Reserve Account maintained with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L/C Assignment between GSCL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Sale Shortfall Agreement among Enron Corp, ANZ and GSCL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Project Co-ordination Agreement among DPC, GSCL, ANZ, US Bank National Association and Industrial Bank of India</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Refinancing Deed among Enron Corp. ANZ, various Banks and GSCL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Minimum Equity Guarantee among Enron Corp, Fuji Bank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Supplemental Agreement to Minimum Equity Guarantee [between SCI Guarantor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Sponsors’ Costs Agreement among MOL, ACFI, SCI and GHCL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Side Agreement to Sponsors’ Costs Agreement among MOL, ACFI, SCI and GHCL</w:t>
      </w:r>
    </w:p>
    <w:p>
      <w:pPr>
        <w:pStyle w:val="Normal"/>
        <w:numPr>
          <w:ilvl w:val="0"/>
          <w:numId w:val="26"/>
        </w:numPr>
        <w:tabs>
          <w:tab w:val="left" w:pos="720" w:leader="none"/>
          <w:tab w:val="left" w:pos="1440" w:leader="none"/>
          <w:tab w:val="left" w:pos="2070" w:leader="none"/>
        </w:tabs>
        <w:ind w:hanging="720" w:start="2160" w:end="576"/>
        <w:jc w:val="both"/>
        <w:rPr>
          <w:rFonts w:ascii="Arial" w:hAnsi="Arial" w:cs="Arial"/>
          <w:sz w:val="22"/>
        </w:rPr>
      </w:pPr>
      <w:r>
        <w:rPr>
          <w:rFonts w:cs="Arial" w:ascii="Arial" w:hAnsi="Arial"/>
          <w:sz w:val="22"/>
        </w:rPr>
        <w:t xml:space="preserve">Sponsor’s Undertaking among ANZ, MOL and ACFI </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Undertaking and Guaranty [Bechtel/GE Capital?]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Swap Agreement between Enron Capital &amp; Trade Resources Corp. and GSCL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Swap and Guarantee Assignment between GSCL and ANZ</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Deed of Confirmation and Acknowledgement by ACFI in favor of ANZ, GHCL and GSCL</w:t>
      </w:r>
    </w:p>
    <w:p>
      <w:pPr>
        <w:pStyle w:val="Normal"/>
        <w:numPr>
          <w:ilvl w:val="0"/>
          <w:numId w:val="26"/>
        </w:numPr>
        <w:tabs>
          <w:tab w:val="left" w:pos="720" w:leader="none"/>
          <w:tab w:val="left" w:pos="1440" w:leader="none"/>
        </w:tabs>
        <w:ind w:hanging="720" w:start="2160" w:end="576"/>
        <w:jc w:val="both"/>
        <w:rPr>
          <w:rFonts w:ascii="Arial" w:hAnsi="Arial" w:cs="Arial"/>
          <w:sz w:val="22"/>
        </w:rPr>
      </w:pPr>
      <w:r>
        <w:rPr>
          <w:rFonts w:cs="Arial" w:ascii="Arial" w:hAnsi="Arial"/>
          <w:sz w:val="22"/>
        </w:rPr>
        <w:t>Deed of Confirmation and Acknowledgement by MOL in favor of ANZ, GHCL and GSCL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Deed of Confirmation and Acknowledgement by SCI in favor of ANZ, GHCL and GSCL</w:t>
      </w:r>
    </w:p>
    <w:p>
      <w:pPr>
        <w:pStyle w:val="Normal"/>
        <w:numPr>
          <w:ilvl w:val="0"/>
          <w:numId w:val="26"/>
        </w:numPr>
        <w:tabs>
          <w:tab w:val="left" w:pos="720" w:leader="none"/>
          <w:tab w:val="left" w:pos="1440" w:leader="none"/>
          <w:tab w:val="left" w:pos="2160" w:leader="none"/>
        </w:tabs>
        <w:ind w:hanging="720" w:start="2160" w:end="576"/>
        <w:jc w:val="both"/>
        <w:rPr>
          <w:rFonts w:ascii="Arial" w:hAnsi="Arial" w:cs="Arial"/>
          <w:sz w:val="22"/>
        </w:rPr>
      </w:pPr>
      <w:r>
        <w:rPr>
          <w:rFonts w:cs="Arial" w:ascii="Arial" w:hAnsi="Arial"/>
          <w:sz w:val="22"/>
        </w:rPr>
        <w:t>DPC Sponsor’s Agreement</w:t>
      </w:r>
    </w:p>
    <w:p>
      <w:pPr>
        <w:pStyle w:val="Normal"/>
        <w:ind w:start="1440" w:end="0"/>
        <w:jc w:val="both"/>
        <w:rPr>
          <w:rFonts w:ascii="Arial" w:hAnsi="Arial" w:cs="Arial"/>
          <w:sz w:val="22"/>
        </w:rPr>
      </w:pPr>
      <w:r>
        <w:rPr>
          <w:rFonts w:cs="Arial" w:ascii="Arial" w:hAnsi="Arial"/>
          <w:sz w:val="22"/>
        </w:rPr>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jc w:val="both"/>
        <w:rPr>
          <w:rFonts w:ascii="Arial" w:hAnsi="Arial" w:cs="Arial"/>
          <w:sz w:val="22"/>
        </w:rPr>
      </w:pPr>
      <w:r>
        <w:rPr>
          <w:rFonts w:cs="Arial" w:ascii="Arial" w:hAnsi="Arial"/>
          <w:sz w:val="22"/>
        </w:rPr>
        <w:t>C.</w:t>
        <w:tab/>
        <w:t>HOEGH GALLEON (ex MYSTIC LADY) LNG Vessel Timecharter</w:t>
      </w:r>
    </w:p>
    <w:p>
      <w:pPr>
        <w:pStyle w:val="Normal"/>
        <w:tabs>
          <w:tab w:val="clear" w:pos="720"/>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BodyTextIndent"/>
        <w:numPr>
          <w:ilvl w:val="0"/>
          <w:numId w:val="13"/>
        </w:numPr>
        <w:tabs>
          <w:tab w:val="clear" w:pos="2880"/>
          <w:tab w:val="left" w:pos="720" w:leader="none"/>
          <w:tab w:val="left" w:pos="1440" w:leader="none"/>
          <w:tab w:val="left" w:pos="2160" w:leader="none"/>
          <w:tab w:val="left" w:pos="3600" w:leader="none"/>
          <w:tab w:val="left" w:pos="4320" w:leader="none"/>
        </w:tabs>
        <w:jc w:val="both"/>
        <w:rPr/>
      </w:pPr>
      <w:r>
        <w:rPr/>
        <w:t>Time Charter Party between ENRON LNG Shipping Company (“ELSC”) and Hoegh Galleon Gas Ltd. (“HGGL”)</w:t>
      </w:r>
    </w:p>
    <w:p>
      <w:pPr>
        <w:pStyle w:val="Normal"/>
        <w:numPr>
          <w:ilvl w:val="0"/>
          <w:numId w:val="13"/>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 xml:space="preserve">Deed of Guarantee of Owner Guarantor (Lief Hoegh A.S.A.) in favor of ELSC </w:t>
      </w:r>
    </w:p>
    <w:p>
      <w:pPr>
        <w:pStyle w:val="Normal"/>
        <w:numPr>
          <w:ilvl w:val="0"/>
          <w:numId w:val="13"/>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Deed of Guarantee of Charterer Guarantor (Enron Corp.) in favor of HGGL</w:t>
      </w:r>
    </w:p>
    <w:p>
      <w:pPr>
        <w:pStyle w:val="Normal"/>
        <w:numPr>
          <w:ilvl w:val="0"/>
          <w:numId w:val="13"/>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Leif Hoegh Corporate Documents</w:t>
      </w:r>
    </w:p>
    <w:p>
      <w:pPr>
        <w:pStyle w:val="Normal"/>
        <w:numPr>
          <w:ilvl w:val="0"/>
          <w:numId w:val="13"/>
        </w:numPr>
        <w:tabs>
          <w:tab w:val="left" w:pos="720" w:leader="none"/>
          <w:tab w:val="left" w:pos="2160" w:leader="none"/>
          <w:tab w:val="left" w:pos="3600" w:leader="none"/>
          <w:tab w:val="left" w:pos="4320" w:leader="none"/>
        </w:tabs>
        <w:jc w:val="both"/>
        <w:rPr>
          <w:sz w:val="22"/>
        </w:rPr>
      </w:pPr>
      <w:r>
        <w:rPr>
          <w:rFonts w:cs="Arial" w:ascii="Arial" w:hAnsi="Arial"/>
          <w:sz w:val="22"/>
        </w:rPr>
        <w:t>Enron Corporate Documents</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Heading4"/>
        <w:numPr>
          <w:ilvl w:val="0"/>
          <w:numId w:val="8"/>
        </w:numPr>
        <w:tabs>
          <w:tab w:val="left" w:pos="720" w:leader="none"/>
          <w:tab w:val="left" w:pos="1440" w:leader="none"/>
          <w:tab w:val="left" w:pos="2160" w:leader="none"/>
          <w:tab w:val="left" w:pos="3600" w:leader="none"/>
          <w:tab w:val="left" w:pos="4320" w:leader="none"/>
        </w:tabs>
        <w:ind w:hanging="720" w:start="720" w:end="0"/>
        <w:jc w:val="both"/>
        <w:rPr/>
      </w:pPr>
      <w:r>
        <w:rPr/>
        <w:t>ExMar (Solaia Shipping) Newbuild LNG Vessel Timecharter</w:t>
      </w:r>
    </w:p>
    <w:p>
      <w:pPr>
        <w:pStyle w:val="Normal"/>
        <w:tabs>
          <w:tab w:val="clear" w:pos="720"/>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BodyTextIndent"/>
        <w:numPr>
          <w:ilvl w:val="0"/>
          <w:numId w:val="2"/>
        </w:numPr>
        <w:tabs>
          <w:tab w:val="clear" w:pos="2880"/>
          <w:tab w:val="left" w:pos="720" w:leader="none"/>
          <w:tab w:val="left" w:pos="1440" w:leader="none"/>
          <w:tab w:val="left" w:pos="2160" w:leader="none"/>
          <w:tab w:val="left" w:pos="3600" w:leader="none"/>
          <w:tab w:val="left" w:pos="4320" w:leader="none"/>
        </w:tabs>
        <w:ind w:hanging="720" w:start="1440" w:end="0"/>
        <w:jc w:val="both"/>
        <w:rPr/>
      </w:pPr>
      <w:r>
        <w:rPr/>
        <w:t>Time Charter Party between ENRON LNG Shipping Company (“ELSC”) and Solaia Shipping Inc. (“Solaia”)</w:t>
      </w:r>
    </w:p>
    <w:p>
      <w:pPr>
        <w:pStyle w:val="Normal"/>
        <w:numPr>
          <w:ilvl w:val="0"/>
          <w:numId w:val="2"/>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Deed of Guarantee of Owner Guarantor (ExMar Lux S.A.) in favor of ELSC</w:t>
      </w:r>
    </w:p>
    <w:p>
      <w:pPr>
        <w:pStyle w:val="Normal"/>
        <w:numPr>
          <w:ilvl w:val="0"/>
          <w:numId w:val="2"/>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Deed of Guarantee of Charterer Guarantor (Enron Corp.) in favor of Solaia</w:t>
      </w:r>
    </w:p>
    <w:p>
      <w:pPr>
        <w:pStyle w:val="Normal"/>
        <w:numPr>
          <w:ilvl w:val="0"/>
          <w:numId w:val="2"/>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Shipbuilding Contract between Solaia and Daewoo Heavy Industries Ltd.</w:t>
      </w:r>
    </w:p>
    <w:p>
      <w:pPr>
        <w:pStyle w:val="Normal"/>
        <w:numPr>
          <w:ilvl w:val="0"/>
          <w:numId w:val="2"/>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 xml:space="preserve">Option for LNG Vessel Time Charter Party between ExMar N.V. and ELSC </w:t>
      </w:r>
    </w:p>
    <w:p>
      <w:pPr>
        <w:pStyle w:val="Normal"/>
        <w:numPr>
          <w:ilvl w:val="0"/>
          <w:numId w:val="2"/>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ExMar/Solaia Corporate Documents</w:t>
      </w:r>
    </w:p>
    <w:p>
      <w:pPr>
        <w:pStyle w:val="Normal"/>
        <w:numPr>
          <w:ilvl w:val="0"/>
          <w:numId w:val="2"/>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Enron Corporate Documents</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tabs>
          <w:tab w:val="left" w:pos="720" w:leader="none"/>
          <w:tab w:val="left" w:pos="2880" w:leader="none"/>
          <w:tab w:val="left" w:pos="3600" w:leader="none"/>
          <w:tab w:val="left" w:pos="4320" w:leader="none"/>
        </w:tabs>
        <w:ind w:hanging="720" w:start="720" w:end="0"/>
        <w:jc w:val="both"/>
        <w:rPr>
          <w:rFonts w:ascii="Arial" w:hAnsi="Arial" w:cs="Arial"/>
          <w:b/>
          <w:sz w:val="28"/>
        </w:rPr>
      </w:pPr>
      <w:r>
        <w:rPr>
          <w:rFonts w:cs="Arial" w:ascii="Arial" w:hAnsi="Arial"/>
          <w:b/>
          <w:sz w:val="28"/>
        </w:rPr>
      </w:r>
    </w:p>
    <w:p>
      <w:pPr>
        <w:pStyle w:val="Normal"/>
        <w:numPr>
          <w:ilvl w:val="0"/>
          <w:numId w:val="24"/>
        </w:numPr>
        <w:tabs>
          <w:tab w:val="clear" w:pos="720"/>
          <w:tab w:val="left" w:pos="2880" w:leader="none"/>
          <w:tab w:val="left" w:pos="3600" w:leader="none"/>
          <w:tab w:val="left" w:pos="4320" w:leader="none"/>
        </w:tabs>
        <w:jc w:val="both"/>
        <w:rPr>
          <w:rFonts w:ascii="Arial" w:hAnsi="Arial" w:cs="Arial"/>
          <w:b/>
          <w:sz w:val="28"/>
        </w:rPr>
      </w:pPr>
      <w:r>
        <w:rPr>
          <w:rFonts w:cs="Arial" w:ascii="Arial" w:hAnsi="Arial"/>
          <w:b/>
          <w:sz w:val="28"/>
        </w:rPr>
        <w:t>LNG LIQUEFACTION/EXPORT PROJECTS</w:t>
      </w:r>
    </w:p>
    <w:p>
      <w:pPr>
        <w:pStyle w:val="Normal"/>
        <w:tabs>
          <w:tab w:val="left" w:pos="720" w:leader="none"/>
          <w:tab w:val="left" w:pos="2880" w:leader="none"/>
          <w:tab w:val="left" w:pos="3600" w:leader="none"/>
          <w:tab w:val="left" w:pos="4320" w:leader="none"/>
        </w:tabs>
        <w:jc w:val="both"/>
        <w:rPr>
          <w:rFonts w:ascii="Arial" w:hAnsi="Arial" w:cs="Arial"/>
          <w:sz w:val="22"/>
        </w:rPr>
      </w:pPr>
      <w:r>
        <w:rPr>
          <w:rFonts w:cs="Arial" w:ascii="Arial" w:hAnsi="Arial"/>
          <w:b/>
          <w:sz w:val="22"/>
        </w:rPr>
        <w:tab/>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jc w:val="both"/>
        <w:rPr>
          <w:rFonts w:ascii="Arial" w:hAnsi="Arial" w:cs="Arial"/>
          <w:sz w:val="22"/>
        </w:rPr>
      </w:pPr>
      <w:r>
        <w:rPr>
          <w:rFonts w:cs="Arial" w:ascii="Arial" w:hAnsi="Arial"/>
          <w:sz w:val="22"/>
        </w:rPr>
        <w:t>A.</w:t>
        <w:tab/>
        <w:t>Venezuela (JOSE) LNG Liquefaction and Export Project</w:t>
      </w:r>
    </w:p>
    <w:p>
      <w:pPr>
        <w:pStyle w:val="Normal"/>
        <w:keepLines/>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Confidentiality Agreement between Enron LNG Power (Atlantic) Limited, Enron Oil &amp; Gas Venezuels-Guarico Ltd. Corpoven, S.A.</w:t>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Heads of Agreement for Gas Sale and Purchase between Enron LNG Atlantic Ltd. and PDVSA-Gas S.A.</w:t>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 xml:space="preserve">LNG Site &amp; Pier Agreement  </w:t>
      </w:r>
      <w:r>
        <w:rPr>
          <w:rFonts w:cs="Arial" w:ascii="Arial" w:hAnsi="Arial"/>
          <w:b/>
          <w:i/>
          <w:sz w:val="22"/>
        </w:rPr>
        <w:t>[DRAFT – under negotiation]</w:t>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 xml:space="preserve">Methane Gas Supply Agreement  </w:t>
      </w:r>
      <w:r>
        <w:rPr>
          <w:rFonts w:cs="Arial" w:ascii="Arial" w:hAnsi="Arial"/>
          <w:b/>
          <w:i/>
          <w:sz w:val="22"/>
        </w:rPr>
        <w:t>[DRAFT – under negotiation</w:t>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 xml:space="preserve">PDVSA Guaranty  </w:t>
      </w:r>
      <w:r>
        <w:rPr>
          <w:rFonts w:cs="Arial" w:ascii="Arial" w:hAnsi="Arial"/>
          <w:b/>
          <w:i/>
          <w:sz w:val="22"/>
        </w:rPr>
        <w:t>[DRAFT – under negotiation]</w:t>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 xml:space="preserve">Enron Corp. Guaranty  </w:t>
      </w:r>
      <w:r>
        <w:rPr>
          <w:rFonts w:cs="Arial" w:ascii="Arial" w:hAnsi="Arial"/>
          <w:b/>
          <w:i/>
          <w:sz w:val="22"/>
        </w:rPr>
        <w:t>[DRAFT – under negotiation.  May be substituted with Letters of Credit]</w:t>
      </w:r>
    </w:p>
    <w:p>
      <w:pPr>
        <w:pStyle w:val="Normal"/>
        <w:keepLines/>
        <w:numPr>
          <w:ilvl w:val="0"/>
          <w:numId w:val="19"/>
        </w:numPr>
        <w:tabs>
          <w:tab w:val="left" w:pos="72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 xml:space="preserve">Participation Agreement between Enron LNG Atlantic Ltd. and PDVSA-Gas S.A. </w:t>
      </w:r>
      <w:r>
        <w:rPr>
          <w:rFonts w:cs="Arial" w:ascii="Arial" w:hAnsi="Arial"/>
          <w:b/>
          <w:i/>
          <w:sz w:val="22"/>
        </w:rPr>
        <w:t>[DRAFT – under negotiation]</w:t>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r>
    </w:p>
    <w:p>
      <w:pPr>
        <w:pStyle w:val="Heading7"/>
        <w:numPr>
          <w:ilvl w:val="0"/>
          <w:numId w:val="6"/>
        </w:numPr>
        <w:tabs>
          <w:tab w:val="clear" w:pos="1440"/>
          <w:tab w:val="clear" w:pos="2160"/>
          <w:tab w:val="clear" w:pos="3600"/>
          <w:tab w:val="clear" w:pos="4320"/>
          <w:tab w:val="left" w:pos="720" w:leader="none"/>
          <w:tab w:val="left" w:pos="1800" w:leader="none"/>
          <w:tab w:val="left" w:pos="2880" w:leader="none"/>
          <w:tab w:val="left" w:pos="4140" w:leader="none"/>
        </w:tabs>
        <w:ind w:hanging="720" w:start="720" w:end="0"/>
        <w:rPr/>
      </w:pPr>
      <w:r>
        <w:rPr/>
        <w:t>Egypt LNG Project</w:t>
      </w:r>
    </w:p>
    <w:p>
      <w:pPr>
        <w:pStyle w:val="Normal"/>
        <w:tabs>
          <w:tab w:val="left" w:pos="720" w:leader="none"/>
          <w:tab w:val="left" w:pos="1800" w:leader="none"/>
          <w:tab w:val="left" w:pos="2880" w:leader="none"/>
          <w:tab w:val="left" w:pos="4140" w:leader="none"/>
        </w:tabs>
        <w:jc w:val="both"/>
        <w:rPr>
          <w:rFonts w:ascii="Arial" w:hAnsi="Arial" w:cs="Arial"/>
          <w:sz w:val="22"/>
        </w:rPr>
      </w:pPr>
      <w:r>
        <w:rPr>
          <w:rFonts w:cs="Arial" w:ascii="Arial" w:hAnsi="Arial"/>
          <w:sz w:val="22"/>
        </w:rPr>
      </w:r>
    </w:p>
    <w:p>
      <w:pPr>
        <w:pStyle w:val="Normal"/>
        <w:tabs>
          <w:tab w:val="left" w:pos="720" w:leader="none"/>
          <w:tab w:val="left" w:pos="1800" w:leader="none"/>
          <w:tab w:val="left" w:pos="2880" w:leader="none"/>
          <w:tab w:val="left" w:pos="4140" w:leader="none"/>
        </w:tabs>
        <w:jc w:val="both"/>
        <w:rPr/>
      </w:pPr>
      <w:r>
        <w:rPr>
          <w:rFonts w:cs="Arial" w:ascii="Arial" w:hAnsi="Arial"/>
          <w:sz w:val="22"/>
        </w:rPr>
        <w:tab/>
      </w:r>
      <w:r>
        <w:rPr>
          <w:rFonts w:cs="Arial" w:ascii="Arial" w:hAnsi="Arial"/>
          <w:b/>
          <w:i/>
          <w:sz w:val="22"/>
        </w:rPr>
        <w:t>[No contracts – project under conceptual development]</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b/>
          <w:i/>
          <w:i/>
          <w:sz w:val="22"/>
        </w:rPr>
      </w:pPr>
      <w:r>
        <w:rPr>
          <w:rFonts w:cs="Arial" w:ascii="Arial" w:hAnsi="Arial"/>
          <w:b/>
          <w:i/>
          <w:sz w:val="22"/>
        </w:rPr>
      </w:r>
    </w:p>
    <w:p>
      <w:pPr>
        <w:pStyle w:val="Heading7"/>
        <w:ind w:hanging="0" w:start="0"/>
        <w:rPr/>
      </w:pPr>
      <w:r>
        <w:rPr/>
        <w:t>C.</w:t>
        <w:tab/>
        <w:t>Qatar LNG</w:t>
      </w:r>
    </w:p>
    <w:p>
      <w:pPr>
        <w:pStyle w:val="Normal"/>
        <w:rPr/>
      </w:pPr>
      <w:r>
        <w:rPr/>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Letter of Intent (“LOI”) among Enron International CV (“EICV”), Enron Oil &amp; Gas Qatar Ltd. (“EOGQ”) and Qatar General Petroleum Corporation (“QGPC”)</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Side Letter to LOI among Enron, EICV, EOGQ and QGPC</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Replacement Side Letter to LOI among Enron, EICV, EOGQ and QGPC</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Assignment of LOI by EICV to Enron Qatar Ltd. (“EQL”) (and acknowledged by QGPC)</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Letter Agreement between EQL and QGPC</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 xml:space="preserve">Extension of LOI among Enron, EICV, EOGQ and QGPC </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 xml:space="preserve">Agreement to Harmonize among the Government of Qatar, QGPC, Mobil QM Gas Inc., Ras Laffan Liquefied Natural Gas Company Limited, Enron, EICV and EOGQ </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Agreement between Enron Exploration Company (“EEC”) and International Gas Limited (“IGL”)</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Letter Agreement extending Agreement between EEC and IGL</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Letter Agreement between EEC and Trans Arabian Energy</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Consulting Agreement between EQL and Trans Arabian Energy Inc.</w:t>
      </w:r>
    </w:p>
    <w:p>
      <w:pPr>
        <w:pStyle w:val="Normal"/>
        <w:numPr>
          <w:ilvl w:val="2"/>
          <w:numId w:val="8"/>
        </w:numPr>
        <w:tabs>
          <w:tab w:val="clear" w:pos="720"/>
          <w:tab w:val="left" w:pos="1440" w:leader="none"/>
        </w:tabs>
        <w:ind w:hanging="720" w:start="1440" w:end="0"/>
        <w:jc w:val="both"/>
        <w:rPr>
          <w:rFonts w:ascii="Arial" w:hAnsi="Arial" w:cs="Arial"/>
          <w:sz w:val="22"/>
        </w:rPr>
      </w:pPr>
      <w:r>
        <w:rPr>
          <w:rFonts w:cs="Arial" w:ascii="Arial" w:hAnsi="Arial"/>
          <w:sz w:val="22"/>
        </w:rPr>
        <w:t>Memorandum of Intent between Enron Qatar LNG Marketing Ltd. and Ministry of Energy and Infrastructure of Israel</w:t>
      </w:r>
    </w:p>
    <w:p>
      <w:pPr>
        <w:pStyle w:val="Normal"/>
        <w:tabs>
          <w:tab w:val="clear" w:pos="720"/>
          <w:tab w:val="left" w:pos="1440" w:leader="none"/>
        </w:tabs>
        <w:ind w:hanging="720" w:start="1440" w:end="0"/>
        <w:jc w:val="both"/>
        <w:rPr>
          <w:rFonts w:ascii="Arial" w:hAnsi="Arial" w:cs="Arial"/>
          <w:sz w:val="22"/>
        </w:rPr>
      </w:pPr>
      <w:r>
        <w:rPr>
          <w:rFonts w:cs="Arial" w:ascii="Arial" w:hAnsi="Arial"/>
          <w:sz w:val="22"/>
        </w:rPr>
        <w:t>13.</w:t>
        <w:tab/>
        <w:t>Memorandum of Intent between Enron Qatar LNG Marketing Ltd. and Ministry of Energy and Mineral Resources of the Kingdom of Jordan</w:t>
      </w:r>
    </w:p>
    <w:p>
      <w:pPr>
        <w:pStyle w:val="Normal"/>
        <w:numPr>
          <w:ilvl w:val="0"/>
          <w:numId w:val="21"/>
        </w:numPr>
        <w:tabs>
          <w:tab w:val="clear" w:pos="720"/>
          <w:tab w:val="left" w:pos="1440" w:leader="none"/>
        </w:tabs>
        <w:ind w:hanging="720" w:start="1440" w:end="0"/>
        <w:jc w:val="both"/>
        <w:rPr>
          <w:rFonts w:ascii="Arial" w:hAnsi="Arial" w:cs="Arial"/>
          <w:sz w:val="22"/>
        </w:rPr>
      </w:pPr>
      <w:r>
        <w:rPr>
          <w:rFonts w:cs="Arial" w:ascii="Arial" w:hAnsi="Arial"/>
          <w:sz w:val="22"/>
        </w:rPr>
        <w:t>Memorandum of Understanding between Middle East Energy (“MEE”) and EDC</w:t>
      </w:r>
    </w:p>
    <w:p>
      <w:pPr>
        <w:pStyle w:val="Normal"/>
        <w:numPr>
          <w:ilvl w:val="0"/>
          <w:numId w:val="21"/>
        </w:numPr>
        <w:tabs>
          <w:tab w:val="clear" w:pos="720"/>
          <w:tab w:val="left" w:pos="1440" w:leader="none"/>
        </w:tabs>
        <w:ind w:hanging="720" w:start="1440" w:end="0"/>
        <w:jc w:val="both"/>
        <w:rPr>
          <w:rFonts w:ascii="Arial" w:hAnsi="Arial" w:cs="Arial"/>
          <w:sz w:val="22"/>
        </w:rPr>
      </w:pPr>
      <w:r>
        <w:rPr>
          <w:rFonts w:cs="Arial" w:ascii="Arial" w:hAnsi="Arial"/>
          <w:sz w:val="22"/>
        </w:rPr>
        <w:t>Memorandum of Understanding between MME and Enron LNG Israel Ltd.</w:t>
      </w:r>
    </w:p>
    <w:p>
      <w:pPr>
        <w:pStyle w:val="Normal"/>
        <w:numPr>
          <w:ilvl w:val="0"/>
          <w:numId w:val="21"/>
        </w:numPr>
        <w:tabs>
          <w:tab w:val="clear" w:pos="720"/>
          <w:tab w:val="left" w:pos="1440" w:leader="none"/>
        </w:tabs>
        <w:ind w:hanging="720" w:start="1440" w:end="0"/>
        <w:jc w:val="both"/>
        <w:rPr>
          <w:rFonts w:ascii="Arial" w:hAnsi="Arial" w:cs="Arial"/>
          <w:sz w:val="22"/>
        </w:rPr>
      </w:pPr>
      <w:r>
        <w:rPr>
          <w:rFonts w:cs="Arial" w:ascii="Arial" w:hAnsi="Arial"/>
          <w:sz w:val="22"/>
        </w:rPr>
        <w:t>Memorandum of Understanding between Near East Energy (“MEE”) and Enron LNG Jordan Ltd.</w:t>
      </w:r>
    </w:p>
    <w:p>
      <w:pPr>
        <w:pStyle w:val="Normal"/>
        <w:numPr>
          <w:ilvl w:val="0"/>
          <w:numId w:val="21"/>
        </w:numPr>
        <w:tabs>
          <w:tab w:val="clear" w:pos="720"/>
          <w:tab w:val="left" w:pos="1440" w:leader="none"/>
        </w:tabs>
        <w:ind w:hanging="720" w:start="1440" w:end="0"/>
        <w:jc w:val="both"/>
        <w:rPr>
          <w:rFonts w:ascii="Arial" w:hAnsi="Arial" w:cs="Arial"/>
          <w:sz w:val="22"/>
        </w:rPr>
      </w:pPr>
      <w:r>
        <w:rPr>
          <w:rFonts w:cs="Arial" w:ascii="Arial" w:hAnsi="Arial"/>
          <w:sz w:val="22"/>
        </w:rPr>
        <w:t>Memorandum of Understanding between Enron Qatar LNG Marketing Ltd. and Gujarat Gas Company Limited</w:t>
      </w:r>
    </w:p>
    <w:p>
      <w:pPr>
        <w:pStyle w:val="Normal"/>
        <w:tabs>
          <w:tab w:val="left" w:pos="720" w:leader="none"/>
          <w:tab w:val="left" w:pos="1800" w:leader="none"/>
          <w:tab w:val="left" w:pos="2880" w:leader="none"/>
          <w:tab w:val="left" w:pos="4140" w:leader="none"/>
        </w:tabs>
        <w:rPr>
          <w:rFonts w:ascii="Arial" w:hAnsi="Arial" w:cs="Arial"/>
          <w:b/>
          <w:sz w:val="22"/>
        </w:rPr>
      </w:pPr>
      <w:r>
        <w:rPr>
          <w:rFonts w:cs="Arial" w:ascii="Arial" w:hAnsi="Arial"/>
          <w:b/>
          <w:sz w:val="22"/>
        </w:rPr>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b/>
          <w:sz w:val="28"/>
        </w:rPr>
      </w:pPr>
      <w:r>
        <w:rPr>
          <w:rFonts w:cs="Arial" w:ascii="Arial" w:hAnsi="Arial"/>
          <w:b/>
          <w:sz w:val="28"/>
        </w:rPr>
      </w:r>
    </w:p>
    <w:p>
      <w:pPr>
        <w:pStyle w:val="Heading9"/>
        <w:rPr>
          <w:sz w:val="22"/>
        </w:rPr>
      </w:pPr>
      <w:r>
        <w:rPr/>
        <w:t>IV.</w:t>
        <w:tab/>
        <w:t>MERCHANT TRADING CONTRACTS</w:t>
      </w:r>
    </w:p>
    <w:p>
      <w:pPr>
        <w:pStyle w:val="Normal"/>
        <w:keepLines/>
        <w:tabs>
          <w:tab w:val="left" w:pos="720" w:leader="none"/>
          <w:tab w:val="left" w:pos="1440" w:leader="none"/>
          <w:tab w:val="left" w:pos="2160" w:leader="none"/>
          <w:tab w:val="left" w:pos="2880" w:leader="none"/>
          <w:tab w:val="left" w:pos="3600" w:leader="none"/>
          <w:tab w:val="left" w:pos="4320" w:leader="none"/>
        </w:tabs>
        <w:ind w:hanging="720" w:start="720" w:end="0"/>
        <w:jc w:val="both"/>
        <w:rPr>
          <w:rFonts w:ascii="Arial" w:hAnsi="Arial" w:cs="Arial"/>
          <w:sz w:val="22"/>
        </w:rPr>
      </w:pPr>
      <w:r>
        <w:rPr>
          <w:rFonts w:cs="Arial" w:ascii="Arial" w:hAnsi="Arial"/>
          <w:sz w:val="22"/>
        </w:rPr>
        <w:tab/>
      </w:r>
    </w:p>
    <w:p>
      <w:pPr>
        <w:pStyle w:val="Heading3"/>
        <w:numPr>
          <w:ilvl w:val="1"/>
          <w:numId w:val="21"/>
        </w:numPr>
        <w:tabs>
          <w:tab w:val="clear" w:pos="1800"/>
          <w:tab w:val="clear" w:pos="4140"/>
          <w:tab w:val="left" w:pos="720" w:leader="none"/>
          <w:tab w:val="left" w:pos="144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LNG Sale to SONAT Energy Services/EL Paso Merchant Energy (Elba Island LNG Terminal)</w:t>
      </w:r>
    </w:p>
    <w:p>
      <w:pPr>
        <w:pStyle w:val="Normal"/>
        <w:jc w:val="both"/>
        <w:rPr>
          <w:rFonts w:ascii="Arial" w:hAnsi="Arial" w:cs="Arial"/>
          <w:sz w:val="22"/>
        </w:rPr>
      </w:pPr>
      <w:r>
        <w:rPr>
          <w:rFonts w:cs="Arial" w:ascii="Arial" w:hAnsi="Arial"/>
          <w:sz w:val="22"/>
        </w:rPr>
      </w:r>
    </w:p>
    <w:p>
      <w:pPr>
        <w:pStyle w:val="Normal"/>
        <w:numPr>
          <w:ilvl w:val="0"/>
          <w:numId w:val="17"/>
        </w:numPr>
        <w:jc w:val="both"/>
        <w:rPr>
          <w:rFonts w:ascii="Arial" w:hAnsi="Arial" w:cs="Arial"/>
          <w:sz w:val="22"/>
        </w:rPr>
      </w:pPr>
      <w:r>
        <w:rPr>
          <w:rFonts w:cs="Arial" w:ascii="Arial" w:hAnsi="Arial"/>
          <w:sz w:val="22"/>
        </w:rPr>
        <w:t>Settlement Agreement with SONAT Energy Services</w:t>
      </w:r>
    </w:p>
    <w:p>
      <w:pPr>
        <w:pStyle w:val="Normal"/>
        <w:numPr>
          <w:ilvl w:val="0"/>
          <w:numId w:val="17"/>
        </w:numPr>
        <w:jc w:val="both"/>
        <w:rPr>
          <w:rFonts w:ascii="Arial" w:hAnsi="Arial" w:cs="Arial"/>
          <w:sz w:val="22"/>
        </w:rPr>
      </w:pPr>
      <w:r>
        <w:rPr>
          <w:rFonts w:cs="Arial" w:ascii="Arial" w:hAnsi="Arial"/>
          <w:sz w:val="22"/>
        </w:rPr>
        <w:t xml:space="preserve">LNG Sale and Purchase Agreement between Enron Energy Marketing LLC and El Paso Merchant Energy – Gas L.P. </w:t>
      </w:r>
      <w:r>
        <w:rPr>
          <w:rFonts w:cs="Arial" w:ascii="Arial" w:hAnsi="Arial"/>
          <w:b/>
          <w:i/>
          <w:sz w:val="22"/>
        </w:rPr>
        <w:t>[DRAFT – under negotiation]</w:t>
      </w:r>
    </w:p>
    <w:p>
      <w:pPr>
        <w:pStyle w:val="Normal"/>
        <w:numPr>
          <w:ilvl w:val="0"/>
          <w:numId w:val="17"/>
        </w:numPr>
        <w:jc w:val="both"/>
        <w:rPr>
          <w:rFonts w:ascii="Arial" w:hAnsi="Arial" w:cs="Arial"/>
          <w:sz w:val="22"/>
        </w:rPr>
      </w:pPr>
      <w:r>
        <w:rPr>
          <w:rFonts w:cs="Arial" w:ascii="Arial" w:hAnsi="Arial"/>
          <w:sz w:val="22"/>
        </w:rPr>
        <w:t xml:space="preserve">Enron Corp. Guaranty  </w:t>
      </w:r>
      <w:r>
        <w:rPr>
          <w:rFonts w:cs="Arial" w:ascii="Arial" w:hAnsi="Arial"/>
          <w:b/>
          <w:i/>
          <w:sz w:val="22"/>
        </w:rPr>
        <w:t>[DRAFT – under negotiation]</w:t>
      </w:r>
    </w:p>
    <w:p>
      <w:pPr>
        <w:pStyle w:val="Normal"/>
        <w:numPr>
          <w:ilvl w:val="0"/>
          <w:numId w:val="17"/>
        </w:numPr>
        <w:jc w:val="both"/>
        <w:rPr>
          <w:rFonts w:ascii="Arial" w:hAnsi="Arial" w:cs="Arial"/>
          <w:sz w:val="22"/>
        </w:rPr>
      </w:pPr>
      <w:r>
        <w:rPr>
          <w:rFonts w:cs="Arial" w:ascii="Arial" w:hAnsi="Arial"/>
          <w:sz w:val="22"/>
        </w:rPr>
        <w:t xml:space="preserve">El Paso Energy Corp. Guaranty  </w:t>
      </w:r>
      <w:r>
        <w:rPr>
          <w:rFonts w:cs="Arial" w:ascii="Arial" w:hAnsi="Arial"/>
          <w:b/>
          <w:i/>
          <w:sz w:val="22"/>
        </w:rPr>
        <w:t>[DRAFT – under negotiation]</w:t>
      </w:r>
    </w:p>
    <w:p>
      <w:pPr>
        <w:pStyle w:val="Normal"/>
        <w:numPr>
          <w:ilvl w:val="0"/>
          <w:numId w:val="17"/>
        </w:numPr>
        <w:jc w:val="both"/>
        <w:rPr>
          <w:rFonts w:ascii="Arial" w:hAnsi="Arial" w:cs="Arial"/>
          <w:sz w:val="22"/>
        </w:rPr>
      </w:pPr>
      <w:r>
        <w:rPr>
          <w:rFonts w:cs="Arial" w:ascii="Arial" w:hAnsi="Arial"/>
          <w:sz w:val="22"/>
        </w:rPr>
        <w:t xml:space="preserve">Scheduling Agreement  </w:t>
      </w:r>
      <w:r>
        <w:rPr>
          <w:rFonts w:cs="Arial" w:ascii="Arial" w:hAnsi="Arial"/>
          <w:b/>
          <w:i/>
          <w:sz w:val="22"/>
        </w:rPr>
        <w:t>[DRAFT – under negotiation]</w:t>
      </w:r>
    </w:p>
    <w:p>
      <w:pPr>
        <w:pStyle w:val="Normal"/>
        <w:numPr>
          <w:ilvl w:val="0"/>
          <w:numId w:val="17"/>
        </w:numPr>
        <w:jc w:val="both"/>
        <w:rPr>
          <w:rFonts w:ascii="Arial" w:hAnsi="Arial" w:cs="Arial"/>
          <w:sz w:val="22"/>
        </w:rPr>
      </w:pPr>
      <w:r>
        <w:rPr>
          <w:rFonts w:cs="Arial" w:ascii="Arial" w:hAnsi="Arial"/>
          <w:sz w:val="22"/>
        </w:rPr>
        <w:t xml:space="preserve">LNG Quality Agreement  </w:t>
      </w:r>
      <w:r>
        <w:rPr>
          <w:rFonts w:cs="Arial" w:ascii="Arial" w:hAnsi="Arial"/>
          <w:b/>
          <w:i/>
          <w:sz w:val="22"/>
        </w:rPr>
        <w:t>[DRAFT – under negotiation]</w:t>
      </w:r>
    </w:p>
    <w:p>
      <w:pPr>
        <w:pStyle w:val="Normal"/>
        <w:jc w:val="both"/>
        <w:rPr>
          <w:rFonts w:ascii="Arial" w:hAnsi="Arial" w:cs="Arial"/>
          <w:sz w:val="22"/>
        </w:rPr>
      </w:pPr>
      <w:r>
        <w:rPr>
          <w:rFonts w:cs="Arial" w:ascii="Arial" w:hAnsi="Arial"/>
          <w:sz w:val="22"/>
        </w:rPr>
      </w:r>
    </w:p>
    <w:p>
      <w:pPr>
        <w:pStyle w:val="Heading6"/>
        <w:numPr>
          <w:ilvl w:val="1"/>
          <w:numId w:val="21"/>
        </w:numPr>
        <w:jc w:val="both"/>
        <w:rPr/>
      </w:pPr>
      <w:r>
        <w:rPr/>
        <w:t>AdGas Master Spot LNG Purchase &amp; Sale Agreement</w:t>
      </w:r>
    </w:p>
    <w:p>
      <w:pPr>
        <w:pStyle w:val="Normal"/>
        <w:jc w:val="both"/>
        <w:rPr/>
      </w:pPr>
      <w:r>
        <w:rPr/>
      </w:r>
    </w:p>
    <w:p>
      <w:pPr>
        <w:pStyle w:val="Normal"/>
        <w:numPr>
          <w:ilvl w:val="0"/>
          <w:numId w:val="12"/>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Master Spot LNG SPA (Ex-Ship) with AdGas</w:t>
      </w:r>
    </w:p>
    <w:p>
      <w:pPr>
        <w:pStyle w:val="Normal"/>
        <w:numPr>
          <w:ilvl w:val="0"/>
          <w:numId w:val="12"/>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LNG Purchase Confirmation Notice</w:t>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jc w:val="both"/>
        <w:rPr>
          <w:rFonts w:ascii="Arial" w:hAnsi="Arial" w:cs="Arial"/>
          <w:b w:val="false"/>
          <w:sz w:val="22"/>
        </w:rPr>
      </w:pPr>
      <w:r>
        <w:rPr>
          <w:rFonts w:cs="Arial" w:ascii="Arial" w:hAnsi="Arial"/>
          <w:b w:val="false"/>
          <w:sz w:val="22"/>
        </w:rPr>
        <w:tab/>
        <w:t>3.</w:t>
        <w:tab/>
        <w:t>Terminaling Services Agreement &amp; Tariff (Trunkline LNG)</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ab/>
        <w:t>4.</w:t>
        <w:tab/>
        <w:t>EnFolio Master Flexible Gas Sales Agreement w/ENA</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ab/>
        <w:t>5.</w:t>
        <w:tab/>
        <w:t>LNG Import Permit (Blanket)</w:t>
      </w:r>
    </w:p>
    <w:p>
      <w:pPr>
        <w:pStyle w:val="Normal"/>
        <w:tabs>
          <w:tab w:val="left" w:pos="720" w:leader="none"/>
        </w:tabs>
        <w:ind w:hanging="720" w:start="720" w:end="0"/>
        <w:jc w:val="both"/>
        <w:rPr>
          <w:rFonts w:ascii="Arial" w:hAnsi="Arial" w:cs="Arial"/>
          <w:b/>
          <w:sz w:val="22"/>
        </w:rPr>
      </w:pPr>
      <w:r>
        <w:rPr>
          <w:rFonts w:cs="Arial" w:ascii="Arial" w:hAnsi="Arial"/>
          <w:sz w:val="22"/>
        </w:rPr>
        <w:tab/>
      </w:r>
    </w:p>
    <w:p>
      <w:pPr>
        <w:pStyle w:val="Heading4"/>
        <w:numPr>
          <w:ilvl w:val="1"/>
          <w:numId w:val="21"/>
        </w:numPr>
        <w:tabs>
          <w:tab w:val="clear" w:pos="720"/>
          <w:tab w:val="left" w:pos="1440" w:leader="none"/>
          <w:tab w:val="left" w:pos="2160" w:leader="none"/>
          <w:tab w:val="left" w:pos="3600" w:leader="none"/>
          <w:tab w:val="left" w:pos="4320" w:leader="none"/>
        </w:tabs>
        <w:jc w:val="both"/>
        <w:rPr/>
      </w:pPr>
      <w:r>
        <w:rPr/>
        <w:t>Oman LNG Master Spot LNG Sale and Purchase Agreement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numPr>
          <w:ilvl w:val="2"/>
          <w:numId w:val="21"/>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Master Spot LNG SPA (FOB) with Oman LNG LLC (“OLNG”)</w:t>
      </w:r>
    </w:p>
    <w:p>
      <w:pPr>
        <w:pStyle w:val="Normal"/>
        <w:numPr>
          <w:ilvl w:val="2"/>
          <w:numId w:val="21"/>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LNG Purchase Confirmation Notice</w:t>
      </w:r>
    </w:p>
    <w:p>
      <w:pPr>
        <w:pStyle w:val="Normal"/>
        <w:numPr>
          <w:ilvl w:val="2"/>
          <w:numId w:val="21"/>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LNG Vessel Voyage Charter Party between OLNG and EIGSC</w:t>
      </w:r>
    </w:p>
    <w:p>
      <w:pPr>
        <w:pStyle w:val="Normal"/>
        <w:numPr>
          <w:ilvl w:val="2"/>
          <w:numId w:val="21"/>
        </w:numPr>
        <w:tabs>
          <w:tab w:val="left" w:pos="720" w:leader="none"/>
          <w:tab w:val="left" w:pos="1440" w:leader="none"/>
          <w:tab w:val="left" w:pos="2160" w:leader="none"/>
          <w:tab w:val="left" w:pos="3600" w:leader="none"/>
          <w:tab w:val="left" w:pos="4320" w:leader="none"/>
        </w:tabs>
        <w:ind w:hanging="720" w:start="1440" w:end="0"/>
        <w:jc w:val="both"/>
        <w:rPr>
          <w:rFonts w:ascii="Arial" w:hAnsi="Arial" w:cs="Arial"/>
          <w:sz w:val="22"/>
        </w:rPr>
      </w:pPr>
      <w:r>
        <w:rPr>
          <w:rFonts w:cs="Arial" w:ascii="Arial" w:hAnsi="Arial"/>
          <w:sz w:val="22"/>
        </w:rPr>
        <w:t>Interim Terminal Fee Agreement between OLNG and EIGSC</w:t>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0" w:start="0"/>
        <w:jc w:val="both"/>
        <w:rPr>
          <w:rFonts w:ascii="Arial" w:hAnsi="Arial" w:cs="Arial"/>
          <w:b w:val="false"/>
          <w:sz w:val="22"/>
        </w:rPr>
      </w:pPr>
      <w:r>
        <w:rPr>
          <w:rFonts w:cs="Arial" w:ascii="Arial" w:hAnsi="Arial"/>
          <w:b w:val="false"/>
          <w:sz w:val="22"/>
        </w:rPr>
        <w:tab/>
        <w:t>5.</w:t>
        <w:tab/>
        <w:t>Terminaling Services Agreement &amp; Tariff (Trunkline LNG)</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ab/>
        <w:t>6.</w:t>
        <w:tab/>
        <w:t>EnFolio Master Flexible Gas Sales Agreement w/ENA</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w:hAnsi="Arial" w:cs="Arial"/>
          <w:sz w:val="22"/>
        </w:rPr>
      </w:pPr>
      <w:r>
        <w:rPr>
          <w:rFonts w:cs="Arial" w:ascii="Arial" w:hAnsi="Arial"/>
          <w:sz w:val="22"/>
        </w:rPr>
        <w:tab/>
        <w:t>7.</w:t>
        <w:tab/>
        <w:t>LNG Import Permit (Blanket)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Heading4"/>
        <w:numPr>
          <w:ilvl w:val="1"/>
          <w:numId w:val="21"/>
        </w:numPr>
        <w:tabs>
          <w:tab w:val="clear" w:pos="720"/>
          <w:tab w:val="left" w:pos="1440" w:leader="none"/>
          <w:tab w:val="left" w:pos="2160" w:leader="none"/>
          <w:tab w:val="left" w:pos="3600" w:leader="none"/>
          <w:tab w:val="left" w:pos="4320" w:leader="none"/>
        </w:tabs>
        <w:jc w:val="both"/>
        <w:rPr/>
      </w:pPr>
      <w:r>
        <w:rPr/>
        <w:t>Nigeria LNG Master Spot LNG Sale and Purchase Agreement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numPr>
          <w:ilvl w:val="2"/>
          <w:numId w:val="21"/>
        </w:numPr>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Confidentiality Agreement with Nigeria LNG (“NLNG”)</w:t>
      </w:r>
    </w:p>
    <w:p>
      <w:pPr>
        <w:pStyle w:val="Normal"/>
        <w:numPr>
          <w:ilvl w:val="2"/>
          <w:numId w:val="21"/>
        </w:numPr>
        <w:tabs>
          <w:tab w:val="left" w:pos="720" w:leader="none"/>
          <w:tab w:val="left" w:pos="1440" w:leader="none"/>
          <w:tab w:val="left" w:pos="2160" w:leader="none"/>
          <w:tab w:val="left" w:pos="3600" w:leader="none"/>
          <w:tab w:val="left" w:pos="4320" w:leader="none"/>
        </w:tabs>
        <w:jc w:val="both"/>
        <w:rPr>
          <w:rFonts w:ascii="Arial" w:hAnsi="Arial" w:cs="Arial"/>
          <w:b/>
          <w:i/>
          <w:i/>
          <w:sz w:val="22"/>
        </w:rPr>
      </w:pPr>
      <w:r>
        <w:rPr>
          <w:rFonts w:cs="Arial" w:ascii="Arial" w:hAnsi="Arial"/>
          <w:sz w:val="22"/>
        </w:rPr>
        <w:t xml:space="preserve">Master LNG Sale and Purchase Agreement (FOB Basis) between NLNG and EIGSC </w:t>
      </w:r>
      <w:r>
        <w:rPr>
          <w:rFonts w:cs="Arial" w:ascii="Arial" w:hAnsi="Arial"/>
          <w:b/>
          <w:i/>
          <w:sz w:val="22"/>
        </w:rPr>
        <w:t>[DRAFT – Still under negotiation]</w:t>
      </w:r>
    </w:p>
    <w:p>
      <w:pPr>
        <w:pStyle w:val="Normal"/>
        <w:tabs>
          <w:tab w:val="left" w:pos="720" w:leader="none"/>
          <w:tab w:val="left" w:pos="2160" w:leader="none"/>
          <w:tab w:val="left" w:pos="3600" w:leader="none"/>
          <w:tab w:val="left" w:pos="4320" w:leader="none"/>
        </w:tabs>
        <w:jc w:val="both"/>
        <w:rPr>
          <w:rFonts w:ascii="Arial" w:hAnsi="Arial" w:cs="Arial"/>
          <w:b/>
          <w:i/>
          <w:i/>
          <w:sz w:val="22"/>
        </w:rPr>
      </w:pPr>
      <w:r>
        <w:rPr>
          <w:rFonts w:cs="Arial" w:ascii="Arial" w:hAnsi="Arial"/>
          <w:b/>
          <w:i/>
          <w:sz w:val="22"/>
        </w:rPr>
      </w:r>
    </w:p>
    <w:p>
      <w:pPr>
        <w:pStyle w:val="Normal"/>
        <w:tabs>
          <w:tab w:val="left" w:pos="720" w:leader="none"/>
          <w:tab w:val="left" w:pos="2880" w:leader="none"/>
          <w:tab w:val="left" w:pos="3600" w:leader="none"/>
          <w:tab w:val="left" w:pos="4320" w:leader="none"/>
        </w:tabs>
        <w:ind w:hanging="720" w:start="720" w:end="0"/>
        <w:jc w:val="both"/>
        <w:rPr>
          <w:rFonts w:ascii="Arial" w:hAnsi="Arial" w:cs="Arial"/>
          <w:b/>
          <w:sz w:val="22"/>
        </w:rPr>
      </w:pPr>
      <w:r>
        <w:rPr>
          <w:rFonts w:cs="Arial" w:ascii="Arial" w:hAnsi="Arial"/>
          <w:b/>
          <w:sz w:val="22"/>
        </w:rPr>
      </w:r>
    </w:p>
    <w:p>
      <w:pPr>
        <w:pStyle w:val="Normal"/>
        <w:tabs>
          <w:tab w:val="left" w:pos="720" w:leader="none"/>
          <w:tab w:val="left" w:pos="2880" w:leader="none"/>
          <w:tab w:val="left" w:pos="3600" w:leader="none"/>
          <w:tab w:val="left" w:pos="4320" w:leader="none"/>
        </w:tabs>
        <w:ind w:hanging="720" w:start="720" w:end="0"/>
        <w:jc w:val="both"/>
        <w:rPr>
          <w:rFonts w:ascii="Arial" w:hAnsi="Arial" w:cs="Arial"/>
          <w:b/>
          <w:sz w:val="22"/>
        </w:rPr>
      </w:pPr>
      <w:r>
        <w:rPr>
          <w:rFonts w:cs="Arial" w:ascii="Arial" w:hAnsi="Arial"/>
          <w:b/>
          <w:sz w:val="22"/>
        </w:rPr>
        <w:t>E.</w:t>
        <w:tab/>
        <w:t>Malaysia LNG Master Spot LNG Purchase and Sale Agreement</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numPr>
          <w:ilvl w:val="2"/>
          <w:numId w:val="6"/>
        </w:numPr>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Confidentiality Agreement with Malaysia LNG Sdn Bhd. (“MLNG”)</w:t>
      </w:r>
    </w:p>
    <w:p>
      <w:pPr>
        <w:pStyle w:val="Normal"/>
        <w:numPr>
          <w:ilvl w:val="2"/>
          <w:numId w:val="6"/>
        </w:numPr>
        <w:tabs>
          <w:tab w:val="left" w:pos="720" w:leader="none"/>
          <w:tab w:val="left" w:pos="1440" w:leader="none"/>
          <w:tab w:val="left" w:pos="2160" w:leader="none"/>
          <w:tab w:val="left" w:pos="3600" w:leader="none"/>
          <w:tab w:val="left" w:pos="4320" w:leader="none"/>
        </w:tabs>
        <w:jc w:val="both"/>
        <w:rPr>
          <w:rFonts w:ascii="Arial" w:hAnsi="Arial" w:cs="Arial"/>
          <w:b/>
          <w:i/>
          <w:i/>
          <w:sz w:val="22"/>
        </w:rPr>
      </w:pPr>
      <w:r>
        <w:rPr>
          <w:rFonts w:cs="Arial" w:ascii="Arial" w:hAnsi="Arial"/>
          <w:sz w:val="22"/>
        </w:rPr>
        <w:t xml:space="preserve">Master LNG Sale and Purchase Agreement (FOB Basis) between MLNG and EIGSC </w:t>
      </w:r>
      <w:r>
        <w:rPr>
          <w:rFonts w:cs="Arial" w:ascii="Arial" w:hAnsi="Arial"/>
          <w:b/>
          <w:i/>
          <w:sz w:val="22"/>
        </w:rPr>
        <w:t>[DRAFT – Still under negotiation]</w:t>
      </w:r>
    </w:p>
    <w:p>
      <w:pPr>
        <w:pStyle w:val="Normal"/>
        <w:numPr>
          <w:ilvl w:val="2"/>
          <w:numId w:val="6"/>
        </w:numPr>
        <w:tabs>
          <w:tab w:val="left" w:pos="720" w:leader="none"/>
          <w:tab w:val="left" w:pos="1440" w:leader="none"/>
          <w:tab w:val="left" w:pos="2160" w:leader="none"/>
          <w:tab w:val="left" w:pos="3600" w:leader="none"/>
          <w:tab w:val="left" w:pos="4320" w:leader="none"/>
        </w:tabs>
        <w:jc w:val="both"/>
        <w:rPr>
          <w:rFonts w:ascii="Arial" w:hAnsi="Arial" w:cs="Arial"/>
          <w:b/>
          <w:i/>
          <w:i/>
          <w:sz w:val="22"/>
        </w:rPr>
      </w:pPr>
      <w:r>
        <w:rPr>
          <w:rFonts w:cs="Arial" w:ascii="Arial" w:hAnsi="Arial"/>
          <w:sz w:val="22"/>
        </w:rPr>
        <w:t xml:space="preserve">Master LNG Sale and Purchase Agreement (Ex-Ship) between MLNG and EIGSC </w:t>
      </w:r>
      <w:r>
        <w:rPr>
          <w:rFonts w:cs="Arial" w:ascii="Arial" w:hAnsi="Arial"/>
          <w:b/>
          <w:i/>
          <w:sz w:val="22"/>
        </w:rPr>
        <w:t>[DRAFT – Still under negotiation]</w:t>
      </w:r>
    </w:p>
    <w:p>
      <w:pPr>
        <w:pStyle w:val="Normal"/>
        <w:rPr/>
      </w:pPr>
      <w:r>
        <w:rPr/>
        <w:tab/>
      </w:r>
    </w:p>
    <w:p>
      <w:pPr>
        <w:pStyle w:val="Heading4"/>
        <w:numPr>
          <w:ilvl w:val="0"/>
          <w:numId w:val="0"/>
        </w:numPr>
        <w:tabs>
          <w:tab w:val="left" w:pos="720" w:leader="none"/>
          <w:tab w:val="left" w:pos="1440" w:leader="none"/>
          <w:tab w:val="left" w:pos="2160" w:leader="none"/>
          <w:tab w:val="left" w:pos="3600" w:leader="none"/>
          <w:tab w:val="left" w:pos="4320" w:leader="none"/>
        </w:tabs>
        <w:ind w:hanging="0" w:start="0"/>
        <w:jc w:val="both"/>
        <w:rPr/>
      </w:pPr>
      <w:r>
        <w:rPr/>
        <w:t>F.</w:t>
        <w:tab/>
        <w:t>RasGas Mid-Term LNG SPA</w:t>
      </w:r>
    </w:p>
    <w:p>
      <w:pPr>
        <w:pStyle w:val="Normal"/>
        <w:tabs>
          <w:tab w:val="clear" w:pos="720"/>
          <w:tab w:val="left" w:pos="144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Normal"/>
        <w:numPr>
          <w:ilvl w:val="2"/>
          <w:numId w:val="6"/>
        </w:numPr>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t>Confidentiality Agreement with Ras Laffan Liquefied Natural Gas Company Limited (“RasGas”)</w:t>
      </w:r>
    </w:p>
    <w:p>
      <w:pPr>
        <w:pStyle w:val="Normal"/>
        <w:numPr>
          <w:ilvl w:val="2"/>
          <w:numId w:val="6"/>
        </w:numPr>
        <w:tabs>
          <w:tab w:val="left" w:pos="720" w:leader="none"/>
          <w:tab w:val="left" w:pos="1440" w:leader="none"/>
          <w:tab w:val="left" w:pos="2160" w:leader="none"/>
          <w:tab w:val="left" w:pos="3600" w:leader="none"/>
          <w:tab w:val="left" w:pos="4320" w:leader="none"/>
        </w:tabs>
        <w:jc w:val="both"/>
        <w:rPr>
          <w:rFonts w:ascii="Arial" w:hAnsi="Arial" w:cs="Arial"/>
          <w:b/>
          <w:i/>
          <w:i/>
          <w:sz w:val="22"/>
        </w:rPr>
      </w:pPr>
      <w:r>
        <w:rPr>
          <w:rFonts w:cs="Arial" w:ascii="Arial" w:hAnsi="Arial"/>
          <w:sz w:val="22"/>
        </w:rPr>
        <w:t xml:space="preserve">Master LNG Sale and Purchase Agreement (FOB Basis) between RasGas and EIGSC </w:t>
      </w:r>
      <w:r>
        <w:rPr>
          <w:rFonts w:cs="Arial" w:ascii="Arial" w:hAnsi="Arial"/>
          <w:b/>
          <w:i/>
          <w:sz w:val="22"/>
        </w:rPr>
        <w:t>[DRAFT – Still under negotiation]</w:t>
      </w:r>
    </w:p>
    <w:p>
      <w:pPr>
        <w:pStyle w:val="Normal"/>
        <w:tabs>
          <w:tab w:val="left" w:pos="720" w:leader="none"/>
          <w:tab w:val="left" w:pos="2160" w:leader="none"/>
          <w:tab w:val="left" w:pos="3600" w:leader="none"/>
          <w:tab w:val="left" w:pos="4320" w:leader="none"/>
        </w:tabs>
        <w:jc w:val="both"/>
        <w:rPr>
          <w:rFonts w:ascii="Arial" w:hAnsi="Arial" w:cs="Arial"/>
          <w:b/>
          <w:i/>
          <w:i/>
          <w:sz w:val="22"/>
        </w:rPr>
      </w:pPr>
      <w:r>
        <w:rPr>
          <w:rFonts w:cs="Arial" w:ascii="Arial" w:hAnsi="Arial"/>
          <w:b/>
          <w:i/>
          <w:sz w:val="22"/>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Heading9"/>
        <w:keepLines w:val="false"/>
        <w:tabs>
          <w:tab w:val="clear" w:pos="2880"/>
          <w:tab w:val="left" w:pos="720" w:leader="none"/>
          <w:tab w:val="left" w:pos="1440" w:leader="none"/>
          <w:tab w:val="left" w:pos="2160" w:leader="none"/>
          <w:tab w:val="left" w:pos="3600" w:leader="none"/>
          <w:tab w:val="left" w:pos="4320" w:leader="none"/>
        </w:tabs>
        <w:ind w:hanging="0" w:start="0" w:end="0"/>
        <w:rPr/>
      </w:pPr>
      <w:r>
        <w:rPr/>
        <w:t>V.</w:t>
        <w:tab/>
        <w:t>LNG Terminal Access Arrangements</w:t>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ssPara1"/>
        <w:tabs>
          <w:tab w:val="left" w:pos="720" w:leader="none"/>
          <w:tab w:val="left" w:pos="2160" w:leader="none"/>
          <w:tab w:val="left" w:pos="3600" w:leader="none"/>
          <w:tab w:val="left" w:pos="4320" w:leader="none"/>
        </w:tabs>
        <w:spacing w:before="0" w:after="0"/>
        <w:rPr>
          <w:lang w:val="en-US"/>
        </w:rPr>
      </w:pPr>
      <w:r>
        <w:rPr>
          <w:b/>
          <w:lang w:val="en-US"/>
        </w:rPr>
        <w:t>A</w:t>
      </w:r>
      <w:r>
        <w:rPr>
          <w:lang w:val="en-US"/>
        </w:rPr>
        <w:t>.</w:t>
        <w:tab/>
      </w:r>
      <w:r>
        <w:rPr>
          <w:b/>
          <w:lang w:val="en-US"/>
        </w:rPr>
        <w:t>Dabhol, India</w:t>
      </w:r>
    </w:p>
    <w:p>
      <w:pPr>
        <w:pStyle w:val="Normal"/>
        <w:tabs>
          <w:tab w:val="left" w:pos="720" w:leader="none"/>
          <w:tab w:val="left" w:pos="2160" w:leader="none"/>
          <w:tab w:val="left" w:pos="3600" w:leader="none"/>
          <w:tab w:val="left" w:pos="4320" w:leader="none"/>
        </w:tabs>
        <w:jc w:val="both"/>
        <w:rPr>
          <w:rFonts w:ascii="Arial" w:hAnsi="Arial" w:cs="Arial"/>
          <w:sz w:val="22"/>
          <w:lang w:val="en-US"/>
        </w:rPr>
      </w:pPr>
      <w:r>
        <w:rPr>
          <w:rFonts w:cs="Arial" w:ascii="Arial" w:hAnsi="Arial"/>
          <w:sz w:val="22"/>
          <w:lang w:val="en-US"/>
        </w:rPr>
      </w:r>
    </w:p>
    <w:p>
      <w:pPr>
        <w:pStyle w:val="Normal"/>
        <w:tabs>
          <w:tab w:val="left" w:pos="720" w:leader="none"/>
          <w:tab w:val="left" w:pos="1440" w:leader="none"/>
          <w:tab w:val="left" w:pos="2160" w:leader="none"/>
          <w:tab w:val="left" w:pos="3600" w:leader="none"/>
          <w:tab w:val="left" w:pos="4320" w:leader="none"/>
        </w:tabs>
        <w:ind w:hanging="1440" w:start="1440" w:end="0"/>
        <w:jc w:val="both"/>
        <w:rPr>
          <w:rFonts w:ascii="Arial" w:hAnsi="Arial" w:cs="Arial"/>
          <w:sz w:val="22"/>
        </w:rPr>
      </w:pPr>
      <w:r>
        <w:rPr>
          <w:rFonts w:cs="Arial" w:ascii="Arial" w:hAnsi="Arial"/>
          <w:sz w:val="22"/>
        </w:rPr>
        <w:tab/>
        <w:t>1.</w:t>
        <w:tab/>
        <w:t>Terminal and Regasification Agreement among DPC, MSEB and MetGas (referenced in section I (B) above)</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b/>
          <w:sz w:val="22"/>
        </w:rPr>
        <w:t>B.</w:t>
      </w:r>
      <w:r>
        <w:rPr>
          <w:rFonts w:cs="Arial" w:ascii="Arial" w:hAnsi="Arial"/>
          <w:sz w:val="22"/>
        </w:rPr>
        <w:tab/>
      </w:r>
      <w:r>
        <w:rPr>
          <w:rFonts w:cs="Arial" w:ascii="Arial" w:hAnsi="Arial"/>
          <w:b/>
          <w:sz w:val="22"/>
        </w:rPr>
        <w:t>Penuelas, Puerto Rico</w:t>
      </w:r>
    </w:p>
    <w:p>
      <w:pPr>
        <w:pStyle w:val="ssPara1"/>
        <w:tabs>
          <w:tab w:val="left" w:pos="720" w:leader="none"/>
          <w:tab w:val="left" w:pos="2160" w:leader="none"/>
          <w:tab w:val="left" w:pos="3600" w:leader="none"/>
          <w:tab w:val="left" w:pos="4320" w:leader="none"/>
        </w:tabs>
        <w:spacing w:before="0" w:after="0"/>
        <w:rPr>
          <w:rFonts w:ascii="Arial" w:hAnsi="Arial" w:cs="Arial"/>
          <w:sz w:val="22"/>
          <w:lang w:val="en-US"/>
        </w:rPr>
      </w:pPr>
      <w:r>
        <w:rPr>
          <w:rFonts w:cs="Arial"/>
          <w:sz w:val="22"/>
          <w:lang w:val="en-US"/>
        </w:rPr>
      </w:r>
    </w:p>
    <w:p>
      <w:pPr>
        <w:pStyle w:val="Normal"/>
        <w:tabs>
          <w:tab w:val="left" w:pos="720" w:leader="none"/>
          <w:tab w:val="left" w:pos="1440" w:leader="none"/>
          <w:tab w:val="left" w:pos="2160" w:leader="none"/>
          <w:tab w:val="left" w:pos="3600" w:leader="none"/>
          <w:tab w:val="left" w:pos="4320" w:leader="none"/>
        </w:tabs>
        <w:ind w:hanging="1440" w:start="1440" w:end="0"/>
        <w:jc w:val="both"/>
        <w:rPr>
          <w:rFonts w:ascii="Arial" w:hAnsi="Arial" w:cs="Arial"/>
          <w:sz w:val="22"/>
        </w:rPr>
      </w:pPr>
      <w:r>
        <w:rPr>
          <w:rFonts w:cs="Arial" w:ascii="Arial" w:hAnsi="Arial"/>
          <w:sz w:val="22"/>
        </w:rPr>
        <w:tab/>
        <w:t>1.</w:t>
        <w:tab/>
        <w:t>LNG Tolling Services Agreement between EcoElectrica and ProCaribe (referenced in section I (C) above)</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left" w:pos="720" w:leader="none"/>
          <w:tab w:val="left" w:pos="2160" w:leader="none"/>
          <w:tab w:val="left" w:pos="3600" w:leader="none"/>
          <w:tab w:val="left" w:pos="4320" w:leader="none"/>
        </w:tabs>
        <w:jc w:val="both"/>
        <w:rPr/>
      </w:pPr>
      <w:r>
        <w:rPr>
          <w:rFonts w:cs="Arial" w:ascii="Arial" w:hAnsi="Arial"/>
          <w:b/>
          <w:sz w:val="22"/>
        </w:rPr>
        <w:t>C.</w:t>
      </w:r>
      <w:r>
        <w:rPr>
          <w:rFonts w:cs="Arial" w:ascii="Arial" w:hAnsi="Arial"/>
          <w:sz w:val="22"/>
        </w:rPr>
        <w:tab/>
      </w:r>
      <w:r>
        <w:rPr>
          <w:rFonts w:cs="Arial" w:ascii="Arial" w:hAnsi="Arial"/>
          <w:b/>
          <w:sz w:val="22"/>
        </w:rPr>
        <w:t>Elba Island, Georgia</w:t>
      </w:r>
    </w:p>
    <w:p>
      <w:pPr>
        <w:pStyle w:val="ssPara1"/>
        <w:tabs>
          <w:tab w:val="left" w:pos="720" w:leader="none"/>
          <w:tab w:val="left" w:pos="2160" w:leader="none"/>
          <w:tab w:val="left" w:pos="3600" w:leader="none"/>
          <w:tab w:val="left" w:pos="4320" w:leader="none"/>
        </w:tabs>
        <w:spacing w:before="0" w:after="0"/>
        <w:rPr>
          <w:rFonts w:ascii="Arial" w:hAnsi="Arial" w:cs="Arial"/>
          <w:b/>
          <w:sz w:val="22"/>
          <w:lang w:val="en-US"/>
        </w:rPr>
      </w:pPr>
      <w:r>
        <w:rPr>
          <w:rFonts w:cs="Arial"/>
          <w:b/>
          <w:sz w:val="22"/>
          <w:lang w:val="en-US"/>
        </w:rPr>
      </w:r>
    </w:p>
    <w:p>
      <w:pPr>
        <w:pStyle w:val="ssPara1"/>
        <w:tabs>
          <w:tab w:val="left" w:pos="720" w:leader="none"/>
          <w:tab w:val="left" w:pos="1440" w:leader="none"/>
          <w:tab w:val="left" w:pos="2160" w:leader="none"/>
          <w:tab w:val="left" w:pos="3600" w:leader="none"/>
          <w:tab w:val="left" w:pos="4320" w:leader="none"/>
        </w:tabs>
        <w:spacing w:before="0" w:after="0"/>
        <w:ind w:hanging="1440" w:start="1440" w:end="0"/>
        <w:rPr/>
      </w:pPr>
      <w:r>
        <w:rPr>
          <w:b/>
          <w:lang w:val="en-US"/>
        </w:rPr>
        <w:tab/>
      </w:r>
      <w:r>
        <w:rPr>
          <w:lang w:val="en-US"/>
        </w:rPr>
        <w:t>1.</w:t>
        <w:tab/>
        <w:t>LNG Sale and Purchase Agreement between Enron LNG Marketing LLC and El Paso Merchant Energy (referenced in section IV (A) above)</w:t>
      </w:r>
    </w:p>
    <w:p>
      <w:pPr>
        <w:pStyle w:val="ssPara1"/>
        <w:tabs>
          <w:tab w:val="left" w:pos="720" w:leader="none"/>
          <w:tab w:val="left" w:pos="2160" w:leader="none"/>
          <w:tab w:val="left" w:pos="3600" w:leader="none"/>
          <w:tab w:val="left" w:pos="4320" w:leader="none"/>
        </w:tabs>
        <w:spacing w:before="0" w:after="0"/>
        <w:rPr>
          <w:b/>
          <w:lang w:val="en-US"/>
        </w:rPr>
      </w:pPr>
      <w:r>
        <w:rPr>
          <w:b/>
          <w:lang w:val="en-US"/>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b/>
          <w:sz w:val="22"/>
        </w:rPr>
        <w:t>D.</w:t>
      </w:r>
      <w:r>
        <w:rPr>
          <w:rFonts w:cs="Arial" w:ascii="Arial" w:hAnsi="Arial"/>
          <w:sz w:val="22"/>
        </w:rPr>
        <w:tab/>
      </w:r>
      <w:r>
        <w:rPr>
          <w:rFonts w:cs="Arial" w:ascii="Arial" w:hAnsi="Arial"/>
          <w:b/>
          <w:sz w:val="22"/>
        </w:rPr>
        <w:t>Lake Charles, Louisiana</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Heading3"/>
        <w:tabs>
          <w:tab w:val="clear" w:pos="1800"/>
          <w:tab w:val="clear" w:pos="4140"/>
          <w:tab w:val="left" w:pos="720" w:leader="none"/>
          <w:tab w:val="left" w:pos="1440" w:leader="none"/>
          <w:tab w:val="left" w:pos="2160" w:leader="none"/>
          <w:tab w:val="left" w:pos="2880" w:leader="none"/>
          <w:tab w:val="left" w:pos="3600" w:leader="none"/>
          <w:tab w:val="left" w:pos="4320" w:leader="none"/>
        </w:tabs>
        <w:ind w:hanging="1440" w:start="1440" w:end="0"/>
        <w:jc w:val="both"/>
        <w:rPr/>
      </w:pPr>
      <w:r>
        <w:rPr/>
        <w:tab/>
      </w:r>
      <w:r>
        <w:rPr>
          <w:rFonts w:cs="Arial" w:ascii="Arial" w:hAnsi="Arial"/>
          <w:b w:val="false"/>
          <w:sz w:val="22"/>
        </w:rPr>
        <w:t>1.</w:t>
        <w:tab/>
        <w:t>Terminaling Services Agreement &amp; Tariff between Trunkline LNG and EIGSC first referencd in section IV (B)(3) above.</w:t>
      </w:r>
    </w:p>
    <w:p>
      <w:pPr>
        <w:pStyle w:val="ssPara1"/>
        <w:tabs>
          <w:tab w:val="left" w:pos="720" w:leader="none"/>
          <w:tab w:val="left" w:pos="1440" w:leader="none"/>
          <w:tab w:val="left" w:pos="2160" w:leader="none"/>
          <w:tab w:val="left" w:pos="3600" w:leader="none"/>
          <w:tab w:val="left" w:pos="4320" w:leader="none"/>
        </w:tabs>
        <w:spacing w:before="0" w:after="0"/>
        <w:rPr>
          <w:rFonts w:ascii="Arial" w:hAnsi="Arial" w:cs="Arial"/>
          <w:b/>
          <w:sz w:val="22"/>
          <w:lang w:val="en-US"/>
        </w:rPr>
      </w:pPr>
      <w:r>
        <w:rPr>
          <w:rFonts w:cs="Arial"/>
          <w:b/>
          <w:sz w:val="22"/>
          <w:lang w:val="en-US"/>
        </w:rPr>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b/>
          <w:sz w:val="22"/>
        </w:rPr>
        <w:t>E.</w:t>
      </w:r>
      <w:r>
        <w:rPr>
          <w:rFonts w:cs="Arial" w:ascii="Arial" w:hAnsi="Arial"/>
          <w:sz w:val="22"/>
        </w:rPr>
        <w:tab/>
      </w:r>
      <w:r>
        <w:rPr>
          <w:rFonts w:cs="Arial" w:ascii="Arial" w:hAnsi="Arial"/>
          <w:b/>
          <w:sz w:val="22"/>
        </w:rPr>
        <w:t>Grand Bahama, Bahamas</w:t>
      </w:r>
    </w:p>
    <w:p>
      <w:pPr>
        <w:pStyle w:val="Normal"/>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ssPara1"/>
        <w:numPr>
          <w:ilvl w:val="2"/>
          <w:numId w:val="24"/>
        </w:numPr>
        <w:tabs>
          <w:tab w:val="left" w:pos="720" w:leader="none"/>
          <w:tab w:val="left" w:pos="1440" w:leader="none"/>
          <w:tab w:val="left" w:pos="2160" w:leader="none"/>
          <w:tab w:val="left" w:pos="3600" w:leader="none"/>
          <w:tab w:val="left" w:pos="4320" w:leader="none"/>
        </w:tabs>
        <w:spacing w:before="0" w:after="0"/>
        <w:ind w:hanging="720" w:start="1440" w:end="0"/>
        <w:rPr>
          <w:lang w:val="en-US"/>
        </w:rPr>
      </w:pPr>
      <w:r>
        <w:rPr>
          <w:lang w:val="en-US"/>
        </w:rPr>
        <w:t>Letter of Intent between Grand Bahama Port Authority Ltd. and Enron Global LNG LLC</w:t>
      </w:r>
    </w:p>
    <w:p>
      <w:pPr>
        <w:pStyle w:val="ssPara1"/>
        <w:tabs>
          <w:tab w:val="left" w:pos="720" w:leader="none"/>
          <w:tab w:val="left" w:pos="1440" w:leader="none"/>
          <w:tab w:val="left" w:pos="2160" w:leader="none"/>
          <w:tab w:val="left" w:pos="3600" w:leader="none"/>
          <w:tab w:val="left" w:pos="4320" w:leader="none"/>
        </w:tabs>
        <w:spacing w:before="0" w:after="0"/>
        <w:ind w:start="720" w:end="0"/>
        <w:rPr>
          <w:rFonts w:eastAsia="Arial"/>
          <w:lang w:val="en-US"/>
        </w:rPr>
      </w:pPr>
      <w:r>
        <w:rPr>
          <w:rFonts w:eastAsia="Arial"/>
          <w:lang w:val="en-US"/>
        </w:rPr>
        <w:t xml:space="preserve"> </w:t>
      </w:r>
    </w:p>
    <w:p>
      <w:pPr>
        <w:pStyle w:val="ssPara1"/>
        <w:tabs>
          <w:tab w:val="left" w:pos="720" w:leader="none"/>
          <w:tab w:val="left" w:pos="2160" w:leader="none"/>
          <w:tab w:val="left" w:pos="3600" w:leader="none"/>
          <w:tab w:val="left" w:pos="4320" w:leader="none"/>
        </w:tabs>
        <w:spacing w:before="0" w:after="0"/>
        <w:rPr>
          <w:lang w:val="en-US"/>
        </w:rPr>
      </w:pPr>
      <w:r>
        <w:rPr>
          <w:b/>
          <w:lang w:val="en-US"/>
        </w:rPr>
        <w:t>F.</w:t>
      </w:r>
      <w:r>
        <w:rPr>
          <w:lang w:val="en-US"/>
        </w:rPr>
        <w:tab/>
      </w:r>
      <w:r>
        <w:rPr>
          <w:b/>
          <w:lang w:val="en-US"/>
        </w:rPr>
        <w:t>Dominican Republic</w:t>
      </w:r>
    </w:p>
    <w:p>
      <w:pPr>
        <w:pStyle w:val="ssPara1"/>
        <w:tabs>
          <w:tab w:val="left" w:pos="720" w:leader="none"/>
          <w:tab w:val="left" w:pos="2160" w:leader="none"/>
          <w:tab w:val="left" w:pos="3600" w:leader="none"/>
          <w:tab w:val="left" w:pos="4320" w:leader="none"/>
        </w:tabs>
        <w:spacing w:before="0" w:after="0"/>
        <w:rPr>
          <w:lang w:val="en-US"/>
        </w:rPr>
      </w:pPr>
      <w:r>
        <w:rPr>
          <w:lang w:val="en-US"/>
        </w:rPr>
      </w:r>
    </w:p>
    <w:p>
      <w:pPr>
        <w:pStyle w:val="ssPara1"/>
        <w:numPr>
          <w:ilvl w:val="2"/>
          <w:numId w:val="26"/>
        </w:numPr>
        <w:tabs>
          <w:tab w:val="left" w:pos="720" w:leader="none"/>
          <w:tab w:val="left" w:pos="1440" w:leader="none"/>
          <w:tab w:val="left" w:pos="2160" w:leader="none"/>
          <w:tab w:val="left" w:pos="3600" w:leader="none"/>
          <w:tab w:val="left" w:pos="4320" w:leader="none"/>
        </w:tabs>
        <w:spacing w:before="0" w:after="0"/>
        <w:ind w:hanging="720" w:start="1440" w:end="0"/>
        <w:rPr>
          <w:lang w:val="en-US"/>
        </w:rPr>
      </w:pPr>
      <w:r>
        <w:rPr>
          <w:lang w:val="en-US"/>
        </w:rPr>
        <w:t>Memorandum of Understanding between Union Fenosa and Enron LNG Atlantic Ltd.</w:t>
      </w:r>
    </w:p>
    <w:p>
      <w:pPr>
        <w:pStyle w:val="ssPara1"/>
        <w:numPr>
          <w:ilvl w:val="2"/>
          <w:numId w:val="26"/>
        </w:numPr>
        <w:tabs>
          <w:tab w:val="left" w:pos="720" w:leader="none"/>
          <w:tab w:val="left" w:pos="1440" w:leader="none"/>
          <w:tab w:val="left" w:pos="2160" w:leader="none"/>
          <w:tab w:val="left" w:pos="3600" w:leader="none"/>
          <w:tab w:val="left" w:pos="4320" w:leader="none"/>
        </w:tabs>
        <w:spacing w:before="0" w:after="0"/>
        <w:ind w:hanging="720" w:start="1440" w:end="0"/>
        <w:rPr>
          <w:lang w:val="en-US"/>
        </w:rPr>
      </w:pPr>
      <w:r>
        <w:rPr>
          <w:lang w:val="en-US"/>
        </w:rPr>
        <w:t>Joint Development Agreement between Union Fenosa and Enron LNG Atlantic Ltd.</w:t>
      </w:r>
    </w:p>
    <w:p>
      <w:pPr>
        <w:pStyle w:val="ssPara1"/>
        <w:tabs>
          <w:tab w:val="left" w:pos="720" w:leader="none"/>
          <w:tab w:val="left" w:pos="2160" w:leader="none"/>
          <w:tab w:val="left" w:pos="3600" w:leader="none"/>
          <w:tab w:val="left" w:pos="4320" w:leader="none"/>
        </w:tabs>
        <w:spacing w:before="0" w:after="0"/>
        <w:rPr>
          <w:lang w:val="en-US"/>
        </w:rPr>
      </w:pPr>
      <w:r>
        <w:rPr>
          <w:lang w:val="en-US"/>
        </w:rPr>
      </w:r>
    </w:p>
    <w:p>
      <w:pPr>
        <w:pStyle w:val="Normal"/>
        <w:tabs>
          <w:tab w:val="left" w:pos="720" w:leader="none"/>
          <w:tab w:val="left" w:pos="2160" w:leader="none"/>
          <w:tab w:val="left" w:pos="3600" w:leader="none"/>
          <w:tab w:val="left" w:pos="4320" w:leader="none"/>
        </w:tabs>
        <w:jc w:val="both"/>
        <w:rPr>
          <w:rFonts w:ascii="Arial" w:hAnsi="Arial" w:cs="Arial"/>
          <w:b/>
          <w:sz w:val="22"/>
          <w:lang w:val="en-US"/>
        </w:rPr>
      </w:pPr>
      <w:r>
        <w:rPr>
          <w:rFonts w:cs="Arial" w:ascii="Arial" w:hAnsi="Arial"/>
          <w:b/>
          <w:sz w:val="22"/>
          <w:lang w:val="en-US"/>
        </w:rPr>
      </w:r>
    </w:p>
    <w:p>
      <w:pPr>
        <w:pStyle w:val="Heading7"/>
        <w:numPr>
          <w:ilvl w:val="1"/>
          <w:numId w:val="16"/>
        </w:numPr>
        <w:tabs>
          <w:tab w:val="clear" w:pos="1440"/>
          <w:tab w:val="left" w:pos="720" w:leader="none"/>
          <w:tab w:val="left" w:pos="2160" w:leader="none"/>
          <w:tab w:val="left" w:pos="3600" w:leader="none"/>
          <w:tab w:val="left" w:pos="4320" w:leader="none"/>
        </w:tabs>
        <w:rPr/>
      </w:pPr>
      <w:r>
        <w:rPr/>
        <w:t>Japan</w:t>
      </w:r>
    </w:p>
    <w:p>
      <w:pPr>
        <w:pStyle w:val="Normal"/>
        <w:tabs>
          <w:tab w:val="left" w:pos="720" w:leader="none"/>
          <w:tab w:val="left" w:pos="2160" w:leader="none"/>
          <w:tab w:val="left" w:pos="3600" w:leader="none"/>
          <w:tab w:val="left" w:pos="4320" w:leader="none"/>
        </w:tabs>
        <w:jc w:val="both"/>
        <w:rPr>
          <w:rFonts w:ascii="Arial" w:hAnsi="Arial" w:cs="Arial"/>
          <w:b/>
          <w:sz w:val="22"/>
        </w:rPr>
      </w:pPr>
      <w:r>
        <w:rPr>
          <w:rFonts w:cs="Arial" w:ascii="Arial" w:hAnsi="Arial"/>
          <w:b/>
          <w:sz w:val="22"/>
        </w:rPr>
      </w:r>
    </w:p>
    <w:p>
      <w:pPr>
        <w:pStyle w:val="Heading6"/>
        <w:tabs>
          <w:tab w:val="left" w:pos="720" w:leader="none"/>
        </w:tabs>
        <w:ind w:hanging="1440" w:start="1440" w:end="0"/>
        <w:jc w:val="both"/>
        <w:rPr/>
      </w:pPr>
      <w:r>
        <w:rPr/>
        <w:tab/>
      </w:r>
      <w:r>
        <w:rPr>
          <w:b w:val="false"/>
        </w:rPr>
        <w:t>1.</w:t>
        <w:tab/>
        <w:t>Confidentiality Agreement with BHP</w:t>
      </w:r>
    </w:p>
    <w:p>
      <w:pPr>
        <w:pStyle w:val="ssPara1"/>
        <w:tabs>
          <w:tab w:val="left" w:pos="720" w:leader="none"/>
          <w:tab w:val="left" w:pos="2160" w:leader="none"/>
          <w:tab w:val="left" w:pos="3600" w:leader="none"/>
          <w:tab w:val="left" w:pos="4320" w:leader="none"/>
        </w:tabs>
        <w:spacing w:before="0" w:after="0"/>
        <w:rPr>
          <w:b/>
          <w:lang w:val="en-US"/>
        </w:rPr>
      </w:pPr>
      <w:r>
        <w:rPr>
          <w:b/>
          <w:lang w:val="en-US"/>
        </w:rPr>
      </w:r>
    </w:p>
    <w:p>
      <w:pPr>
        <w:pStyle w:val="Normal"/>
        <w:tabs>
          <w:tab w:val="left" w:pos="720" w:leader="none"/>
          <w:tab w:val="left" w:pos="2160" w:leader="none"/>
          <w:tab w:val="left" w:pos="3600" w:leader="none"/>
          <w:tab w:val="left" w:pos="4320" w:leader="none"/>
        </w:tabs>
        <w:jc w:val="both"/>
        <w:rPr>
          <w:rFonts w:ascii="Arial" w:hAnsi="Arial" w:cs="Arial"/>
          <w:b/>
          <w:sz w:val="28"/>
          <w:lang w:val="en-US"/>
        </w:rPr>
      </w:pPr>
      <w:r>
        <w:rPr>
          <w:rFonts w:cs="Arial" w:ascii="Arial" w:hAnsi="Arial"/>
          <w:b/>
          <w:sz w:val="28"/>
          <w:lang w:val="en-US"/>
        </w:rPr>
      </w:r>
    </w:p>
    <w:p>
      <w:pPr>
        <w:pStyle w:val="Heading7"/>
        <w:tabs>
          <w:tab w:val="clear" w:pos="1440"/>
          <w:tab w:val="left" w:pos="720" w:leader="none"/>
          <w:tab w:val="left" w:pos="2160" w:leader="none"/>
          <w:tab w:val="left" w:pos="3600" w:leader="none"/>
          <w:tab w:val="left" w:pos="4320" w:leader="none"/>
        </w:tabs>
        <w:ind w:hanging="0" w:start="0"/>
        <w:rPr>
          <w:sz w:val="28"/>
        </w:rPr>
      </w:pPr>
      <w:r>
        <w:rPr>
          <w:sz w:val="28"/>
        </w:rPr>
        <w:t>VI.</w:t>
        <w:tab/>
        <w:t>Gas Technology Projects</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b/>
          <w:i/>
          <w:i/>
          <w:sz w:val="22"/>
        </w:rPr>
      </w:pPr>
      <w:r>
        <w:rPr>
          <w:rFonts w:cs="Arial" w:ascii="Arial" w:hAnsi="Arial"/>
          <w:b/>
          <w:i/>
          <w:sz w:val="22"/>
        </w:rPr>
      </w:r>
    </w:p>
    <w:p>
      <w:pPr>
        <w:pStyle w:val="Heading7"/>
        <w:numPr>
          <w:ilvl w:val="1"/>
          <w:numId w:val="26"/>
        </w:numPr>
        <w:rPr/>
      </w:pPr>
      <w:r>
        <w:rPr/>
        <w:t>PipeShip/CoilShip Technology</w:t>
      </w:r>
    </w:p>
    <w:p>
      <w:pPr>
        <w:pStyle w:val="Normal"/>
        <w:tabs>
          <w:tab w:val="left" w:pos="720" w:leader="none"/>
          <w:tab w:val="left" w:pos="1440" w:leader="none"/>
          <w:tab w:val="left" w:pos="2160" w:leader="none"/>
          <w:tab w:val="left" w:pos="3600" w:leader="none"/>
          <w:tab w:val="left" w:pos="4320" w:leader="none"/>
        </w:tabs>
        <w:ind w:start="720" w:end="0"/>
        <w:jc w:val="both"/>
        <w:rPr>
          <w:rFonts w:ascii="Arial" w:hAnsi="Arial" w:cs="Arial"/>
          <w:sz w:val="22"/>
        </w:rPr>
      </w:pPr>
      <w:r>
        <w:rPr>
          <w:rFonts w:cs="Arial" w:ascii="Arial" w:hAnsi="Arial"/>
          <w:sz w:val="22"/>
        </w:rPr>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Technology Assignment Agreement between Wild Rose Holdings Ltd. (“WRHL”) and ETSL</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PipeShip Patents/Applications in the US, Argentina, Chile, Colombia, Egypt, Indonesia, Malaysia, Oman, Pakistan, Peru, Qatar, Saudi Arabia, Republic of South Africa, Taiwan, Thailand, United Arab Emirates, Venezuela, Australia, Brazil, Canada, China, Israel, Japan, Republic of Korea, Mexico, Norway, New Zealand, Poland, Russian Federation, Singapore, Turkey, Vietnam, European Patent Office (covers United Kingdom and 17 other European countries including Austria, Belgium, Cyprus, Denmark, Finland, France, Germany, Greece, Ireland, Italy, Luxembourg, Monaco, Netherlands, Portugal, Spain, Sweden, and Switzerland/Lichtenstein), and India</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 xml:space="preserve">CoilShip Patents/Applications in the US, Australia, Brazil, Canada, China, Israel, Japan, Republic of Korea, Mexico, Norway, New Zealand, Poland, Russian Federation, Singapore, Turkey, Vietnam, Hong Kong, Colombia, India, Taiwan Philippines, Venezuela and European Patent Office (covers United Kingdom and 17 other European countries including Austria, Belgium, Cyprus, Denmark, Finland, France, Germany, Greece, Ireland, Italy, Luxembourg, Monaco, Netherlands, Portugal, Spain, Sweden, and Switzerland/Lichtenstein) </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Technology Development Agreement (with non-exclusive license) between ETSL and Altaplan Consultants Ltd.</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Technology Development Agreement between ETSL and Arctic Offshore Engineering Ltd.</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Engineering Services Agreement between ETSL and Cran &amp; Stenning Technology, Inc.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Letter agreement between ETSL and Cran &amp; Stenning Technology/WRHLK acknowledging the existence of a paid-up, worldwide non-exclusive license in favor of WRHL to use and market the Technology</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between Enron Development Corp. (“EDC”) and Cran &amp; Stenning Technology, Inc.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Interocean Ugland Management A.S. in favor of EDC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Ship Construction Strategies, Inc. in favor of EDC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John Fitzpatrick, P. Eng. in favor of EDC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ABN-AMRO Bank in favor of EDC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Materials Science Research Ltd. in favor of EDC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Metallurgical Consultants, Inc. in favor of EDC</w:t>
      </w:r>
    </w:p>
    <w:p>
      <w:pPr>
        <w:pStyle w:val="Normal"/>
        <w:numPr>
          <w:ilvl w:val="0"/>
          <w:numId w:val="9"/>
        </w:numPr>
        <w:tabs>
          <w:tab w:val="left" w:pos="720" w:leader="none"/>
          <w:tab w:val="left" w:pos="2160" w:leader="none"/>
          <w:tab w:val="left" w:pos="3600" w:leader="none"/>
          <w:tab w:val="left" w:pos="4320" w:leader="none"/>
        </w:tabs>
        <w:jc w:val="both"/>
        <w:rPr>
          <w:rFonts w:ascii="Arial" w:hAnsi="Arial" w:cs="Arial"/>
          <w:sz w:val="22"/>
        </w:rPr>
      </w:pPr>
      <w:r>
        <w:rPr>
          <w:rFonts w:cs="Arial" w:ascii="Arial" w:hAnsi="Arial"/>
          <w:sz w:val="22"/>
        </w:rPr>
        <w:t>Non-Disclosure Agreement executed by Lloyd’s Register of Shipping in favor of EDC</w:t>
      </w:r>
    </w:p>
    <w:p>
      <w:pPr>
        <w:pStyle w:val="Normal"/>
        <w:tabs>
          <w:tab w:val="left" w:pos="720" w:leader="none"/>
          <w:tab w:val="left" w:pos="1440" w:leader="none"/>
          <w:tab w:val="left" w:pos="2160" w:leader="none"/>
          <w:tab w:val="left" w:pos="3600" w:leader="none"/>
          <w:tab w:val="left" w:pos="4320" w:leader="none"/>
        </w:tabs>
        <w:ind w:hanging="1440" w:start="1440" w:end="0"/>
        <w:jc w:val="both"/>
        <w:rPr>
          <w:rFonts w:ascii="Arial" w:hAnsi="Arial" w:cs="Arial"/>
          <w:sz w:val="22"/>
        </w:rPr>
      </w:pPr>
      <w:r>
        <w:rPr>
          <w:rFonts w:cs="Arial" w:ascii="Arial" w:hAnsi="Arial"/>
          <w:sz w:val="22"/>
        </w:rPr>
        <w:tab/>
        <w:t>16.</w:t>
        <w:tab/>
        <w:t>Non-Disclosure Agreement executed by Robert J. Lakey &amp; Associates, Inc. in favor of EDC</w:t>
      </w:r>
    </w:p>
    <w:p>
      <w:pPr>
        <w:pStyle w:val="Normal"/>
        <w:tabs>
          <w:tab w:val="left" w:pos="720" w:leader="none"/>
          <w:tab w:val="left" w:pos="1440" w:leader="none"/>
          <w:tab w:val="left" w:pos="2160" w:leader="none"/>
          <w:tab w:val="left" w:pos="3600" w:leader="none"/>
          <w:tab w:val="left" w:pos="4320" w:leader="none"/>
        </w:tabs>
        <w:jc w:val="both"/>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3600" w:leader="none"/>
          <w:tab w:val="left" w:pos="4320" w:leader="none"/>
        </w:tabs>
        <w:jc w:val="both"/>
        <w:rPr>
          <w:rFonts w:ascii="Arial" w:hAnsi="Arial" w:cs="Arial"/>
          <w:sz w:val="16"/>
        </w:rPr>
      </w:pPr>
      <w:r>
        <w:rPr>
          <w:rFonts w:cs="Arial" w:ascii="Arial" w:hAnsi="Arial"/>
          <w:sz w:val="16"/>
        </w:rPr>
        <w:t>****END***</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Arial" w:hAnsi="Arial" w:cs="Arial"/>
        <w:b/>
        <w:sz w:val="16"/>
      </w:rPr>
    </w:pPr>
    <w:r>
      <w:rPr>
        <w:rFonts w:cs="Arial" w:ascii="Arial" w:hAnsi="Arial"/>
        <w:b/>
        <w:sz w:val="16"/>
      </w:rPr>
      <w:t>CONFIDENTIAL</w:t>
      <w:tab/>
      <w:tab/>
      <w:tab/>
      <w:tab/>
      <w:tab/>
      <w:tab/>
      <w:tab/>
      <w:tab/>
      <w:tab/>
      <w:tab/>
      <w:t xml:space="preserve">   REVISED 9/21/00</w:t>
      <w:tab/>
      <w:tab/>
      <w:tab/>
      <w:tab/>
      <w:tab/>
      <w:tab/>
      <w:tab/>
      <w:tab/>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Arial" w:hAnsi="Arial" w:cs="Arial"/>
        <w:b/>
        <w:sz w:val="16"/>
      </w:rPr>
    </w:pPr>
    <w:r>
      <w:rPr>
        <w:rFonts w:cs="Arial" w:ascii="Arial" w:hAnsi="Arial"/>
        <w:b/>
        <w:sz w:val="16"/>
      </w:rPr>
      <w:t>CONFIDENTIAL</w:t>
      <w:tab/>
      <w:tab/>
      <w:tab/>
      <w:tab/>
      <w:tab/>
      <w:tab/>
      <w:tab/>
      <w:tab/>
      <w:tab/>
      <w:tab/>
      <w:t xml:space="preserve">   REVISED 9/21/00</w:t>
      <w:tab/>
      <w:tab/>
      <w:tab/>
      <w:tab/>
      <w:tab/>
      <w:tab/>
      <w:tab/>
      <w:tab/>
      <w:tab/>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rFonts w:ascii="Arial" w:hAnsi="Arial" w:cs="Arial"/>
        <w:b/>
        <w:sz w:val="16"/>
      </w:rPr>
    </w:pPr>
    <w:r>
      <w:rPr>
        <w:rFonts w:cs="Arial" w:ascii="Arial" w:hAnsi="Arial"/>
        <w:b/>
        <w:sz w:val="16"/>
      </w:rPr>
      <w:t>CONFIDENTIAL</w:t>
      <w:tab/>
      <w:tab/>
      <w:tab/>
      <w:tab/>
      <w:tab/>
      <w:tab/>
      <w:tab/>
      <w:tab/>
      <w:tab/>
      <w:tab/>
      <w:t xml:space="preserve">   REVISED 9/21/00</w:t>
      <w:tab/>
      <w:tab/>
      <w:tab/>
      <w:tab/>
      <w:tab/>
      <w:tab/>
      <w:tab/>
      <w:tab/>
      <w:tab/>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upperRoman"/>
      <w:lvlText w:val="%1."/>
      <w:lvlJc w:val="start"/>
      <w:pPr>
        <w:tabs>
          <w:tab w:val="num" w:pos="720"/>
        </w:tabs>
        <w:ind w:start="567" w:hanging="567"/>
      </w:pPr>
      <w:rPr>
        <w:sz w:val="28"/>
        <w:i w:val="false"/>
        <w:b/>
        <w:rFonts w:ascii="Arial" w:hAnsi="Arial" w:cs="Arial"/>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5">
    <w:lvl w:ilvl="0">
      <w:start w:val="2"/>
      <w:numFmt w:val="decimal"/>
      <w:lvlText w:val="%1."/>
      <w:lvlJc w:val="start"/>
      <w:pPr>
        <w:tabs>
          <w:tab w:val="num" w:pos="1080"/>
        </w:tabs>
        <w:ind w:start="108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6">
    <w:lvl w:ilvl="0">
      <w:start w:val="1"/>
      <w:numFmt w:val="upperLetter"/>
      <w:lvlText w:val="%1."/>
      <w:lvlJc w:val="start"/>
      <w:pPr>
        <w:tabs>
          <w:tab w:val="num" w:pos="360"/>
        </w:tabs>
        <w:ind w:start="36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7">
    <w:lvl w:ilvl="0">
      <w:start w:val="1"/>
      <w:numFmt w:val="upperLetter"/>
      <w:lvlText w:val="%1."/>
      <w:lvlJc w:val="start"/>
      <w:pPr>
        <w:tabs>
          <w:tab w:val="num" w:pos="360"/>
        </w:tabs>
        <w:ind w:start="360" w:hanging="360"/>
      </w:pPr>
      <w:rPr/>
    </w:lvl>
  </w:abstractNum>
  <w:abstractNum w:abstractNumId="8">
    <w:lvl w:ilvl="0">
      <w:start w:val="1"/>
      <w:numFmt w:val="upperLetter"/>
      <w:lvlText w:val="%1."/>
      <w:lvlJc w:val="start"/>
      <w:pPr>
        <w:tabs>
          <w:tab w:val="num" w:pos="360"/>
        </w:tabs>
        <w:ind w:start="36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9">
    <w:lvl w:ilvl="0">
      <w:start w:val="1"/>
      <w:numFmt w:val="decimal"/>
      <w:lvlText w:val="%1."/>
      <w:lvlJc w:val="start"/>
      <w:pPr>
        <w:tabs>
          <w:tab w:val="num" w:pos="1440"/>
        </w:tabs>
        <w:ind w:start="1440" w:hanging="720"/>
      </w:pPr>
      <w:rPr/>
    </w:lvl>
  </w:abstractNum>
  <w:abstractNum w:abstractNumId="10">
    <w:lvl w:ilvl="0">
      <w:start w:val="107"/>
      <w:numFmt w:val="decimal"/>
      <w:lvlText w:val="%1"/>
      <w:lvlJc w:val="start"/>
      <w:pPr>
        <w:tabs>
          <w:tab w:val="num" w:pos="1080"/>
        </w:tabs>
        <w:ind w:start="1080" w:hanging="1080"/>
      </w:pPr>
      <w:rPr>
        <w:b/>
      </w:rPr>
    </w:lvl>
    <w:lvl w:ilvl="1">
      <w:start w:val="2"/>
      <w:numFmt w:val="decimal"/>
      <w:lvlText w:val="%1-%2"/>
      <w:lvlJc w:val="start"/>
      <w:pPr>
        <w:tabs>
          <w:tab w:val="num" w:pos="1980"/>
        </w:tabs>
        <w:ind w:start="1980" w:hanging="1080"/>
      </w:pPr>
      <w:rPr>
        <w:b/>
      </w:rPr>
    </w:lvl>
    <w:lvl w:ilvl="2">
      <w:start w:val="2"/>
      <w:numFmt w:val="decimal"/>
      <w:lvlText w:val="%1-%2-%3"/>
      <w:lvlJc w:val="start"/>
      <w:pPr>
        <w:tabs>
          <w:tab w:val="num" w:pos="2880"/>
        </w:tabs>
        <w:ind w:start="2880" w:hanging="1080"/>
      </w:pPr>
      <w:rPr>
        <w:b/>
      </w:rPr>
    </w:lvl>
    <w:lvl w:ilvl="3">
      <w:start w:val="1"/>
      <w:numFmt w:val="decimal"/>
      <w:lvlText w:val="%1-%2-%3.%4"/>
      <w:lvlJc w:val="start"/>
      <w:pPr>
        <w:tabs>
          <w:tab w:val="num" w:pos="3780"/>
        </w:tabs>
        <w:ind w:start="3780" w:hanging="1080"/>
      </w:pPr>
      <w:rPr>
        <w:b/>
      </w:rPr>
    </w:lvl>
    <w:lvl w:ilvl="4">
      <w:start w:val="1"/>
      <w:numFmt w:val="decimal"/>
      <w:lvlText w:val="%1-%2-%3.%4.%5"/>
      <w:lvlJc w:val="start"/>
      <w:pPr>
        <w:tabs>
          <w:tab w:val="num" w:pos="4680"/>
        </w:tabs>
        <w:ind w:start="4680" w:hanging="1080"/>
      </w:pPr>
      <w:rPr>
        <w:b/>
      </w:rPr>
    </w:lvl>
    <w:lvl w:ilvl="5">
      <w:start w:val="1"/>
      <w:numFmt w:val="decimal"/>
      <w:lvlText w:val="%1-%2-%3.%4.%5.%6"/>
      <w:lvlJc w:val="start"/>
      <w:pPr>
        <w:tabs>
          <w:tab w:val="num" w:pos="5580"/>
        </w:tabs>
        <w:ind w:start="5580" w:hanging="1080"/>
      </w:pPr>
      <w:rPr>
        <w:b/>
      </w:rPr>
    </w:lvl>
    <w:lvl w:ilvl="6">
      <w:start w:val="1"/>
      <w:numFmt w:val="decimal"/>
      <w:lvlText w:val="%1-%2-%3.%4.%5.%6.%7"/>
      <w:lvlJc w:val="start"/>
      <w:pPr>
        <w:tabs>
          <w:tab w:val="num" w:pos="6480"/>
        </w:tabs>
        <w:ind w:start="6480" w:hanging="1080"/>
      </w:pPr>
      <w:rPr>
        <w:b/>
      </w:rPr>
    </w:lvl>
    <w:lvl w:ilvl="7">
      <w:start w:val="1"/>
      <w:numFmt w:val="decimal"/>
      <w:lvlText w:val="%1-%2-%3.%4.%5.%6.%7.%8"/>
      <w:lvlJc w:val="start"/>
      <w:pPr>
        <w:tabs>
          <w:tab w:val="num" w:pos="7740"/>
        </w:tabs>
        <w:ind w:start="7740" w:hanging="1440"/>
      </w:pPr>
      <w:rPr>
        <w:b/>
      </w:rPr>
    </w:lvl>
    <w:lvl w:ilvl="8">
      <w:start w:val="1"/>
      <w:numFmt w:val="decimal"/>
      <w:lvlText w:val="%1-%2-%3.%4.%5.%6.%7.%8.%9"/>
      <w:lvlJc w:val="start"/>
      <w:pPr>
        <w:tabs>
          <w:tab w:val="num" w:pos="8640"/>
        </w:tabs>
        <w:ind w:start="8640" w:hanging="1440"/>
      </w:pPr>
      <w:rPr>
        <w:b/>
      </w:rPr>
    </w:lvl>
  </w:abstractNum>
  <w:abstractNum w:abstractNumId="11">
    <w:lvl w:ilvl="0">
      <w:start w:val="3"/>
      <w:numFmt w:val="upperRoman"/>
      <w:lvlText w:val="%1."/>
      <w:lvlJc w:val="start"/>
      <w:pPr>
        <w:tabs>
          <w:tab w:val="num" w:pos="720"/>
        </w:tabs>
        <w:ind w:start="720" w:hanging="72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12">
    <w:lvl w:ilvl="0">
      <w:start w:val="1"/>
      <w:numFmt w:val="decimal"/>
      <w:lvlText w:val="%1."/>
      <w:lvlJc w:val="start"/>
      <w:pPr>
        <w:tabs>
          <w:tab w:val="num" w:pos="1440"/>
        </w:tabs>
        <w:ind w:start="1440" w:hanging="720"/>
      </w:pPr>
      <w:rPr/>
    </w:lvl>
  </w:abstractNum>
  <w:abstractNum w:abstractNumId="13">
    <w:lvl w:ilvl="0">
      <w:start w:val="1"/>
      <w:numFmt w:val="decimal"/>
      <w:lvlText w:val="%1."/>
      <w:lvlJc w:val="start"/>
      <w:pPr>
        <w:tabs>
          <w:tab w:val="num" w:pos="1440"/>
        </w:tabs>
        <w:ind w:start="1440" w:hanging="720"/>
      </w:pPr>
      <w:rPr/>
    </w:lvl>
  </w:abstractNum>
  <w:abstractNum w:abstractNumId="14">
    <w:lvl w:ilvl="0">
      <w:start w:val="1"/>
      <w:numFmt w:val="decimal"/>
      <w:lvlText w:val="%1."/>
      <w:lvlJc w:val="start"/>
      <w:pPr>
        <w:tabs>
          <w:tab w:val="num" w:pos="1440"/>
        </w:tabs>
        <w:ind w:start="1440" w:hanging="72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15">
    <w:lvl w:ilvl="0">
      <w:start w:val="4"/>
      <w:numFmt w:val="lowerLetter"/>
      <w:lvlText w:val="%1."/>
      <w:lvlJc w:val="start"/>
      <w:pPr>
        <w:tabs>
          <w:tab w:val="num" w:pos="1800"/>
        </w:tabs>
        <w:ind w:start="1800" w:hanging="360"/>
      </w:pPr>
      <w:rPr/>
    </w:lvl>
  </w:abstractNum>
  <w:abstractNum w:abstractNumId="16">
    <w:lvl w:ilvl="0">
      <w:start w:val="7"/>
      <w:numFmt w:val="upperLetter"/>
      <w:lvlText w:val="%1."/>
      <w:lvlJc w:val="start"/>
      <w:pPr>
        <w:tabs>
          <w:tab w:val="num" w:pos="360"/>
        </w:tabs>
        <w:ind w:start="36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17">
    <w:lvl w:ilvl="0">
      <w:start w:val="1"/>
      <w:numFmt w:val="decimal"/>
      <w:lvlText w:val="%1."/>
      <w:lvlJc w:val="start"/>
      <w:pPr>
        <w:tabs>
          <w:tab w:val="num" w:pos="1440"/>
        </w:tabs>
        <w:ind w:start="1440" w:hanging="720"/>
      </w:pPr>
      <w:rPr/>
    </w:lvl>
  </w:abstractNum>
  <w:abstractNum w:abstractNumId="18">
    <w:lvl w:ilvl="0">
      <w:start w:val="2"/>
      <w:numFmt w:val="decimal"/>
      <w:lvlText w:val="%1."/>
      <w:lvlJc w:val="start"/>
      <w:pPr>
        <w:tabs>
          <w:tab w:val="num" w:pos="1080"/>
        </w:tabs>
        <w:ind w:start="108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19">
    <w:lvl w:ilvl="0">
      <w:start w:val="1"/>
      <w:numFmt w:val="decimal"/>
      <w:lvlText w:val="%1."/>
      <w:lvlJc w:val="start"/>
      <w:pPr>
        <w:tabs>
          <w:tab w:val="num" w:pos="1440"/>
        </w:tabs>
        <w:ind w:start="1440" w:hanging="720"/>
      </w:pPr>
      <w:rPr/>
    </w:lvl>
  </w:abstractNum>
  <w:abstractNum w:abstractNumId="20">
    <w:lvl w:ilvl="0">
      <w:start w:val="3"/>
      <w:numFmt w:val="decimal"/>
      <w:lvlText w:val="%1."/>
      <w:lvlJc w:val="start"/>
      <w:pPr>
        <w:tabs>
          <w:tab w:val="num" w:pos="1080"/>
        </w:tabs>
        <w:ind w:start="108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21">
    <w:lvl w:ilvl="0">
      <w:start w:val="14"/>
      <w:numFmt w:val="decimal"/>
      <w:lvlText w:val="%1."/>
      <w:lvlJc w:val="start"/>
      <w:pPr>
        <w:tabs>
          <w:tab w:val="num" w:pos="360"/>
        </w:tabs>
        <w:ind w:start="36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22">
    <w:lvl w:ilvl="0">
      <w:start w:val="1"/>
      <w:numFmt w:val="lowerLetter"/>
      <w:lvlText w:val="%1."/>
      <w:lvlJc w:val="start"/>
      <w:pPr>
        <w:tabs>
          <w:tab w:val="num" w:pos="2160"/>
        </w:tabs>
        <w:ind w:start="2160" w:hanging="720"/>
      </w:pPr>
      <w:rPr/>
    </w:lvl>
  </w:abstractNum>
  <w:abstractNum w:abstractNumId="23">
    <w:lvl w:ilvl="0">
      <w:start w:val="3"/>
      <w:numFmt w:val="lowerLetter"/>
      <w:lvlText w:val="%1."/>
      <w:lvlJc w:val="start"/>
      <w:pPr>
        <w:tabs>
          <w:tab w:val="num" w:pos="2160"/>
        </w:tabs>
        <w:ind w:start="2160" w:hanging="72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24">
    <w:lvl w:ilvl="0">
      <w:start w:val="3"/>
      <w:numFmt w:val="upperRoman"/>
      <w:lvlText w:val="%1."/>
      <w:lvlJc w:val="start"/>
      <w:pPr>
        <w:tabs>
          <w:tab w:val="num" w:pos="720"/>
        </w:tabs>
        <w:ind w:start="720" w:hanging="72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25">
    <w:lvl w:ilvl="0">
      <w:start w:val="500"/>
      <w:numFmt w:val="upperRoman"/>
      <w:lvlText w:val="%1."/>
      <w:lvlJc w:val="start"/>
      <w:pPr>
        <w:tabs>
          <w:tab w:val="num" w:pos="720"/>
        </w:tabs>
        <w:ind w:start="720" w:hanging="72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26">
    <w:lvl w:ilvl="0">
      <w:start w:val="7"/>
      <w:numFmt w:val="lowerLetter"/>
      <w:lvlText w:val="%1."/>
      <w:lvlJc w:val="start"/>
      <w:pPr>
        <w:tabs>
          <w:tab w:val="num" w:pos="1800"/>
        </w:tabs>
        <w:ind w:start="180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abstractNum w:abstractNumId="27">
    <w:lvl w:ilvl="0">
      <w:start w:val="1"/>
      <w:numFmt w:val="upperLetter"/>
      <w:lvlText w:val="%1."/>
      <w:lvlJc w:val="start"/>
      <w:pPr>
        <w:tabs>
          <w:tab w:val="num" w:pos="360"/>
        </w:tabs>
        <w:ind w:start="360" w:hanging="360"/>
      </w:pPr>
      <w:rPr/>
    </w:lvl>
    <w:lvl w:ilvl="1">
      <w:start w:val="1"/>
      <w:numFmt w:val="upperLetter"/>
      <w:lvlText w:val="%2."/>
      <w:lvlJc w:val="start"/>
      <w:pPr>
        <w:tabs>
          <w:tab w:val="num" w:pos="720"/>
        </w:tabs>
        <w:ind w:start="720" w:hanging="720"/>
      </w:pPr>
      <w:rPr>
        <w:sz w:val="24"/>
        <w:i w:val="false"/>
        <w:b/>
        <w:rFonts w:ascii="Arial" w:hAnsi="Arial" w:cs="Arial"/>
      </w:rPr>
    </w:lvl>
    <w:lvl w:ilvl="2">
      <w:start w:val="1"/>
      <w:numFmt w:val="decimal"/>
      <w:lvlText w:val="%3."/>
      <w:lvlJc w:val="start"/>
      <w:pPr>
        <w:tabs>
          <w:tab w:val="num" w:pos="1224"/>
        </w:tabs>
        <w:ind w:start="1224" w:hanging="504"/>
      </w:pPr>
      <w:rPr>
        <w:sz w:val="24"/>
        <w:i w:val="false"/>
        <w:b w:val="false"/>
        <w:rFonts w:ascii="Arial" w:hAnsi="Arial" w:cs="Arial"/>
      </w:rPr>
    </w:lvl>
    <w:lvl w:ilvl="3">
      <w:start w:val="1"/>
      <w:numFmt w:val="lowerRoman"/>
      <w:lvlText w:val="(%4)"/>
      <w:lvlJc w:val="start"/>
      <w:pPr>
        <w:tabs>
          <w:tab w:val="num" w:pos="2722"/>
        </w:tabs>
        <w:ind w:start="2722" w:hanging="681"/>
      </w:pPr>
    </w:lvl>
    <w:lvl w:ilvl="4">
      <w:start w:val="1"/>
      <w:numFmt w:val="upperLetter"/>
      <w:lvlText w:val="(%5)"/>
      <w:lvlJc w:val="start"/>
      <w:pPr>
        <w:tabs>
          <w:tab w:val="num" w:pos="3289"/>
        </w:tabs>
        <w:ind w:start="3289" w:hanging="567"/>
      </w:pPr>
    </w:lvl>
    <w:lvl w:ilvl="5">
      <w:start w:val="1"/>
      <w:numFmt w:val="upperRoman"/>
      <w:lvlText w:val="(%6)"/>
      <w:lvlJc w:val="start"/>
      <w:pPr>
        <w:tabs>
          <w:tab w:val="num" w:pos="3969"/>
        </w:tabs>
        <w:ind w:start="3969" w:hanging="680"/>
      </w:pPr>
    </w:lvl>
    <w:lvl w:ilvl="6">
      <w:start w:val="1"/>
      <w:numFmt w:val="none"/>
      <w:suff w:val="nothing"/>
      <w:lvlText w:val=""/>
      <w:lvlJc w:val="start"/>
      <w:pPr>
        <w:tabs>
          <w:tab w:val="num" w:pos="1247"/>
        </w:tabs>
        <w:ind w:start="1247" w:hanging="680"/>
      </w:pPr>
    </w:lvl>
    <w:lvl w:ilvl="7">
      <w:start w:val="1"/>
      <w:numFmt w:val="none"/>
      <w:suff w:val="nothing"/>
      <w:lvlText w:val=""/>
      <w:lvlJc w:val="start"/>
      <w:pPr>
        <w:tabs>
          <w:tab w:val="num" w:pos="2041"/>
        </w:tabs>
        <w:ind w:start="2041" w:hanging="794"/>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tabs>
        <w:tab w:val="left" w:pos="720" w:leader="none"/>
        <w:tab w:val="left" w:pos="1800" w:leader="none"/>
        <w:tab w:val="left" w:pos="2880" w:leader="none"/>
        <w:tab w:val="left" w:pos="4140" w:leader="none"/>
      </w:tabs>
      <w:outlineLvl w:val="0"/>
    </w:pPr>
    <w:rPr>
      <w:b/>
      <w:sz w:val="24"/>
    </w:rPr>
  </w:style>
  <w:style w:type="paragraph" w:styleId="Heading2">
    <w:name w:val="heading 2"/>
    <w:basedOn w:val="Normal"/>
    <w:next w:val="Normal"/>
    <w:qFormat/>
    <w:pPr>
      <w:keepNext w:val="true"/>
      <w:keepLines/>
      <w:numPr>
        <w:ilvl w:val="0"/>
        <w:numId w:val="10"/>
      </w:numPr>
      <w:tabs>
        <w:tab w:val="left" w:pos="720" w:leader="none"/>
        <w:tab w:val="left" w:pos="1800" w:leader="none"/>
        <w:tab w:val="left" w:pos="2880" w:leader="none"/>
        <w:tab w:val="left" w:pos="4140" w:leader="none"/>
      </w:tabs>
      <w:outlineLvl w:val="1"/>
    </w:pPr>
    <w:rPr>
      <w:b/>
      <w:u w:val="single"/>
    </w:rPr>
  </w:style>
  <w:style w:type="paragraph" w:styleId="Heading3">
    <w:name w:val="heading 3"/>
    <w:basedOn w:val="Normal"/>
    <w:next w:val="Normal"/>
    <w:qFormat/>
    <w:pPr>
      <w:keepNext w:val="true"/>
      <w:keepLines/>
      <w:numPr>
        <w:ilvl w:val="2"/>
        <w:numId w:val="1"/>
      </w:numPr>
      <w:tabs>
        <w:tab w:val="left" w:pos="720" w:leader="none"/>
        <w:tab w:val="left" w:pos="1800" w:leader="none"/>
        <w:tab w:val="left" w:pos="2880" w:leader="none"/>
        <w:tab w:val="left" w:pos="4140" w:leader="none"/>
      </w:tabs>
      <w:outlineLvl w:val="2"/>
    </w:pPr>
    <w:rPr>
      <w:b/>
    </w:rPr>
  </w:style>
  <w:style w:type="paragraph" w:styleId="Heading4">
    <w:name w:val="heading 4"/>
    <w:basedOn w:val="Normal"/>
    <w:next w:val="Normal"/>
    <w:qFormat/>
    <w:pPr>
      <w:keepNext w:val="true"/>
      <w:numPr>
        <w:ilvl w:val="0"/>
        <w:numId w:val="3"/>
      </w:numPr>
      <w:outlineLvl w:val="3"/>
    </w:pPr>
    <w:rPr>
      <w:rFonts w:ascii="Arial" w:hAnsi="Arial" w:cs="Arial"/>
      <w:b/>
      <w:sz w:val="22"/>
    </w:rPr>
  </w:style>
  <w:style w:type="paragraph" w:styleId="Heading5">
    <w:name w:val="heading 5"/>
    <w:basedOn w:val="Normal"/>
    <w:next w:val="Normal"/>
    <w:qFormat/>
    <w:pPr>
      <w:keepNext w:val="true"/>
      <w:numPr>
        <w:ilvl w:val="4"/>
        <w:numId w:val="1"/>
      </w:numPr>
      <w:tabs>
        <w:tab w:val="left" w:pos="720" w:leader="none"/>
        <w:tab w:val="left" w:pos="1800" w:leader="none"/>
        <w:tab w:val="left" w:pos="2880" w:leader="none"/>
        <w:tab w:val="left" w:pos="4140" w:leader="none"/>
      </w:tabs>
      <w:outlineLvl w:val="4"/>
    </w:pPr>
    <w:rPr>
      <w:rFonts w:ascii="Arial" w:hAnsi="Arial" w:cs="Arial"/>
      <w:b/>
      <w:sz w:val="28"/>
    </w:rPr>
  </w:style>
  <w:style w:type="paragraph" w:styleId="Heading6">
    <w:name w:val="heading 6"/>
    <w:basedOn w:val="Normal"/>
    <w:next w:val="Normal"/>
    <w:qFormat/>
    <w:pPr>
      <w:keepNext w:val="true"/>
      <w:numPr>
        <w:ilvl w:val="5"/>
        <w:numId w:val="1"/>
      </w:numPr>
      <w:outlineLvl w:val="5"/>
    </w:pPr>
    <w:rPr>
      <w:rFonts w:ascii="Arial" w:hAnsi="Arial" w:cs="Arial"/>
      <w:b/>
      <w:sz w:val="22"/>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3600" w:leader="none"/>
        <w:tab w:val="left" w:pos="4320" w:leader="none"/>
      </w:tabs>
      <w:jc w:val="both"/>
      <w:outlineLvl w:val="6"/>
    </w:pPr>
    <w:rPr>
      <w:rFonts w:ascii="Arial" w:hAnsi="Arial" w:cs="Arial"/>
      <w:b/>
      <w:sz w:val="22"/>
    </w:rPr>
  </w:style>
  <w:style w:type="paragraph" w:styleId="Heading8">
    <w:name w:val="heading 8"/>
    <w:basedOn w:val="Normal"/>
    <w:next w:val="Normal"/>
    <w:qFormat/>
    <w:pPr>
      <w:keepNext w:val="true"/>
      <w:numPr>
        <w:ilvl w:val="0"/>
        <w:numId w:val="7"/>
      </w:numPr>
      <w:tabs>
        <w:tab w:val="left" w:pos="720" w:leader="none"/>
        <w:tab w:val="left" w:pos="1440" w:leader="none"/>
        <w:tab w:val="left" w:pos="2160" w:leader="none"/>
        <w:tab w:val="left" w:pos="3600" w:leader="none"/>
        <w:tab w:val="left" w:pos="4320" w:leader="none"/>
      </w:tabs>
      <w:ind w:hanging="720" w:start="720" w:end="0"/>
      <w:jc w:val="both"/>
      <w:outlineLvl w:val="7"/>
    </w:pPr>
    <w:rPr>
      <w:rFonts w:ascii="Arial" w:hAnsi="Arial" w:cs="Arial"/>
      <w:b/>
      <w:sz w:val="22"/>
    </w:rPr>
  </w:style>
  <w:style w:type="paragraph" w:styleId="Heading9">
    <w:name w:val="heading 9"/>
    <w:basedOn w:val="Normal"/>
    <w:next w:val="Normal"/>
    <w:qFormat/>
    <w:pPr>
      <w:keepNext w:val="true"/>
      <w:keepLines/>
      <w:numPr>
        <w:ilvl w:val="8"/>
        <w:numId w:val="1"/>
      </w:numPr>
      <w:tabs>
        <w:tab w:val="left" w:pos="720" w:leader="none"/>
        <w:tab w:val="left" w:pos="1440" w:leader="none"/>
        <w:tab w:val="left" w:pos="2160" w:leader="none"/>
        <w:tab w:val="left" w:pos="2880" w:leader="none"/>
        <w:tab w:val="left" w:pos="3600" w:leader="none"/>
        <w:tab w:val="left" w:pos="4320" w:leader="none"/>
      </w:tabs>
      <w:ind w:hanging="720" w:start="720" w:end="0"/>
      <w:jc w:val="both"/>
      <w:outlineLvl w:val="8"/>
    </w:pPr>
    <w:rPr>
      <w:rFonts w:ascii="Arial" w:hAnsi="Arial" w:cs="Arial"/>
      <w:b/>
      <w:sz w:val="28"/>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b/>
    </w:rPr>
  </w:style>
  <w:style w:type="character" w:styleId="WW8Num18z0">
    <w:name w:val="WW8Num18z0"/>
    <w:qFormat/>
    <w:rPr/>
  </w:style>
  <w:style w:type="character" w:styleId="WW8Num19z0">
    <w:name w:val="WW8Num19z0"/>
    <w:qFormat/>
    <w:rPr/>
  </w:style>
  <w:style w:type="character" w:styleId="WW8Num20z0">
    <w:name w:val="WW8Num20z0"/>
    <w:qFormat/>
    <w:rPr>
      <w:rFonts w:ascii="Arial" w:hAnsi="Arial" w:cs="Arial"/>
      <w:b/>
      <w:i w:val="false"/>
      <w:sz w:val="28"/>
    </w:rPr>
  </w:style>
  <w:style w:type="character" w:styleId="WW8Num20z1">
    <w:name w:val="WW8Num20z1"/>
    <w:qFormat/>
    <w:rPr>
      <w:rFonts w:ascii="Arial" w:hAnsi="Arial" w:cs="Arial"/>
      <w:b/>
      <w:i w:val="false"/>
      <w:sz w:val="24"/>
    </w:rPr>
  </w:style>
  <w:style w:type="character" w:styleId="WW8Num20z2">
    <w:name w:val="WW8Num20z2"/>
    <w:qFormat/>
    <w:rPr>
      <w:rFonts w:ascii="Arial" w:hAnsi="Arial" w:cs="Arial"/>
      <w:b w:val="false"/>
      <w:i w:val="false"/>
      <w:sz w:val="24"/>
    </w:rPr>
  </w:style>
  <w:style w:type="character" w:styleId="WW8Num21z0">
    <w:name w:val="WW8Num21z0"/>
    <w:qFormat/>
    <w:rPr/>
  </w:style>
  <w:style w:type="character" w:styleId="WW8Num22z0">
    <w:name w:val="WW8Num22z0"/>
    <w:qFormat/>
    <w:rPr/>
  </w:style>
  <w:style w:type="character" w:styleId="WW8Num22z1">
    <w:name w:val="WW8Num22z1"/>
    <w:qFormat/>
    <w:rPr>
      <w:rFonts w:ascii="Arial" w:hAnsi="Arial" w:cs="Arial"/>
      <w:b/>
      <w:i w:val="false"/>
      <w:sz w:val="24"/>
    </w:rPr>
  </w:style>
  <w:style w:type="character" w:styleId="WW8Num22z2">
    <w:name w:val="WW8Num22z2"/>
    <w:qFormat/>
    <w:rPr>
      <w:rFonts w:ascii="Arial" w:hAnsi="Arial" w:cs="Arial"/>
      <w:b w:val="false"/>
      <w:i w:val="false"/>
      <w:sz w:val="24"/>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5z1">
    <w:name w:val="WW8Num25z1"/>
    <w:qFormat/>
    <w:rPr>
      <w:rFonts w:ascii="Arial" w:hAnsi="Arial" w:cs="Arial"/>
      <w:b/>
      <w:i w:val="false"/>
      <w:sz w:val="24"/>
    </w:rPr>
  </w:style>
  <w:style w:type="character" w:styleId="WW8Num25z2">
    <w:name w:val="WW8Num25z2"/>
    <w:qFormat/>
    <w:rPr>
      <w:rFonts w:ascii="Arial" w:hAnsi="Arial" w:cs="Arial"/>
      <w:b w:val="false"/>
      <w:i w:val="false"/>
      <w:sz w:val="24"/>
    </w:rPr>
  </w:style>
  <w:style w:type="character" w:styleId="WW8Num26z0">
    <w:name w:val="WW8Num26z0"/>
    <w:qFormat/>
    <w:rPr/>
  </w:style>
  <w:style w:type="character" w:styleId="WW8Num26z1">
    <w:name w:val="WW8Num26z1"/>
    <w:qFormat/>
    <w:rPr>
      <w:rFonts w:ascii="Arial" w:hAnsi="Arial" w:cs="Arial"/>
      <w:b/>
      <w:i w:val="false"/>
      <w:sz w:val="24"/>
    </w:rPr>
  </w:style>
  <w:style w:type="character" w:styleId="WW8Num26z2">
    <w:name w:val="WW8Num26z2"/>
    <w:qFormat/>
    <w:rPr>
      <w:rFonts w:ascii="Arial" w:hAnsi="Arial" w:cs="Arial"/>
      <w:b w:val="false"/>
      <w:i w:val="false"/>
      <w:sz w:val="24"/>
    </w:rPr>
  </w:style>
  <w:style w:type="character" w:styleId="WW8Num27z0">
    <w:name w:val="WW8Num27z0"/>
    <w:qFormat/>
    <w:rPr>
      <w:b/>
    </w:rPr>
  </w:style>
  <w:style w:type="character" w:styleId="WW8Num28z0">
    <w:name w:val="WW8Num28z0"/>
    <w:qFormat/>
    <w:rPr>
      <w:b/>
    </w:rPr>
  </w:style>
  <w:style w:type="character" w:styleId="WW8Num29z0">
    <w:name w:val="WW8Num29z0"/>
    <w:qFormat/>
    <w:rPr/>
  </w:style>
  <w:style w:type="character" w:styleId="WW8Num30z0">
    <w:name w:val="WW8Num30z0"/>
    <w:qFormat/>
    <w:rPr>
      <w:b/>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3z1">
    <w:name w:val="WW8Num33z1"/>
    <w:qFormat/>
    <w:rPr>
      <w:rFonts w:ascii="Arial" w:hAnsi="Arial" w:cs="Arial"/>
      <w:b/>
      <w:i w:val="false"/>
      <w:sz w:val="24"/>
    </w:rPr>
  </w:style>
  <w:style w:type="character" w:styleId="WW8Num33z2">
    <w:name w:val="WW8Num33z2"/>
    <w:qFormat/>
    <w:rPr>
      <w:rFonts w:ascii="Arial" w:hAnsi="Arial" w:cs="Arial"/>
      <w:b w:val="false"/>
      <w:i w:val="false"/>
      <w:sz w:val="24"/>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style>
  <w:style w:type="character" w:styleId="WW8Num39z1">
    <w:name w:val="WW8Num39z1"/>
    <w:qFormat/>
    <w:rPr>
      <w:rFonts w:ascii="Arial" w:hAnsi="Arial" w:cs="Arial"/>
      <w:b/>
      <w:i w:val="false"/>
      <w:sz w:val="24"/>
    </w:rPr>
  </w:style>
  <w:style w:type="character" w:styleId="WW8Num39z2">
    <w:name w:val="WW8Num39z2"/>
    <w:qFormat/>
    <w:rPr>
      <w:rFonts w:ascii="Arial" w:hAnsi="Arial" w:cs="Arial"/>
      <w:b w:val="false"/>
      <w:i w:val="false"/>
      <w:sz w:val="24"/>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5z1">
    <w:name w:val="WW8Num45z1"/>
    <w:qFormat/>
    <w:rPr>
      <w:rFonts w:ascii="Arial" w:hAnsi="Arial" w:cs="Arial"/>
      <w:b/>
      <w:i w:val="false"/>
      <w:sz w:val="24"/>
    </w:rPr>
  </w:style>
  <w:style w:type="character" w:styleId="WW8Num45z2">
    <w:name w:val="WW8Num45z2"/>
    <w:qFormat/>
    <w:rPr>
      <w:rFonts w:ascii="Arial" w:hAnsi="Arial" w:cs="Arial"/>
      <w:b w:val="false"/>
      <w:i w:val="false"/>
      <w:sz w:val="24"/>
    </w:rPr>
  </w:style>
  <w:style w:type="character" w:styleId="WW8Num46z0">
    <w:name w:val="WW8Num46z0"/>
    <w:qFormat/>
    <w:rPr/>
  </w:style>
  <w:style w:type="character" w:styleId="WW8Num47z0">
    <w:name w:val="WW8Num47z0"/>
    <w:qFormat/>
    <w:rPr/>
  </w:style>
  <w:style w:type="character" w:styleId="WW8Num48z0">
    <w:name w:val="WW8Num48z0"/>
    <w:qFormat/>
    <w:rPr>
      <w:b w:val="false"/>
      <w:i w:val="false"/>
    </w:rPr>
  </w:style>
  <w:style w:type="character" w:styleId="WW8Num49z0">
    <w:name w:val="WW8Num49z0"/>
    <w:qFormat/>
    <w:rPr>
      <w:b/>
    </w:rPr>
  </w:style>
  <w:style w:type="character" w:styleId="WW8Num50z0">
    <w:name w:val="WW8Num50z0"/>
    <w:qFormat/>
    <w:rPr/>
  </w:style>
  <w:style w:type="character" w:styleId="WW8Num51z0">
    <w:name w:val="WW8Num51z0"/>
    <w:qFormat/>
    <w:rPr>
      <w:b/>
    </w:rPr>
  </w:style>
  <w:style w:type="character" w:styleId="WW8Num52z0">
    <w:name w:val="WW8Num52z0"/>
    <w:qFormat/>
    <w:rPr>
      <w:b/>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WW8Num60z0">
    <w:name w:val="WW8Num60z0"/>
    <w:qFormat/>
    <w:rPr>
      <w:b/>
    </w:rPr>
  </w:style>
  <w:style w:type="character" w:styleId="WW8Num61z0">
    <w:name w:val="WW8Num61z0"/>
    <w:qFormat/>
    <w:rPr/>
  </w:style>
  <w:style w:type="character" w:styleId="WW8Num61z1">
    <w:name w:val="WW8Num61z1"/>
    <w:qFormat/>
    <w:rPr>
      <w:rFonts w:ascii="Arial" w:hAnsi="Arial" w:cs="Arial"/>
      <w:b/>
      <w:i w:val="false"/>
      <w:sz w:val="24"/>
    </w:rPr>
  </w:style>
  <w:style w:type="character" w:styleId="WW8Num61z2">
    <w:name w:val="WW8Num61z2"/>
    <w:qFormat/>
    <w:rPr>
      <w:rFonts w:ascii="Arial" w:hAnsi="Arial" w:cs="Arial"/>
      <w:b w:val="false"/>
      <w:i w:val="false"/>
      <w:sz w:val="24"/>
    </w:rPr>
  </w:style>
  <w:style w:type="character" w:styleId="WW8Num62z0">
    <w:name w:val="WW8Num62z0"/>
    <w:qFormat/>
    <w:rPr/>
  </w:style>
  <w:style w:type="character" w:styleId="WW8Num64z0">
    <w:name w:val="WW8Num64z0"/>
    <w:qFormat/>
    <w:rPr/>
  </w:style>
  <w:style w:type="character" w:styleId="WW8Num65z0">
    <w:name w:val="WW8Num65z0"/>
    <w:qFormat/>
    <w:rPr>
      <w:b/>
    </w:rPr>
  </w:style>
  <w:style w:type="character" w:styleId="WW8Num66z0">
    <w:name w:val="WW8Num66z0"/>
    <w:qFormat/>
    <w:rPr>
      <w:b/>
    </w:rPr>
  </w:style>
  <w:style w:type="character" w:styleId="WW8Num67z0">
    <w:name w:val="WW8Num67z0"/>
    <w:qFormat/>
    <w:rPr>
      <w:b w:val="false"/>
      <w:i w:val="false"/>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0z1">
    <w:name w:val="WW8Num70z1"/>
    <w:qFormat/>
    <w:rPr>
      <w:rFonts w:ascii="Arial" w:hAnsi="Arial" w:cs="Arial"/>
      <w:b/>
      <w:i w:val="false"/>
      <w:sz w:val="24"/>
    </w:rPr>
  </w:style>
  <w:style w:type="character" w:styleId="WW8Num70z2">
    <w:name w:val="WW8Num70z2"/>
    <w:qFormat/>
    <w:rPr>
      <w:rFonts w:ascii="Arial" w:hAnsi="Arial" w:cs="Arial"/>
      <w:b w:val="false"/>
      <w:i w:val="false"/>
      <w:sz w:val="24"/>
    </w:rPr>
  </w:style>
  <w:style w:type="character" w:styleId="WW8Num71z0">
    <w:name w:val="WW8Num71z0"/>
    <w:qFormat/>
    <w:rPr>
      <w:b/>
    </w:rPr>
  </w:style>
  <w:style w:type="character" w:styleId="WW8Num72z0">
    <w:name w:val="WW8Num72z0"/>
    <w:qFormat/>
    <w:rPr/>
  </w:style>
  <w:style w:type="character" w:styleId="WW8Num73z0">
    <w:name w:val="WW8Num73z0"/>
    <w:qFormat/>
    <w:rPr>
      <w:b/>
    </w:rPr>
  </w:style>
  <w:style w:type="character" w:styleId="WW8Num74z0">
    <w:name w:val="WW8Num74z0"/>
    <w:qFormat/>
    <w:rPr>
      <w:b/>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b/>
    </w:rPr>
  </w:style>
  <w:style w:type="character" w:styleId="WW8Num80z0">
    <w:name w:val="WW8Num80z0"/>
    <w:qFormat/>
    <w:rPr/>
  </w:style>
  <w:style w:type="character" w:styleId="WW8Num80z1">
    <w:name w:val="WW8Num80z1"/>
    <w:qFormat/>
    <w:rPr>
      <w:rFonts w:ascii="Arial" w:hAnsi="Arial" w:cs="Arial"/>
      <w:b/>
      <w:i w:val="false"/>
      <w:sz w:val="24"/>
    </w:rPr>
  </w:style>
  <w:style w:type="character" w:styleId="WW8Num80z2">
    <w:name w:val="WW8Num80z2"/>
    <w:qFormat/>
    <w:rPr>
      <w:rFonts w:ascii="Arial" w:hAnsi="Arial" w:cs="Arial"/>
      <w:b w:val="false"/>
      <w:i w:val="false"/>
      <w:sz w:val="24"/>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rFonts w:ascii="Arial" w:hAnsi="Arial" w:cs="Arial"/>
      <w:b/>
      <w:i w:val="false"/>
      <w:sz w:val="24"/>
    </w:rPr>
  </w:style>
  <w:style w:type="character" w:styleId="WW8Num84z2">
    <w:name w:val="WW8Num84z2"/>
    <w:qFormat/>
    <w:rPr>
      <w:rFonts w:ascii="Arial" w:hAnsi="Arial" w:cs="Arial"/>
      <w:b w:val="false"/>
      <w:i w:val="false"/>
      <w:sz w:val="24"/>
    </w:rPr>
  </w:style>
  <w:style w:type="character" w:styleId="WW8Num85z0">
    <w:name w:val="WW8Num85z0"/>
    <w:qFormat/>
    <w:rPr>
      <w:b/>
    </w:rPr>
  </w:style>
  <w:style w:type="character" w:styleId="WW8Num86z0">
    <w:name w:val="WW8Num86z0"/>
    <w:qFormat/>
    <w:rPr/>
  </w:style>
  <w:style w:type="character" w:styleId="WW8Num86z1">
    <w:name w:val="WW8Num86z1"/>
    <w:qFormat/>
    <w:rPr>
      <w:rFonts w:ascii="Arial" w:hAnsi="Arial" w:cs="Arial"/>
      <w:b/>
      <w:i w:val="false"/>
      <w:sz w:val="24"/>
    </w:rPr>
  </w:style>
  <w:style w:type="character" w:styleId="WW8Num86z2">
    <w:name w:val="WW8Num86z2"/>
    <w:qFormat/>
    <w:rPr>
      <w:rFonts w:ascii="Arial" w:hAnsi="Arial" w:cs="Arial"/>
      <w:b w:val="false"/>
      <w:i w:val="false"/>
      <w:sz w:val="24"/>
    </w:rPr>
  </w:style>
  <w:style w:type="character" w:styleId="WW8Num87z0">
    <w:name w:val="WW8Num87z0"/>
    <w:qFormat/>
    <w:rPr/>
  </w:style>
  <w:style w:type="character" w:styleId="WW8Num87z1">
    <w:name w:val="WW8Num87z1"/>
    <w:qFormat/>
    <w:rPr>
      <w:rFonts w:ascii="Arial" w:hAnsi="Arial" w:cs="Arial"/>
      <w:b/>
      <w:i w:val="false"/>
      <w:sz w:val="24"/>
    </w:rPr>
  </w:style>
  <w:style w:type="character" w:styleId="WW8Num87z2">
    <w:name w:val="WW8Num87z2"/>
    <w:qFormat/>
    <w:rPr>
      <w:rFonts w:ascii="Arial" w:hAnsi="Arial" w:cs="Arial"/>
      <w:b w:val="false"/>
      <w:i w:val="false"/>
      <w:sz w:val="24"/>
    </w:rPr>
  </w:style>
  <w:style w:type="character" w:styleId="WW8Num88z0">
    <w:name w:val="WW8Num88z0"/>
    <w:qFormat/>
    <w:rPr/>
  </w:style>
  <w:style w:type="character" w:styleId="WW8Num89z0">
    <w:name w:val="WW8Num89z0"/>
    <w:qFormat/>
    <w:rPr>
      <w:b/>
    </w:rPr>
  </w:style>
  <w:style w:type="character" w:styleId="WW8Num90z0">
    <w:name w:val="WW8Num90z0"/>
    <w:qFormat/>
    <w:rPr/>
  </w:style>
  <w:style w:type="character" w:styleId="WW8Num91z0">
    <w:name w:val="WW8Num91z0"/>
    <w:qFormat/>
    <w:rPr/>
  </w:style>
  <w:style w:type="character" w:styleId="WW8Num91z1">
    <w:name w:val="WW8Num91z1"/>
    <w:qFormat/>
    <w:rPr>
      <w:rFonts w:ascii="Arial" w:hAnsi="Arial" w:cs="Arial"/>
      <w:b/>
      <w:i w:val="false"/>
      <w:sz w:val="24"/>
    </w:rPr>
  </w:style>
  <w:style w:type="character" w:styleId="WW8Num91z2">
    <w:name w:val="WW8Num91z2"/>
    <w:qFormat/>
    <w:rPr>
      <w:rFonts w:ascii="Arial" w:hAnsi="Arial" w:cs="Arial"/>
      <w:b w:val="false"/>
      <w:i w:val="false"/>
      <w:sz w:val="24"/>
    </w:rPr>
  </w:style>
  <w:style w:type="character" w:styleId="WW8Num92z0">
    <w:name w:val="WW8Num92z0"/>
    <w:qFormat/>
    <w:rPr/>
  </w:style>
  <w:style w:type="character" w:styleId="WW8Num92z1">
    <w:name w:val="WW8Num92z1"/>
    <w:qFormat/>
    <w:rPr>
      <w:rFonts w:ascii="Arial" w:hAnsi="Arial" w:cs="Arial"/>
      <w:b/>
      <w:i w:val="false"/>
      <w:sz w:val="24"/>
    </w:rPr>
  </w:style>
  <w:style w:type="character" w:styleId="WW8Num92z2">
    <w:name w:val="WW8Num92z2"/>
    <w:qFormat/>
    <w:rPr>
      <w:rFonts w:ascii="Arial" w:hAnsi="Arial" w:cs="Arial"/>
      <w:b w:val="false"/>
      <w:i w:val="false"/>
      <w:sz w:val="24"/>
    </w:rPr>
  </w:style>
  <w:style w:type="character" w:styleId="WW8Num93z0">
    <w:name w:val="WW8Num93z0"/>
    <w:qFormat/>
    <w:rPr/>
  </w:style>
  <w:style w:type="character" w:styleId="WW8Num93z1">
    <w:name w:val="WW8Num93z1"/>
    <w:qFormat/>
    <w:rPr>
      <w:rFonts w:ascii="Arial" w:hAnsi="Arial" w:cs="Arial"/>
      <w:b/>
      <w:i w:val="false"/>
      <w:sz w:val="24"/>
    </w:rPr>
  </w:style>
  <w:style w:type="character" w:styleId="WW8Num93z2">
    <w:name w:val="WW8Num93z2"/>
    <w:qFormat/>
    <w:rPr>
      <w:rFonts w:ascii="Arial" w:hAnsi="Arial" w:cs="Arial"/>
      <w:b w:val="false"/>
      <w:i w:val="false"/>
      <w:sz w:val="24"/>
    </w:rPr>
  </w:style>
  <w:style w:type="character" w:styleId="WW8Num94z0">
    <w:name w:val="WW8Num94z0"/>
    <w:qFormat/>
    <w:rPr>
      <w:b/>
    </w:rPr>
  </w:style>
  <w:style w:type="character" w:styleId="WW8Num95z0">
    <w:name w:val="WW8Num95z0"/>
    <w:qFormat/>
    <w:rPr/>
  </w:style>
  <w:style w:type="character" w:styleId="WW8Num95z1">
    <w:name w:val="WW8Num95z1"/>
    <w:qFormat/>
    <w:rPr>
      <w:rFonts w:ascii="Arial" w:hAnsi="Arial" w:cs="Arial"/>
      <w:b/>
      <w:i w:val="false"/>
      <w:sz w:val="24"/>
    </w:rPr>
  </w:style>
  <w:style w:type="character" w:styleId="WW8Num95z2">
    <w:name w:val="WW8Num95z2"/>
    <w:qFormat/>
    <w:rPr>
      <w:rFonts w:ascii="Arial" w:hAnsi="Arial" w:cs="Arial"/>
      <w:b w:val="false"/>
      <w:i w:val="false"/>
      <w:sz w:val="24"/>
    </w:rPr>
  </w:style>
  <w:style w:type="character" w:styleId="WW8Num96z0">
    <w:name w:val="WW8Num96z0"/>
    <w:qFormat/>
    <w:rPr/>
  </w:style>
  <w:style w:type="character" w:styleId="WW8Num96z1">
    <w:name w:val="WW8Num96z1"/>
    <w:qFormat/>
    <w:rPr>
      <w:rFonts w:ascii="Arial" w:hAnsi="Arial" w:cs="Arial"/>
      <w:b/>
      <w:i w:val="false"/>
      <w:sz w:val="24"/>
    </w:rPr>
  </w:style>
  <w:style w:type="character" w:styleId="WW8Num96z2">
    <w:name w:val="WW8Num96z2"/>
    <w:qFormat/>
    <w:rPr>
      <w:rFonts w:ascii="Arial" w:hAnsi="Arial" w:cs="Arial"/>
      <w:b w:val="false"/>
      <w:i w:val="false"/>
      <w:sz w:val="24"/>
    </w:rPr>
  </w:style>
  <w:style w:type="character" w:styleId="WW8Num97z0">
    <w:name w:val="WW8Num97z0"/>
    <w:qFormat/>
    <w:rPr>
      <w:b/>
    </w:rPr>
  </w:style>
  <w:style w:type="character" w:styleId="WW8Num98z0">
    <w:name w:val="WW8Num98z0"/>
    <w:qFormat/>
    <w:rPr>
      <w:b/>
    </w:rPr>
  </w:style>
  <w:style w:type="character" w:styleId="WW8Num99z0">
    <w:name w:val="WW8Num99z0"/>
    <w:qFormat/>
    <w:rPr>
      <w:b/>
    </w:rPr>
  </w:style>
  <w:style w:type="character" w:styleId="WW8Num100z0">
    <w:name w:val="WW8Num100z0"/>
    <w:qFormat/>
    <w:rPr>
      <w:b/>
    </w:rPr>
  </w:style>
  <w:style w:type="character" w:styleId="WW8Num101z0">
    <w:name w:val="WW8Num101z0"/>
    <w:qFormat/>
    <w:rPr>
      <w:b/>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s>
      <w:ind w:hanging="720" w:start="1440" w:end="0"/>
    </w:pPr>
    <w:rPr>
      <w:rFonts w:ascii="Arial" w:hAnsi="Arial" w:cs="Arial"/>
      <w:sz w:val="22"/>
    </w:rPr>
  </w:style>
  <w:style w:type="paragraph" w:styleId="BodyTextIndent2">
    <w:name w:val="Body Text Indent 2"/>
    <w:basedOn w:val="Normal"/>
    <w:qFormat/>
    <w:pPr>
      <w:tabs>
        <w:tab w:val="left" w:pos="720" w:leader="none"/>
        <w:tab w:val="left" w:pos="1440" w:leader="none"/>
        <w:tab w:val="left" w:pos="2160" w:leader="none"/>
        <w:tab w:val="left" w:pos="3600" w:leader="none"/>
        <w:tab w:val="left" w:pos="4320" w:leader="none"/>
      </w:tabs>
      <w:ind w:hanging="0" w:start="720" w:end="0"/>
    </w:pPr>
    <w:rPr>
      <w:rFonts w:ascii="Arial" w:hAnsi="Arial" w:cs="Arial"/>
      <w:b/>
      <w:sz w:val="22"/>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s>
      <w:ind w:hanging="1440" w:start="216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s>
      <w:ind w:hanging="1440" w:start="1440" w:end="576"/>
    </w:pPr>
    <w:rPr>
      <w:rFonts w:ascii="Arial" w:hAnsi="Arial" w:cs="Arial"/>
      <w:sz w:val="22"/>
    </w:rPr>
  </w:style>
  <w:style w:type="paragraph" w:styleId="ssPara1">
    <w:name w:val="ssPara1"/>
    <w:basedOn w:val="Normal"/>
    <w:qFormat/>
    <w:pPr>
      <w:spacing w:before="0" w:after="220"/>
      <w:jc w:val="both"/>
    </w:pPr>
    <w:rPr>
      <w:rFonts w:ascii="Arial" w:hAnsi="Arial" w:cs="Arial"/>
      <w:sz w:val="22"/>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2000-09-20T13:38:00Z</dcterms:created>
  <dc:creator>EI</dc:creator>
  <dc:description/>
  <dc:language>en-CA</dc:language>
  <cp:lastModifiedBy>EI</cp:lastModifiedBy>
  <cp:lastPrinted>2000-08-22T16:13:00Z</cp:lastPrinted>
  <dcterms:modified xsi:type="dcterms:W3CDTF">2000-09-22T10:57:00Z</dcterms:modified>
  <cp:revision>7</cp:revision>
  <dc:subject/>
  <dc:title>ENRON CALME REGION</dc:title>
</cp:coreProperties>
</file>