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w:t>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4"/>
        <w:ind w:hanging="0" w:start="0"/>
        <w:jc w:val="both"/>
        <w:rPr>
          <w:rFonts w:ascii="Times New Roman" w:hAnsi="Times New Roman" w:cs="Times New Roman"/>
        </w:rPr>
      </w:pPr>
      <w:r>
        <w:rPr>
          <w:rFonts w:cs="Times New Roman"/>
        </w:rPr>
      </w:r>
    </w:p>
    <w:p>
      <w:pPr>
        <w:pStyle w:val="Header"/>
        <w:tabs>
          <w:tab w:val="clear" w:pos="4320"/>
          <w:tab w:val="clear" w:pos="8640"/>
          <w:tab w:val="left" w:pos="142" w:leader="none"/>
          <w:tab w:val="left" w:pos="993" w:leader="none"/>
        </w:tabs>
        <w:jc w:val="both"/>
        <w:rPr>
          <w:rFonts w:ascii="Times New Roman" w:hAnsi="Times New Roman" w:cs="Times New Roman"/>
        </w:rPr>
      </w:pPr>
      <w:r>
        <w:rPr>
          <w:rFonts w:cs="Times New Roman" w:ascii="Times New Roman" w:hAnsi="Times New Roman"/>
        </w:rPr>
      </w:r>
    </w:p>
    <w:p>
      <w:pPr>
        <w:pStyle w:val="Header"/>
        <w:tabs>
          <w:tab w:val="clear" w:pos="4320"/>
          <w:tab w:val="clear" w:pos="8640"/>
          <w:tab w:val="left" w:pos="142" w:leader="none"/>
          <w:tab w:val="left" w:pos="993" w:leader="none"/>
        </w:tabs>
        <w:spacing w:before="60" w:after="60"/>
        <w:jc w:val="both"/>
        <w:rPr/>
      </w:pPr>
      <w:r>
        <w:rPr>
          <w:rFonts w:cs="Times New Roman" w:ascii="Times New Roman" w:hAnsi="Times New Roman"/>
          <w:b/>
        </w:rPr>
        <w:t>To:</w:t>
      </w:r>
      <w:r>
        <w:rPr>
          <w:rFonts w:cs="Times New Roman" w:ascii="Times New Roman" w:hAnsi="Times New Roman"/>
        </w:rPr>
        <w:tab/>
        <w:t>Jeff Skilling</w:t>
      </w:r>
    </w:p>
    <w:p>
      <w:pPr>
        <w:pStyle w:val="Header"/>
        <w:tabs>
          <w:tab w:val="clear" w:pos="4320"/>
          <w:tab w:val="clear" w:pos="8640"/>
          <w:tab w:val="left" w:pos="142" w:leader="none"/>
          <w:tab w:val="left" w:pos="993" w:leader="none"/>
        </w:tabs>
        <w:spacing w:before="60" w:after="60"/>
        <w:jc w:val="both"/>
        <w:rPr>
          <w:rFonts w:ascii="Times New Roman" w:hAnsi="Times New Roman" w:cs="Times New Roman"/>
        </w:rPr>
      </w:pPr>
      <w:r>
        <w:rPr>
          <w:rFonts w:cs="Times New Roman" w:ascii="Times New Roman" w:hAnsi="Times New Roman"/>
        </w:rPr>
        <w:tab/>
        <w:tab/>
        <w:t>Rick Buy</w:t>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rPr>
        <w:t>From:</w:t>
      </w:r>
      <w:r>
        <w:rPr>
          <w:rFonts w:cs="Times New Roman" w:ascii="Times New Roman" w:hAnsi="Times New Roman"/>
        </w:rPr>
        <w:t xml:space="preserve">    </w:t>
        <w:tab/>
        <w:t>Jeff Shankman</w:t>
      </w:r>
    </w:p>
    <w:p>
      <w:pPr>
        <w:pStyle w:val="Normal"/>
        <w:tabs>
          <w:tab w:val="left" w:pos="142" w:leader="none"/>
          <w:tab w:val="left" w:pos="540" w:leader="none"/>
          <w:tab w:val="left" w:pos="993" w:leader="none"/>
        </w:tabs>
        <w:spacing w:before="60" w:after="60"/>
        <w:jc w:val="both"/>
        <w:rPr>
          <w:rFonts w:ascii="Times New Roman" w:hAnsi="Times New Roman" w:cs="Times New Roman"/>
          <w:b/>
        </w:rPr>
      </w:pPr>
      <w:r>
        <w:rPr>
          <w:rFonts w:cs="Times New Roman" w:ascii="Times New Roman" w:hAnsi="Times New Roman"/>
          <w:b/>
        </w:rPr>
        <w:t>Date:</w:t>
      </w:r>
      <w:r>
        <w:rPr>
          <w:rFonts w:cs="Times New Roman" w:ascii="Times New Roman" w:hAnsi="Times New Roman"/>
        </w:rPr>
        <w:tab/>
        <w:tab/>
      </w:r>
    </w:p>
    <w:p>
      <w:pPr>
        <w:pStyle w:val="Normal"/>
        <w:tabs>
          <w:tab w:val="left" w:pos="142" w:leader="none"/>
          <w:tab w:val="left" w:pos="540" w:leader="none"/>
          <w:tab w:val="left" w:pos="993" w:leader="none"/>
        </w:tabs>
        <w:spacing w:before="60" w:after="60"/>
        <w:jc w:val="both"/>
        <w:rPr/>
      </w:pPr>
      <w:r>
        <w:rPr>
          <w:rFonts w:cs="Times New Roman" w:ascii="Times New Roman" w:hAnsi="Times New Roman"/>
          <w:b/>
        </w:rPr>
        <w:t>Subject:</w:t>
      </w:r>
      <w:r>
        <w:rPr>
          <w:rFonts w:cs="Times New Roman" w:ascii="Times New Roman" w:hAnsi="Times New Roman"/>
        </w:rPr>
        <w:tab/>
        <w:t xml:space="preserve">Request for LNG Trading Policy Limits </w:t>
      </w:r>
    </w:p>
    <w:p>
      <w:pPr>
        <w:pStyle w:val="Normal"/>
        <w:tabs>
          <w:tab w:val="left" w:pos="142" w:leader="none"/>
          <w:tab w:val="left" w:pos="540" w:leader="none"/>
          <w:tab w:val="left" w:pos="993" w:leader="none"/>
        </w:tabs>
        <w:spacing w:before="60" w:after="60"/>
        <w:jc w:val="both"/>
        <w:rPr>
          <w:rFonts w:ascii="Times New Roman" w:hAnsi="Times New Roman" w:cs="Times New Roman"/>
        </w:rPr>
      </w:pPr>
      <w:r>
        <w:rPr>
          <w:rFonts w:cs="Times New Roman" w:ascii="Times New Roman" w:hAnsi="Times New Roman"/>
        </w:rPr>
        <w:tab/>
        <w:tab/>
        <w:tab/>
      </w:r>
    </w:p>
    <w:p>
      <w:pPr>
        <w:pStyle w:val="Heading1"/>
        <w:pBdr>
          <w:top w:val="single" w:sz="18" w:space="1" w:color="000000"/>
        </w:pBdr>
        <w:ind w:hanging="0" w:start="0"/>
        <w:jc w:val="both"/>
        <w:rPr>
          <w:rFonts w:ascii="Times New Roman" w:hAnsi="Times New Roman" w:cs="Times New Roman"/>
          <w:b w:val="false"/>
          <w:sz w:val="24"/>
        </w:rPr>
      </w:pPr>
      <w:r>
        <w:rPr>
          <w:rFonts w:cs="Times New Roman"/>
          <w:b w:val="false"/>
          <w:sz w:val="24"/>
        </w:rPr>
      </w:r>
    </w:p>
    <w:p>
      <w:pPr>
        <w:pStyle w:val="Normal"/>
        <w:ind w:hanging="2160" w:start="2160" w:end="0"/>
        <w:jc w:val="both"/>
        <w:rPr>
          <w:rFonts w:ascii="Times New Roman" w:hAnsi="Times New Roman" w:cs="Times New Roman"/>
          <w:b/>
          <w:u w:val="single"/>
        </w:rPr>
      </w:pPr>
      <w:r>
        <w:rPr>
          <w:rFonts w:cs="Times New Roman" w:ascii="Times New Roman" w:hAnsi="Times New Roman"/>
          <w:b/>
          <w:u w:val="single"/>
        </w:rPr>
        <w:t>Type of Trading Limit Request</w:t>
      </w:r>
    </w:p>
    <w:p>
      <w:pPr>
        <w:pStyle w:val="Normal"/>
        <w:rPr>
          <w:rFonts w:ascii="Times New Roman" w:hAnsi="Times New Roman" w:cs="Times New Roman"/>
          <w:b/>
          <w:u w:val="single"/>
        </w:rPr>
      </w:pPr>
      <w:r>
        <w:rPr>
          <w:rFonts w:cs="Times New Roman" w:ascii="Times New Roman" w:hAnsi="Times New Roman"/>
          <w:b/>
          <w:u w:val="single"/>
        </w:rPr>
      </w:r>
    </w:p>
    <w:p>
      <w:pPr>
        <w:pStyle w:val="Normal"/>
        <w:numPr>
          <w:ilvl w:val="0"/>
          <w:numId w:val="3"/>
        </w:numPr>
        <w:jc w:val="both"/>
        <w:rPr>
          <w:rFonts w:ascii="Times New Roman" w:hAnsi="Times New Roman" w:cs="Times New Roman"/>
        </w:rPr>
      </w:pPr>
      <w:r>
        <w:rPr>
          <w:rFonts w:cs="Times New Roman" w:ascii="Times New Roman" w:hAnsi="Times New Roman"/>
        </w:rPr>
        <w:t>Interim Policy Limits for New Commodity</w:t>
        <w:tab/>
        <w:tab/>
      </w:r>
      <w:r>
        <w:rPr>
          <w:rFonts w:cs="Times New Roman" w:ascii="Times New Roman" w:hAnsi="Times New Roman"/>
          <w:u w:val="single"/>
        </w:rPr>
        <w:tab/>
      </w:r>
    </w:p>
    <w:p>
      <w:pPr>
        <w:pStyle w:val="Normal"/>
        <w:numPr>
          <w:ilvl w:val="0"/>
          <w:numId w:val="3"/>
        </w:numPr>
        <w:jc w:val="both"/>
        <w:rPr>
          <w:rFonts w:ascii="Times New Roman" w:hAnsi="Times New Roman" w:cs="Times New Roman"/>
        </w:rPr>
      </w:pPr>
      <w:r>
        <w:rPr>
          <w:rFonts w:cs="Times New Roman" w:ascii="Times New Roman" w:hAnsi="Times New Roman"/>
        </w:rPr>
        <w:t xml:space="preserve">Interim Policy Limit Extension </w:t>
        <w:tab/>
        <w:tab/>
        <w:tab/>
        <w:tab/>
      </w:r>
      <w:r>
        <w:rPr>
          <w:rFonts w:cs="Times New Roman" w:ascii="Times New Roman" w:hAnsi="Times New Roman"/>
          <w:u w:val="single"/>
        </w:rPr>
        <w:tab/>
      </w:r>
    </w:p>
    <w:p>
      <w:pPr>
        <w:pStyle w:val="Normal"/>
        <w:numPr>
          <w:ilvl w:val="0"/>
          <w:numId w:val="3"/>
        </w:numPr>
        <w:jc w:val="both"/>
        <w:rPr>
          <w:rFonts w:ascii="Times New Roman" w:hAnsi="Times New Roman" w:cs="Times New Roman"/>
          <w:u w:val="single"/>
        </w:rPr>
      </w:pPr>
      <w:r>
        <w:rPr>
          <w:rFonts w:cs="Times New Roman" w:ascii="Times New Roman" w:hAnsi="Times New Roman"/>
        </w:rPr>
        <w:t>Permanent Policy Limits</w:t>
        <w:tab/>
        <w:tab/>
        <w:tab/>
        <w:tab/>
        <w:tab/>
        <w:t xml:space="preserve">     X</w:t>
      </w:r>
      <w:r>
        <w:rPr>
          <w:rFonts w:cs="Times New Roman" w:ascii="Times New Roman" w:hAnsi="Times New Roman"/>
          <w:u w:val="single"/>
        </w:rPr>
        <w:t xml:space="preserve">        </w:t>
      </w:r>
    </w:p>
    <w:p>
      <w:pPr>
        <w:pStyle w:val="Normal"/>
        <w:numPr>
          <w:ilvl w:val="0"/>
          <w:numId w:val="3"/>
        </w:numPr>
        <w:jc w:val="both"/>
        <w:rPr>
          <w:rFonts w:ascii="Times New Roman" w:hAnsi="Times New Roman" w:cs="Times New Roman"/>
          <w:u w:val="single"/>
        </w:rPr>
      </w:pPr>
      <w:r>
        <w:rPr>
          <w:rFonts w:cs="Times New Roman" w:ascii="Times New Roman" w:hAnsi="Times New Roman"/>
        </w:rPr>
        <w:t>Change in Permanent Policy Limits</w:t>
        <w:tab/>
        <w:tab/>
        <w:tab/>
      </w:r>
      <w:r>
        <w:rPr>
          <w:rFonts w:cs="Times New Roman" w:ascii="Times New Roman" w:hAnsi="Times New Roman"/>
          <w:u w:val="single"/>
        </w:rPr>
        <w:tab/>
      </w:r>
    </w:p>
    <w:p>
      <w:pPr>
        <w:pStyle w:val="Normal"/>
        <w:numPr>
          <w:ilvl w:val="0"/>
          <w:numId w:val="3"/>
        </w:numPr>
        <w:jc w:val="both"/>
        <w:rPr>
          <w:rFonts w:ascii="Times New Roman" w:hAnsi="Times New Roman" w:cs="Times New Roman"/>
        </w:rPr>
      </w:pPr>
      <w:r>
        <w:rPr>
          <w:rFonts w:cs="Times New Roman" w:ascii="Times New Roman" w:hAnsi="Times New Roman"/>
        </w:rPr>
        <w:t>Discretionary VaR Allocation</w:t>
        <w:tab/>
        <w:tab/>
        <w:tab/>
        <w:tab/>
      </w:r>
      <w:r>
        <w:rPr>
          <w:rFonts w:cs="Times New Roman" w:ascii="Times New Roman" w:hAnsi="Times New Roman"/>
          <w:u w:val="single"/>
        </w:rPr>
        <w:tab/>
      </w:r>
    </w:p>
    <w:p>
      <w:pPr>
        <w:pStyle w:val="Normal"/>
        <w:numPr>
          <w:ilvl w:val="0"/>
          <w:numId w:val="3"/>
        </w:numPr>
        <w:jc w:val="both"/>
        <w:rPr>
          <w:rFonts w:ascii="Times New Roman" w:hAnsi="Times New Roman" w:cs="Times New Roman"/>
        </w:rPr>
      </w:pPr>
      <w:r>
        <w:rPr>
          <w:rFonts w:cs="Times New Roman" w:ascii="Times New Roman" w:hAnsi="Times New Roman"/>
        </w:rPr>
        <w:t>Temporary Policy Limits</w:t>
        <w:tab/>
        <w:tab/>
        <w:tab/>
        <w:tab/>
        <w:tab/>
        <w:t>______</w:t>
        <w:tab/>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b/>
          <w:u w:val="single"/>
        </w:rPr>
      </w:pPr>
      <w:r>
        <w:rPr>
          <w:rFonts w:cs="Times New Roman" w:ascii="Times New Roman" w:hAnsi="Times New Roman"/>
          <w:b/>
          <w:u w:val="single"/>
        </w:rPr>
        <w:t>Products:</w:t>
      </w:r>
    </w:p>
    <w:p>
      <w:pPr>
        <w:pStyle w:val="Normal"/>
        <w:ind w:hanging="2160" w:start="2160" w:end="0"/>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3"/>
        </w:numPr>
        <w:jc w:val="both"/>
        <w:rPr>
          <w:rFonts w:ascii="Times New Roman" w:hAnsi="Times New Roman" w:cs="Times New Roman"/>
        </w:rPr>
      </w:pPr>
      <w:r>
        <w:rPr>
          <w:rFonts w:cs="Times New Roman" w:ascii="Times New Roman" w:hAnsi="Times New Roman"/>
        </w:rPr>
        <w:t>Liquified Natural Gas</w:t>
      </w:r>
    </w:p>
    <w:p>
      <w:pPr>
        <w:pStyle w:val="Normal"/>
        <w:numPr>
          <w:ilvl w:val="0"/>
          <w:numId w:val="3"/>
        </w:numPr>
        <w:jc w:val="both"/>
        <w:rPr>
          <w:rFonts w:ascii="Times New Roman" w:hAnsi="Times New Roman" w:cs="Times New Roman"/>
        </w:rPr>
      </w:pPr>
      <w:r>
        <w:rPr>
          <w:rFonts w:cs="Times New Roman" w:ascii="Times New Roman" w:hAnsi="Times New Roman"/>
        </w:rPr>
        <w:t>LNG Tanker Capacity</w:t>
      </w:r>
    </w:p>
    <w:p>
      <w:pPr>
        <w:pStyle w:val="Normal"/>
        <w:numPr>
          <w:ilvl w:val="0"/>
          <w:numId w:val="3"/>
        </w:numPr>
        <w:jc w:val="both"/>
        <w:rPr>
          <w:rFonts w:ascii="Times New Roman" w:hAnsi="Times New Roman" w:cs="Times New Roman"/>
        </w:rPr>
      </w:pPr>
      <w:r>
        <w:rPr>
          <w:rFonts w:cs="Times New Roman" w:ascii="Times New Roman" w:hAnsi="Times New Roman"/>
        </w:rPr>
        <w:t>LNG Terminal Capacity</w:t>
      </w:r>
    </w:p>
    <w:p>
      <w:pPr>
        <w:pStyle w:val="Normal"/>
        <w:numPr>
          <w:ilvl w:val="0"/>
          <w:numId w:val="3"/>
        </w:numPr>
        <w:jc w:val="both"/>
        <w:rPr>
          <w:rFonts w:ascii="Times New Roman" w:hAnsi="Times New Roman" w:cs="Times New Roman"/>
        </w:rPr>
      </w:pPr>
      <w:r>
        <w:rPr>
          <w:rFonts w:cs="Times New Roman" w:ascii="Times New Roman" w:hAnsi="Times New Roman"/>
        </w:rPr>
        <w:t xml:space="preserve">Hedge Commodities – </w:t>
        <w:tab/>
        <w:tab/>
        <w:t>Physical and Financial Natural Gas (Price, Basis and Index)</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Brent - Crude Oil</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WTI – Crude Oil</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#6 Residual Fuel Oil</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#2 Heating Oil or GasOil</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C2 – Ethane</w:t>
      </w:r>
    </w:p>
    <w:p>
      <w:pPr>
        <w:pStyle w:val="Normal"/>
        <w:numPr>
          <w:ilvl w:val="0"/>
          <w:numId w:val="3"/>
        </w:numPr>
        <w:jc w:val="both"/>
        <w:rPr>
          <w:rFonts w:ascii="Times New Roman" w:hAnsi="Times New Roman" w:cs="Times New Roman"/>
        </w:rPr>
      </w:pPr>
      <w:r>
        <w:rPr>
          <w:rFonts w:cs="Times New Roman" w:ascii="Times New Roman" w:hAnsi="Times New Roman"/>
        </w:rPr>
        <w:tab/>
        <w:tab/>
        <w:tab/>
        <w:tab/>
        <w:tab/>
        <w:tab/>
        <w:t>Financial C3 – Propane</w:t>
      </w:r>
    </w:p>
    <w:p>
      <w:pPr>
        <w:pStyle w:val="Normal"/>
        <w:jc w:val="both"/>
        <w:rPr>
          <w:rFonts w:ascii="Times New Roman" w:hAnsi="Times New Roman" w:cs="Times New Roman"/>
        </w:rPr>
      </w:pPr>
      <w:r>
        <w:rPr>
          <w:rFonts w:cs="Times New Roman" w:ascii="Times New Roman" w:hAnsi="Times New Roman"/>
        </w:rPr>
        <w:tab/>
        <w:tab/>
        <w:tab/>
        <w:tab/>
        <w:tab/>
        <w:tab/>
        <w:tab/>
        <w:tab/>
        <w:tab/>
        <w:tab/>
        <w:tab/>
        <w:tab/>
        <w:tab/>
        <w:tab/>
        <w:tab/>
      </w:r>
    </w:p>
    <w:p>
      <w:pPr>
        <w:pStyle w:val="Normal"/>
        <w:jc w:val="both"/>
        <w:rPr>
          <w:rFonts w:ascii="Times New Roman" w:hAnsi="Times New Roman" w:cs="Times New Roman"/>
        </w:rPr>
      </w:pPr>
      <w:r>
        <w:rPr>
          <w:rFonts w:cs="Times New Roman" w:ascii="Times New Roman" w:hAnsi="Times New Roman"/>
        </w:rPr>
      </w:r>
    </w:p>
    <w:p>
      <w:pPr>
        <w:pStyle w:val="Heading7"/>
        <w:ind w:hanging="0" w:start="0"/>
        <w:rPr>
          <w:sz w:val="24"/>
        </w:rPr>
      </w:pPr>
      <w:r>
        <w:rPr>
          <w:sz w:val="24"/>
        </w:rPr>
        <w:t>Markets approved for trading</w:t>
      </w:r>
    </w:p>
    <w:p>
      <w:pPr>
        <w:pStyle w:val="Normal"/>
        <w:numPr>
          <w:ilvl w:val="0"/>
          <w:numId w:val="4"/>
        </w:numPr>
        <w:jc w:val="both"/>
        <w:rPr>
          <w:rFonts w:ascii="Times New Roman" w:hAnsi="Times New Roman" w:cs="Times New Roman"/>
        </w:rPr>
      </w:pPr>
      <w:r>
        <w:rPr>
          <w:rFonts w:cs="Times New Roman" w:ascii="Times New Roman" w:hAnsi="Times New Roman"/>
        </w:rPr>
        <w:t>North America</w:t>
      </w:r>
    </w:p>
    <w:p>
      <w:pPr>
        <w:pStyle w:val="Normal"/>
        <w:numPr>
          <w:ilvl w:val="0"/>
          <w:numId w:val="4"/>
        </w:numPr>
        <w:jc w:val="both"/>
        <w:rPr>
          <w:rFonts w:ascii="Times New Roman" w:hAnsi="Times New Roman" w:cs="Times New Roman"/>
        </w:rPr>
      </w:pPr>
      <w:r>
        <w:rPr>
          <w:rFonts w:cs="Times New Roman" w:ascii="Times New Roman" w:hAnsi="Times New Roman"/>
        </w:rPr>
        <w:t>Europe</w:t>
      </w:r>
    </w:p>
    <w:p>
      <w:pPr>
        <w:pStyle w:val="Normal"/>
        <w:numPr>
          <w:ilvl w:val="0"/>
          <w:numId w:val="4"/>
        </w:numPr>
        <w:jc w:val="both"/>
        <w:rPr>
          <w:rFonts w:ascii="Times New Roman" w:hAnsi="Times New Roman" w:cs="Times New Roman"/>
        </w:rPr>
      </w:pPr>
      <w:r>
        <w:rPr>
          <w:rFonts w:cs="Times New Roman" w:ascii="Times New Roman" w:hAnsi="Times New Roman"/>
        </w:rPr>
        <w:t>Middle East</w:t>
      </w:r>
    </w:p>
    <w:p>
      <w:pPr>
        <w:pStyle w:val="Normal"/>
        <w:numPr>
          <w:ilvl w:val="0"/>
          <w:numId w:val="4"/>
        </w:numPr>
        <w:jc w:val="both"/>
        <w:rPr>
          <w:rFonts w:ascii="Times New Roman" w:hAnsi="Times New Roman" w:cs="Times New Roman"/>
        </w:rPr>
      </w:pPr>
      <w:r>
        <w:rPr>
          <w:rFonts w:cs="Times New Roman" w:ascii="Times New Roman" w:hAnsi="Times New Roman"/>
        </w:rPr>
        <w:t>Southeast Asia</w:t>
      </w:r>
    </w:p>
    <w:p>
      <w:pPr>
        <w:pStyle w:val="Normal"/>
        <w:numPr>
          <w:ilvl w:val="0"/>
          <w:numId w:val="4"/>
        </w:numPr>
        <w:jc w:val="both"/>
        <w:rPr>
          <w:rFonts w:ascii="Times New Roman" w:hAnsi="Times New Roman" w:cs="Times New Roman"/>
        </w:rPr>
      </w:pPr>
      <w:r>
        <w:rPr>
          <w:rFonts w:cs="Times New Roman" w:ascii="Times New Roman" w:hAnsi="Times New Roman"/>
        </w:rPr>
        <w:t>Korea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ind w:hanging="2160" w:start="2160" w:end="0"/>
        <w:jc w:val="both"/>
        <w:rPr>
          <w:rFonts w:ascii="Times New Roman" w:hAnsi="Times New Roman" w:cs="Times New Roman"/>
          <w:b/>
          <w:u w:val="single"/>
        </w:rPr>
      </w:pPr>
      <w:r>
        <w:rPr>
          <w:rFonts w:cs="Times New Roman" w:ascii="Times New Roman" w:hAnsi="Times New Roman"/>
          <w:b/>
          <w:u w:val="single"/>
        </w:rPr>
        <w:t>Background:</w:t>
      </w:r>
    </w:p>
    <w:p>
      <w:pPr>
        <w:pStyle w:val="Normal"/>
        <w:ind w:hanging="2160" w:start="2160" w:end="0"/>
        <w:jc w:val="both"/>
        <w:rPr>
          <w:rFonts w:ascii="Times New Roman" w:hAnsi="Times New Roman" w:cs="Times New Roman"/>
          <w:b/>
          <w:u w:val="single"/>
        </w:rPr>
      </w:pPr>
      <w:r>
        <w:rPr>
          <w:rFonts w:cs="Times New Roman" w:ascii="Times New Roman" w:hAnsi="Times New Roman"/>
          <w:b/>
          <w:u w:val="single"/>
        </w:rPr>
      </w:r>
    </w:p>
    <w:p>
      <w:pPr>
        <w:pStyle w:val="BodyText2"/>
        <w:rPr>
          <w:rFonts w:ascii="Times New Roman" w:hAnsi="Times New Roman" w:cs="Times New Roman"/>
          <w:sz w:val="24"/>
        </w:rPr>
      </w:pPr>
      <w:r>
        <w:rPr>
          <w:rFonts w:cs="Times New Roman" w:ascii="Times New Roman" w:hAnsi="Times New Roman"/>
          <w:sz w:val="24"/>
        </w:rPr>
        <w:t>Liquefied Natural Gas (LNG) is natural gas which has been condensed to a  liquid state by cooling it to minus 162 degrees Celsius.  In this  liquid state, natural gas  is reduced in volume by  600 times.  Once liquefied, LNG is loaded onto specially designed tankers that utilize a highly efficient insulation system to maintain the liquid state. LNG tankers are fuelled by the natural gas which is boiled off as the LNG evaporates during transporatation. Upon arrival at a receiving facility, LNG is transferred into specially designed storage tanks where it is stored as a liquid at near atmospheric pressure and temperature of minus 162 degrees Celsius.  The LNG remains in storage until demanded for redelivery, at which time it is pumped from the tanks and subjected to heat and pressure to return it to a gaseous state for transportation by pipeline.</w:t>
      </w:r>
    </w:p>
    <w:p>
      <w:pPr>
        <w:pStyle w:val="BodyText2"/>
        <w:rPr>
          <w:rFonts w:ascii="Times New Roman" w:hAnsi="Times New Roman" w:cs="Times New Roman"/>
          <w:sz w:val="24"/>
        </w:rPr>
      </w:pPr>
      <w:r>
        <w:rPr>
          <w:rFonts w:cs="Times New Roman" w:ascii="Times New Roman" w:hAnsi="Times New Roman"/>
          <w:sz w:val="24"/>
        </w:rPr>
      </w:r>
    </w:p>
    <w:p>
      <w:pPr>
        <w:pStyle w:val="BodyText2"/>
        <w:rPr>
          <w:rFonts w:ascii="Times New Roman" w:hAnsi="Times New Roman" w:cs="Times New Roman"/>
          <w:sz w:val="24"/>
        </w:rPr>
      </w:pPr>
      <w:r>
        <w:rPr>
          <w:rFonts w:cs="Times New Roman" w:ascii="Times New Roman" w:hAnsi="Times New Roman"/>
          <w:sz w:val="24"/>
        </w:rPr>
        <w:t>According to Poten &amp; Partners, an industry consultant, 99 million metric tons of LNG was produced and sold during 1999 (4,752 Bcf of gas equivalent).  Approximately 75% of this volume was produced for import into the Pacific Basin (specifically by Japan,  Korea, and Taiwan).  Traditionally, LNG has been produced and sold within the framework of long-term (20 + year) take-or-pay contracts between LNG producers and Asian (and to a lesser extent European) utilities.  These take-or-pay agreements provided the bankable downstream revenue flows that allowed producers to build capital intensive plants (&gt;$1billion) and LNG vessels ($150 - $250 million).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rPr>
      </w:pPr>
      <w:r>
        <w:rPr>
          <w:rFonts w:cs="Times New Roman" w:ascii="Times New Roman" w:hAnsi="Times New Roman"/>
        </w:rPr>
        <w:t xml:space="preserve">Long-term contracts in the Pacific Basin use a price formula  indexed to a basket of fuels imported into Japan.  Stated in barrels and known as JCC, Japanese Crude Cocktail.  Long term contracts into Europe have typically been tied to gasoil and fueloil prices, while long-term contracts into the US have  been priced as a netback from NYMEX Natural Gas.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Traded LNG volumes have grown substantially in the last two decades driven by the deregulation of wholesale natural gas and electricity markets, increasing from 1412 Bcf per year in 1980 to over 4500 Bcf per year in 1999.  Cedigaz, a European energy think-tank, estimates that total LNG production will grow to between 6355 and 6710 Bcf per year by 2010.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There is approximately 107 million metric tons of production capacity throughout the world, spread among 27 different projects.  The ownership of these projects is typically shared among consortiums consisting of Oil Majors (Shell, BP, ExxonMobil and Elf), national companies of the producer states and (occasionally) consumers or shippers.  The LNG industry has traditionally conducted its affairs very much in the style of a club: competition between producers has been minimal and there has been very little role for intermediation between producers and consumers of LNG.  However, the traditional structure is beginning to change as demand for LNG in North America grows at the same time that energy markets in traditional LNG consumer countries liberalize.  The need for increased consumer flexibility, coupled with excess capacity in the LNG tanker market, is causing some disillusionment with the old way of doing business.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The LNG spot trade (generally referring to individual cargo sales as well as contracts of short duration) has grown  in relative terms during the last couple of years.  This growth has been fostered by two phenomena: high US prices and slow economic growth in Asia.  During 2000, prices in the US have been sufficently high to justify diverting cargoes from traditional routes to the United States.  Moreover, slack demand in Asian markets has created some excess capacity in Southeast Asian and Middle East producer basins.  As a result, imports into the US have grown from 1.8 million tons (.24 Bcf/d) in to 2.9 million tons (.51 Bcf/d) for the year-to-date..  </w:t>
      </w:r>
    </w:p>
    <w:p>
      <w:pPr>
        <w:pStyle w:val="Normal"/>
        <w:tabs>
          <w:tab w:val="clear" w:pos="540"/>
          <w:tab w:val="left" w:pos="0" w:leader="none"/>
          <w:tab w:val="left" w:pos="4320" w:leader="none"/>
        </w:tabs>
        <w:ind w:hanging="3240" w:start="3240" w:end="0"/>
        <w:jc w:val="both"/>
        <w:rPr>
          <w:rFonts w:ascii="Times New Roman" w:hAnsi="Times New Roman" w:cs="Times New Roman"/>
          <w:b/>
          <w:u w:val="single"/>
        </w:rPr>
      </w:pPr>
      <w:r>
        <w:rPr>
          <w:rFonts w:cs="Times New Roman" w:ascii="Times New Roman" w:hAnsi="Times New Roman"/>
          <w:b/>
          <w:u w:val="single"/>
        </w:rPr>
      </w:r>
    </w:p>
    <w:p>
      <w:pPr>
        <w:pStyle w:val="Normal"/>
        <w:tabs>
          <w:tab w:val="left" w:pos="540" w:leader="none"/>
          <w:tab w:val="left" w:pos="4320" w:leader="none"/>
        </w:tabs>
        <w:ind w:hanging="2160" w:start="2160" w:end="0"/>
        <w:jc w:val="both"/>
        <w:rPr>
          <w:rFonts w:ascii="Times New Roman" w:hAnsi="Times New Roman" w:cs="Times New Roman"/>
          <w:b/>
          <w:u w:val="single"/>
        </w:rPr>
      </w:pPr>
      <w:r>
        <w:rPr>
          <w:rFonts w:cs="Times New Roman" w:ascii="Times New Roman" w:hAnsi="Times New Roman"/>
          <w:b/>
          <w:u w:val="single"/>
        </w:rPr>
      </w:r>
    </w:p>
    <w:p>
      <w:pPr>
        <w:pStyle w:val="Normal"/>
        <w:tabs>
          <w:tab w:val="left" w:pos="540" w:leader="none"/>
          <w:tab w:val="left" w:pos="4320" w:leader="none"/>
        </w:tabs>
        <w:ind w:hanging="2160" w:start="2160" w:end="0"/>
        <w:jc w:val="both"/>
        <w:rPr>
          <w:rFonts w:ascii="Times New Roman" w:hAnsi="Times New Roman" w:cs="Times New Roman"/>
          <w:b/>
          <w:u w:val="single"/>
        </w:rPr>
      </w:pPr>
      <w:r>
        <w:rPr>
          <w:rFonts w:cs="Times New Roman" w:ascii="Times New Roman" w:hAnsi="Times New Roman"/>
          <w:b/>
          <w:u w:val="single"/>
        </w:rPr>
      </w:r>
    </w:p>
    <w:p>
      <w:pPr>
        <w:pStyle w:val="Normal"/>
        <w:tabs>
          <w:tab w:val="left" w:pos="540" w:leader="none"/>
          <w:tab w:val="left" w:pos="4320" w:leader="none"/>
        </w:tabs>
        <w:ind w:hanging="2160" w:start="2160" w:end="0"/>
        <w:jc w:val="both"/>
        <w:rPr>
          <w:rFonts w:ascii="Times New Roman" w:hAnsi="Times New Roman" w:cs="Times New Roman"/>
          <w:b/>
          <w:u w:val="single"/>
        </w:rPr>
      </w:pPr>
      <w:r>
        <w:rPr>
          <w:rFonts w:cs="Times New Roman" w:ascii="Times New Roman" w:hAnsi="Times New Roman"/>
          <w:b/>
          <w:u w:val="single"/>
        </w:rPr>
      </w:r>
    </w:p>
    <w:p>
      <w:pPr>
        <w:pStyle w:val="Normal"/>
        <w:tabs>
          <w:tab w:val="left" w:pos="540" w:leader="none"/>
          <w:tab w:val="left" w:pos="4320" w:leader="none"/>
        </w:tabs>
        <w:ind w:hanging="2160" w:start="2160" w:end="0"/>
        <w:jc w:val="both"/>
        <w:rPr>
          <w:rFonts w:ascii="Times New Roman" w:hAnsi="Times New Roman" w:cs="Times New Roman"/>
          <w:b/>
          <w:u w:val="single"/>
        </w:rPr>
      </w:pPr>
      <w:r>
        <w:rPr>
          <w:rFonts w:cs="Times New Roman" w:ascii="Times New Roman" w:hAnsi="Times New Roman"/>
          <w:b/>
          <w:u w:val="single"/>
        </w:rPr>
        <w:t>Strategy:</w:t>
      </w:r>
    </w:p>
    <w:p>
      <w:pPr>
        <w:pStyle w:val="Normal"/>
        <w:tabs>
          <w:tab w:val="left" w:pos="540" w:leader="none"/>
          <w:tab w:val="left" w:pos="4320" w:leader="none"/>
        </w:tabs>
        <w:ind w:hanging="2160" w:start="2160" w:end="0"/>
        <w:jc w:val="both"/>
        <w:rPr>
          <w:rFonts w:ascii="Times New Roman" w:hAnsi="Times New Roman" w:cs="Times New Roman"/>
          <w:b/>
          <w:u w:val="single"/>
        </w:rPr>
      </w:pPr>
      <w:r>
        <w:rPr>
          <w:rFonts w:cs="Times New Roman" w:ascii="Times New Roman" w:hAnsi="Times New Roman"/>
          <w:b/>
          <w:u w:val="single"/>
        </w:rPr>
      </w:r>
    </w:p>
    <w:p>
      <w:pPr>
        <w:pStyle w:val="Normal"/>
        <w:tabs>
          <w:tab w:val="left" w:pos="54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4320" w:leader="none"/>
        </w:tabs>
        <w:jc w:val="both"/>
        <w:rPr/>
      </w:pPr>
      <w:r>
        <w:rPr>
          <w:rFonts w:cs="Times New Roman" w:ascii="Times New Roman" w:hAnsi="Times New Roman"/>
        </w:rPr>
        <w:t>Enron’s experience with LNG to date has centered around its development activities within the former Enron International.  Enron originators have negotiated contracts to supply LNG for the Dabhol Project in India as well as the EcoElectrica Project in Puerto Rico.  In addition, Enron is negotiating supply agreements for the proposed Metropolitan Gas Co. project in India.  To facilitate these agreements and position ourselves for shorter-term opportunites, Enron has arranged for a time charter of two vessels,  the Hoegh Galleon (87,000 m</w:t>
      </w:r>
      <w:r>
        <w:rPr>
          <w:rFonts w:cs="Times New Roman" w:ascii="Times New Roman" w:hAnsi="Times New Roman"/>
          <w:vertAlign w:val="superscript"/>
        </w:rPr>
        <w:t>3</w:t>
      </w:r>
      <w:r>
        <w:rPr>
          <w:rFonts w:cs="Times New Roman" w:ascii="Times New Roman" w:hAnsi="Times New Roman"/>
        </w:rPr>
        <w:t>)  and Excalibur (138,000 m</w:t>
      </w:r>
      <w:r>
        <w:rPr>
          <w:rFonts w:cs="Times New Roman" w:ascii="Times New Roman" w:hAnsi="Times New Roman"/>
          <w:vertAlign w:val="superscript"/>
        </w:rPr>
        <w:t xml:space="preserve">3 </w:t>
      </w:r>
      <w:r>
        <w:rPr>
          <w:rFonts w:cs="Times New Roman" w:ascii="Times New Roman" w:hAnsi="Times New Roman"/>
        </w:rPr>
        <w:t xml:space="preserve">), and secured access to the Elba Island terminal near Savannah, Georgia.  </w:t>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t>The strategy during 2001 will be focused on two initiatives.  The first is to capitalize on existing asset positions to begin physical short term trading of LNG – buying cargoes from producers for import into the US, European or Korean markets utilizing our existing shipping capacity.  The second is to create a more liquid market in LNG by fostering secondary trade of the transportation element (shipping and terminalling) while incentivizing market participants to engage more actively in spot trade.  It is believed that consumers and producers of LNG will realize value from a more liquid commoditized LNG market in the following ways:</w:t>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Increased price transparency</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Ability to divert molecules to the highest value market</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Greater opportunity to optimize production capacity</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Better utilization of shipping capacity</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Improved price/volumetric risk management</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Lower transaction costs</w:t>
      </w:r>
    </w:p>
    <w:p>
      <w:pPr>
        <w:pStyle w:val="Normal"/>
        <w:numPr>
          <w:ilvl w:val="0"/>
          <w:numId w:val="5"/>
        </w:numPr>
        <w:tabs>
          <w:tab w:val="clear" w:pos="540"/>
          <w:tab w:val="left" w:pos="2880" w:leader="none"/>
          <w:tab w:val="left" w:pos="3150" w:leader="none"/>
        </w:tabs>
        <w:ind w:hanging="0" w:start="2880" w:end="0"/>
        <w:jc w:val="both"/>
        <w:rPr>
          <w:rFonts w:ascii="Times New Roman" w:hAnsi="Times New Roman" w:cs="Times New Roman"/>
        </w:rPr>
      </w:pPr>
      <w:r>
        <w:rPr>
          <w:rFonts w:cs="Times New Roman" w:ascii="Times New Roman" w:hAnsi="Times New Roman"/>
        </w:rPr>
        <w:t>Increased flexibility for consumers to manage their gas supply needs</w:t>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t xml:space="preserve">As a corollary to that strategy, we will build on our experience in the physical trade of LNG by developing financial products for CIF cargoes (most likely swaps tailored to the timing and volume of cargoes with US destinations) and later FOB caroges (most likely sourced Middle East).  </w:t>
      </w:r>
    </w:p>
    <w:p>
      <w:pPr>
        <w:pStyle w:val="Normal"/>
        <w:tabs>
          <w:tab w:val="left" w:pos="5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54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Heading6"/>
        <w:jc w:val="start"/>
        <w:rPr>
          <w:sz w:val="24"/>
        </w:rPr>
      </w:pPr>
      <w:r>
        <w:rPr>
          <w:sz w:val="24"/>
        </w:rPr>
        <w:t>Book Architecture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rPr>
      </w:pPr>
      <w:r>
        <w:rPr>
          <w:rFonts w:cs="Times New Roman" w:ascii="Times New Roman" w:hAnsi="Times New Roman"/>
        </w:rPr>
        <w:t>Physical trades should be broken out between long and short term deals using 36 months forward as cutoff date.  (ie, a single contract executed over 24 months beginning in February 2001 would be short-term whereas a contracted executed over three months in 2005 would be long-term).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For the time being all short term trades should be marked against the price curve of natural gas at the tailgate of the CMS LNG receiving terminal at Lake Charles, Louisiana.  (NYMEX HH price less index basis)  Where appropriate, all long term trades should be marked against a CIF LNG curve for the intended downstream market.  Frequently, these curves will be derived from reference to another energy market curve.  (IPE Brent curve for Asian markets / Brent or Platt’s Gasoil or Fueloil prices for European markets/ Henry Hub for US market).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LNG desk is currently examining the possibility for offering financial products tied to CIF prices.  It is assumed that financial products will be managed in a separate book.</w:t>
      </w:r>
    </w:p>
    <w:p>
      <w:pPr>
        <w:pStyle w:val="Normal"/>
        <w:tabs>
          <w:tab w:val="left" w:pos="540" w:leader="none"/>
          <w:tab w:val="left" w:pos="2520" w:leader="none"/>
        </w:tabs>
        <w:rPr/>
      </w:pPr>
      <w:r>
        <w:rPr>
          <w:rFonts w:cs="Times New Roman" w:ascii="Times New Roman" w:hAnsi="Times New Roman"/>
        </w:rPr>
        <w:tab/>
      </w:r>
      <w:r>
        <w:rPr>
          <w:rFonts w:cs="Times New Roman" w:ascii="Times New Roman" w:hAnsi="Times New Roman"/>
          <w:b/>
        </w:rPr>
        <w:tab/>
      </w:r>
      <w:r>
        <w:rPr>
          <w:rFonts w:cs="Times New Roman" w:ascii="Times New Roman" w:hAnsi="Times New Roman"/>
        </w:rPr>
        <w:tab/>
        <w:tab/>
      </w:r>
    </w:p>
    <w:p>
      <w:pPr>
        <w:pStyle w:val="Heading6"/>
        <w:jc w:val="start"/>
        <w:rPr>
          <w:sz w:val="24"/>
        </w:rPr>
      </w:pPr>
      <w:r>
        <w:rPr>
          <w:sz w:val="24"/>
        </w:rPr>
        <w:t>Authorized Traders</w:t>
      </w:r>
    </w:p>
    <w:p>
      <w:pPr>
        <w:pStyle w:val="Heading6"/>
        <w:numPr>
          <w:ilvl w:val="0"/>
          <w:numId w:val="2"/>
        </w:numPr>
        <w:jc w:val="start"/>
        <w:rPr>
          <w:b w:val="false"/>
          <w:sz w:val="24"/>
          <w:u w:val="none"/>
        </w:rPr>
      </w:pPr>
      <w:r>
        <w:rPr>
          <w:b w:val="false"/>
          <w:sz w:val="24"/>
          <w:u w:val="none"/>
        </w:rPr>
        <w:t>Eric Gonzales</w:t>
      </w:r>
    </w:p>
    <w:p>
      <w:pPr>
        <w:pStyle w:val="Normal"/>
        <w:numPr>
          <w:ilvl w:val="0"/>
          <w:numId w:val="6"/>
        </w:numPr>
        <w:rPr>
          <w:rFonts w:ascii="Times New Roman" w:hAnsi="Times New Roman" w:cs="Times New Roman"/>
        </w:rPr>
      </w:pPr>
      <w:r>
        <w:rPr>
          <w:rFonts w:cs="Times New Roman" w:ascii="Times New Roman" w:hAnsi="Times New Roman"/>
        </w:rPr>
        <w:t>Brad Hitch</w:t>
      </w:r>
    </w:p>
    <w:p>
      <w:pPr>
        <w:pStyle w:val="Normal"/>
        <w:numPr>
          <w:ilvl w:val="0"/>
          <w:numId w:val="6"/>
        </w:numPr>
        <w:rPr>
          <w:rFonts w:ascii="Times New Roman" w:hAnsi="Times New Roman" w:cs="Times New Roman"/>
        </w:rPr>
      </w:pPr>
      <w:r>
        <w:rPr>
          <w:rFonts w:cs="Times New Roman" w:ascii="Times New Roman" w:hAnsi="Times New Roman"/>
        </w:rPr>
        <w:t>Clay Harris</w:t>
      </w:r>
    </w:p>
    <w:p>
      <w:pPr>
        <w:pStyle w:val="Normal"/>
        <w:numPr>
          <w:ilvl w:val="0"/>
          <w:numId w:val="6"/>
        </w:numPr>
        <w:rPr>
          <w:rFonts w:ascii="Times New Roman" w:hAnsi="Times New Roman" w:cs="Times New Roman"/>
        </w:rPr>
      </w:pPr>
      <w:r>
        <w:rPr>
          <w:rFonts w:cs="Times New Roman" w:ascii="Times New Roman" w:hAnsi="Times New Roman"/>
        </w:rPr>
        <w:t>Russell Dyk</w:t>
      </w:r>
    </w:p>
    <w:p>
      <w:pPr>
        <w:pStyle w:val="Normal"/>
        <w:numPr>
          <w:ilvl w:val="0"/>
          <w:numId w:val="6"/>
        </w:numPr>
        <w:rPr>
          <w:rFonts w:ascii="Times New Roman" w:hAnsi="Times New Roman" w:cs="Times New Roman"/>
        </w:rPr>
      </w:pPr>
      <w:r>
        <w:rPr>
          <w:rFonts w:cs="Times New Roman" w:ascii="Times New Roman" w:hAnsi="Times New Roman"/>
        </w:rPr>
        <w:t>Doug Arnell</w:t>
      </w:r>
    </w:p>
    <w:p>
      <w:pPr>
        <w:pStyle w:val="Normal"/>
        <w:tabs>
          <w:tab w:val="left" w:pos="540" w:leader="none"/>
          <w:tab w:val="left" w:pos="2520" w:leader="none"/>
        </w:tabs>
        <w:rPr>
          <w:rFonts w:ascii="Times New Roman" w:hAnsi="Times New Roman" w:cs="Times New Roman"/>
        </w:rPr>
      </w:pPr>
      <w:r>
        <w:rPr>
          <w:rFonts w:cs="Times New Roman" w:ascii="Times New Roman" w:hAnsi="Times New Roman"/>
        </w:rPr>
      </w:r>
    </w:p>
    <w:p>
      <w:pPr>
        <w:pStyle w:val="Heading6"/>
        <w:jc w:val="start"/>
        <w:rPr>
          <w:sz w:val="24"/>
        </w:rPr>
      </w:pPr>
      <w:r>
        <w:rPr>
          <w:sz w:val="24"/>
        </w:rPr>
        <w:t>Quantitative Risk Parameters:</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7"/>
        </w:numPr>
        <w:jc w:val="both"/>
        <w:rPr>
          <w:rFonts w:ascii="Times New Roman" w:hAnsi="Times New Roman" w:cs="Times New Roman"/>
        </w:rPr>
      </w:pPr>
      <w:r>
        <w:rPr>
          <w:rFonts w:cs="Times New Roman" w:ascii="Times New Roman" w:hAnsi="Times New Roman"/>
        </w:rPr>
        <w:t>Proposed Benchmark measurement and Methodology: NYMEX HH contract equivalents</w:t>
      </w:r>
    </w:p>
    <w:p>
      <w:pPr>
        <w:pStyle w:val="Normal"/>
        <w:numPr>
          <w:ilvl w:val="0"/>
          <w:numId w:val="7"/>
        </w:numPr>
        <w:jc w:val="both"/>
        <w:rPr>
          <w:rFonts w:ascii="Times New Roman" w:hAnsi="Times New Roman" w:cs="Times New Roman"/>
        </w:rPr>
      </w:pPr>
      <w:r>
        <w:rPr>
          <w:rFonts w:cs="Times New Roman" w:ascii="Times New Roman" w:hAnsi="Times New Roman"/>
        </w:rPr>
        <w:t>Proposed Net Open Position Limit: 18 Bcf (would allow for open position on six 138,000 m</w:t>
      </w:r>
      <w:r>
        <w:rPr>
          <w:rFonts w:cs="Times New Roman" w:ascii="Times New Roman" w:hAnsi="Times New Roman"/>
          <w:vertAlign w:val="superscript"/>
        </w:rPr>
        <w:t xml:space="preserve">3 </w:t>
      </w:r>
      <w:r>
        <w:rPr>
          <w:rFonts w:cs="Times New Roman" w:ascii="Times New Roman" w:hAnsi="Times New Roman"/>
        </w:rPr>
        <w:t>tanker sized cargoes).</w:t>
      </w:r>
    </w:p>
    <w:p>
      <w:pPr>
        <w:pStyle w:val="Normal"/>
        <w:numPr>
          <w:ilvl w:val="0"/>
          <w:numId w:val="7"/>
        </w:numPr>
        <w:jc w:val="both"/>
        <w:rPr>
          <w:rFonts w:ascii="Times New Roman" w:hAnsi="Times New Roman" w:cs="Times New Roman"/>
        </w:rPr>
      </w:pPr>
      <w:r>
        <w:rPr>
          <w:rFonts w:cs="Times New Roman" w:ascii="Times New Roman" w:hAnsi="Times New Roman"/>
        </w:rPr>
        <w:t>Proposed Maturity/Gap Limit: 21 Bcf (would allow for open position on seven 138,000 m</w:t>
      </w:r>
      <w:r>
        <w:rPr>
          <w:rFonts w:cs="Times New Roman" w:ascii="Times New Roman" w:hAnsi="Times New Roman"/>
          <w:vertAlign w:val="superscript"/>
        </w:rPr>
        <w:t>3</w:t>
      </w:r>
      <w:r>
        <w:rPr>
          <w:rFonts w:cs="Times New Roman" w:ascii="Times New Roman" w:hAnsi="Times New Roman"/>
        </w:rPr>
        <w:t xml:space="preserve"> tanker sized cargoes).</w:t>
      </w:r>
    </w:p>
    <w:p>
      <w:pPr>
        <w:pStyle w:val="Normal"/>
        <w:numPr>
          <w:ilvl w:val="0"/>
          <w:numId w:val="7"/>
        </w:numPr>
        <w:jc w:val="both"/>
        <w:rPr>
          <w:rFonts w:ascii="Times New Roman" w:hAnsi="Times New Roman" w:cs="Times New Roman"/>
        </w:rPr>
      </w:pPr>
      <w:r>
        <w:rPr>
          <w:rFonts w:cs="Times New Roman" w:ascii="Times New Roman" w:hAnsi="Times New Roman"/>
        </w:rPr>
        <w:t>Proposed VaR: Daily VaR of $5 million which is consistent with the position limits request stated above assuming normal volatility and prices for the domestic natural gas market.</w:t>
      </w:r>
    </w:p>
    <w:p>
      <w:pPr>
        <w:pStyle w:val="Normal"/>
        <w:numPr>
          <w:ilvl w:val="0"/>
          <w:numId w:val="7"/>
        </w:numPr>
        <w:jc w:val="both"/>
        <w:rPr>
          <w:rFonts w:ascii="Times New Roman" w:hAnsi="Times New Roman" w:cs="Times New Roman"/>
          <w:b/>
          <w:u w:val="single"/>
        </w:rPr>
      </w:pPr>
      <w:r>
        <w:rPr>
          <w:rFonts w:cs="Times New Roman" w:ascii="Times New Roman" w:hAnsi="Times New Roman"/>
        </w:rPr>
        <w:t>Effect on Portfolio Limits: $3.8 million increase in Natural Gas VaR</w:t>
      </w:r>
    </w:p>
    <w:p>
      <w:pPr>
        <w:pStyle w:val="Normal"/>
        <w:jc w:val="both"/>
        <w:rPr>
          <w:rFonts w:ascii="Times New Roman" w:hAnsi="Times New Roman" w:cs="Times New Roman"/>
          <w:b/>
          <w:u w:val="single"/>
        </w:rPr>
      </w:pPr>
      <w:r>
        <w:rPr>
          <w:rFonts w:cs="Times New Roman" w:ascii="Times New Roman" w:hAnsi="Times New Roman"/>
          <w:b/>
          <w:u w:val="single"/>
        </w:rPr>
      </w:r>
    </w:p>
    <w:p>
      <w:pPr>
        <w:pStyle w:val="BodyText"/>
        <w:rPr/>
      </w:pPr>
      <w:r>
        <w:rPr>
          <w:b/>
          <w:sz w:val="24"/>
          <w:u w:val="single"/>
        </w:rPr>
        <w:t xml:space="preserve">Historical Results  </w:t>
      </w:r>
      <w:r>
        <w:rPr>
          <w:sz w:val="24"/>
        </w:rPr>
        <w:t>- N/A</w:t>
      </w:r>
    </w:p>
    <w:p>
      <w:pPr>
        <w:pStyle w:val="BodyText"/>
        <w:rPr>
          <w:sz w:val="24"/>
        </w:rPr>
      </w:pPr>
      <w:r>
        <w:rPr>
          <w:sz w:val="24"/>
        </w:rPr>
      </w:r>
    </w:p>
    <w:p>
      <w:pPr>
        <w:pStyle w:val="Normal"/>
        <w:tabs>
          <w:tab w:val="left" w:pos="540" w:leader="none"/>
          <w:tab w:val="left" w:pos="2520" w:leader="none"/>
        </w:tabs>
        <w:ind w:hanging="2160" w:start="2160" w:end="0"/>
        <w:jc w:val="both"/>
        <w:rPr>
          <w:rFonts w:ascii="Times New Roman" w:hAnsi="Times New Roman" w:cs="Times New Roman"/>
        </w:rPr>
      </w:pPr>
      <w:r>
        <w:rPr>
          <w:rFonts w:cs="Times New Roman" w:ascii="Times New Roman" w:hAnsi="Times New Roman"/>
          <w:b/>
          <w:u w:val="single"/>
        </w:rPr>
        <w:t>Risk Assessment</w:t>
      </w:r>
    </w:p>
    <w:p>
      <w:pPr>
        <w:pStyle w:val="BodyText"/>
        <w:jc w:val="start"/>
        <w:rPr>
          <w:rFonts w:ascii="Times New Roman" w:hAnsi="Times New Roman" w:cs="Times New Roman"/>
          <w:sz w:val="24"/>
        </w:rPr>
      </w:pPr>
      <w:r>
        <w:rPr>
          <w:rFonts w:cs="Times New Roman"/>
          <w:sz w:val="24"/>
        </w:rPr>
      </w:r>
    </w:p>
    <w:p>
      <w:pPr>
        <w:pStyle w:val="BodyText"/>
        <w:rPr>
          <w:sz w:val="24"/>
        </w:rPr>
      </w:pPr>
      <w:r>
        <w:rPr>
          <w:sz w:val="24"/>
        </w:rPr>
        <w:t>Industry consensus is that demand is expected to double to at least 200m tonnes a year by 2010. In addition the structure of the LNG business is expected to move away from the traditional supply driven model towards one that is more flexible and market responsive. However in such a capital intensive industry the extent of this change in structure is unknown.</w:t>
      </w:r>
    </w:p>
    <w:p>
      <w:pPr>
        <w:pStyle w:val="BodyText"/>
        <w:rPr>
          <w:sz w:val="24"/>
        </w:rPr>
      </w:pPr>
      <w:r>
        <w:rPr>
          <w:sz w:val="24"/>
        </w:rPr>
      </w:r>
    </w:p>
    <w:p>
      <w:pPr>
        <w:pStyle w:val="BodyText"/>
        <w:rPr>
          <w:sz w:val="24"/>
        </w:rPr>
      </w:pPr>
      <w:r>
        <w:rPr>
          <w:sz w:val="24"/>
        </w:rPr>
        <w:t>The LNG industry has entered into its second stage of expansion with a large number of LNG projects being announced. Much of this increased supply is not tied to the traditional long term take or pay contracts. This is on top of increased capacity from existing projects due to over engineering and debottlenecking. This short term over supply will help the market restructure more rapidly towards a more flexible ‘spot market’.</w:t>
      </w:r>
    </w:p>
    <w:p>
      <w:pPr>
        <w:pStyle w:val="BodyText"/>
        <w:rPr>
          <w:sz w:val="24"/>
        </w:rPr>
      </w:pPr>
      <w:r>
        <w:rPr>
          <w:sz w:val="24"/>
        </w:rPr>
      </w:r>
    </w:p>
    <w:p>
      <w:pPr>
        <w:pStyle w:val="BodyText"/>
        <w:rPr>
          <w:sz w:val="24"/>
        </w:rPr>
      </w:pPr>
      <w:r>
        <w:rPr>
          <w:sz w:val="24"/>
        </w:rPr>
        <w:t>The LNG industry like the oil industry can be divided into regional hubs, in the case of LNG the Atlantic Basin and Asia Pacific.</w:t>
      </w:r>
    </w:p>
    <w:p>
      <w:pPr>
        <w:pStyle w:val="BodyText"/>
        <w:rPr>
          <w:sz w:val="24"/>
        </w:rPr>
      </w:pPr>
      <w:r>
        <w:rPr>
          <w:sz w:val="24"/>
        </w:rPr>
      </w:r>
    </w:p>
    <w:p>
      <w:pPr>
        <w:pStyle w:val="BodyText"/>
        <w:rPr/>
      </w:pPr>
      <w:r>
        <w:rPr>
          <w:sz w:val="24"/>
        </w:rPr>
        <w:t>In the Atlantic Basin market, seven  European countries are, or will be LNG importers. Three of them are mature gas markets (France, Belgium and Italy) and four are developing markets (Spain Turkey, Greece and Portugal). Due to geographic considerations Spain and Portugal mainly import by pipeline from Algeria, while Turkey and Greece are supplied by Russia. Forecast growth in these countries and</w:t>
      </w:r>
      <w:r>
        <w:rPr>
          <w:sz w:val="24"/>
          <w:lang w:val="en-GB"/>
        </w:rPr>
        <w:t xml:space="preserve"> liberalisation</w:t>
      </w:r>
      <w:r>
        <w:rPr>
          <w:sz w:val="24"/>
        </w:rPr>
        <w:t xml:space="preserve"> of European Gas markets should increase demand and optionality. US appetite for gas will increase re-gasification capacity to 16 MM tonnes / year by 2002 which will add to the Atlantic Basin demand. Much of this demand depends on the US gas price, particularly if it is over $4 MMBTU.Although there is a potential shortage of LNG in the Atlantic Basin, that could change if the scheduled increase in supply from Trinidad and Nigeria is followed by the talked about projects in Egypt and Angola.</w:t>
      </w:r>
    </w:p>
    <w:p>
      <w:pPr>
        <w:pStyle w:val="BodyText"/>
        <w:rPr>
          <w:sz w:val="24"/>
        </w:rPr>
      </w:pPr>
      <w:r>
        <w:rPr>
          <w:sz w:val="24"/>
        </w:rPr>
      </w:r>
    </w:p>
    <w:p>
      <w:pPr>
        <w:pStyle w:val="BodyText"/>
        <w:rPr>
          <w:sz w:val="24"/>
        </w:rPr>
      </w:pPr>
      <w:r>
        <w:rPr>
          <w:sz w:val="24"/>
        </w:rPr>
        <w:t>The Asia Pacific market has been in surplus since the Asian Crisis of 1997, when many LNG buyers could not pay for the long-term supply contracts. This demand has improved largely due to the rapid recovery of the Asian economies, however excess supply is expected to continue particularly due to expansions in Malaysia’s TIGA project and expansion in Australia’s North West Shelf plant and a number of other upgrades in the Middle East are at the proposal stage.  Two unknown factors will determine the Asia Pacific market. The first will be the Asian economies continue to grow? And secondly what effect new LNG markets such as India and China will have?</w:t>
      </w:r>
    </w:p>
    <w:p>
      <w:pPr>
        <w:pStyle w:val="BodyText"/>
        <w:rPr>
          <w:sz w:val="24"/>
        </w:rPr>
      </w:pPr>
      <w:r>
        <w:rPr>
          <w:sz w:val="24"/>
        </w:rPr>
      </w:r>
    </w:p>
    <w:p>
      <w:pPr>
        <w:pStyle w:val="BodyText"/>
        <w:rPr>
          <w:sz w:val="24"/>
        </w:rPr>
      </w:pPr>
      <w:r>
        <w:rPr>
          <w:sz w:val="24"/>
        </w:rPr>
        <w:t>At present market liquidity for LNG itself is poor, however pricing terms can be divided into three distinct markets. The first is the US gas price as set by Nymex. In Europe LNG is linked to gas oil and heating oil. Finally in Asia Pacific LNG is linked to JCC prices (Japanese Crude Cocktail).  These independent geographic pricing mechanisms will add basis risk to the LNG book in terms of prices and volatility.</w:t>
      </w:r>
    </w:p>
    <w:p>
      <w:pPr>
        <w:pStyle w:val="BodyText"/>
        <w:rPr>
          <w:sz w:val="24"/>
        </w:rPr>
      </w:pPr>
      <w:r>
        <w:rPr>
          <w:sz w:val="24"/>
        </w:rPr>
      </w:r>
    </w:p>
    <w:p>
      <w:pPr>
        <w:pStyle w:val="BodyText"/>
        <w:rPr>
          <w:sz w:val="24"/>
        </w:rPr>
      </w:pPr>
      <w:r>
        <w:rPr>
          <w:sz w:val="24"/>
        </w:rPr>
        <w:t>Planned and proposed increases in supply globally will mean that shipping and receiving terminal capacity are set to become the next bottleneck in the LNG well-head to burn-tip chain. Risks here will be difficult to quantify on a MTM basis until the market matures. A netback pricing method may be applicable.</w:t>
      </w:r>
    </w:p>
    <w:p>
      <w:pPr>
        <w:pStyle w:val="BodyText"/>
        <w:rPr>
          <w:sz w:val="24"/>
        </w:rPr>
      </w:pPr>
      <w:r>
        <w:rPr>
          <w:sz w:val="24"/>
        </w:rPr>
      </w:r>
    </w:p>
    <w:p>
      <w:pPr>
        <w:pStyle w:val="BodyText"/>
        <w:rPr>
          <w:sz w:val="24"/>
        </w:rPr>
      </w:pPr>
      <w:r>
        <w:rPr>
          <w:sz w:val="24"/>
        </w:rPr>
        <w:t xml:space="preserve">Market consensus is that the LNG shipping sector is moving into it’s third stage of development. In the past LNG tankers had been built to exclusively service one producer and possibly two consumers. LNG Tankers are largely built in Asia and owned and operated by shipping companies under long-term agreements with the LNG producers. The Asian crisis meant that shipyard order books were low as were costs, so new builds were sold at a discount. Simultaneously traditional LNG producing companies moved into LNG ownership and operation. This allowed producers with a number of production and delivery sites to take advantage of the seasonal swings in demand and allowed more flexibility. The third development of the market has seen producing companies speculatively (not assigned to a particular project) purchasing LNG tankers. LNG demand has degrees of seasonality, which would mutually benefit from an increase in LNG tanker flexibility. </w:t>
      </w:r>
    </w:p>
    <w:p>
      <w:pPr>
        <w:pStyle w:val="BodyText"/>
        <w:rPr>
          <w:sz w:val="24"/>
        </w:rPr>
      </w:pPr>
      <w:r>
        <w:rPr>
          <w:sz w:val="24"/>
        </w:rPr>
      </w:r>
    </w:p>
    <w:p>
      <w:pPr>
        <w:pStyle w:val="BodyText"/>
        <w:rPr>
          <w:sz w:val="24"/>
        </w:rPr>
      </w:pPr>
      <w:r>
        <w:rPr>
          <w:sz w:val="24"/>
        </w:rPr>
        <w:t>Market studies have forecast an increase in LNG tanker demand in Asia Pacific and a more fragmented and diverse market in the Atlantic Basin. In 1998 the Global LNG fleet totaled 111 vessels in 1999, 118 vessels. Current LNG Tanker supply is tight, however this is due to ease by 2004. As of Sep 2000 there were 126 vessels, however another 24 are on order books. Most of which will be launched before 2003. This is equivalent to a 23% increase in LNG transport capacity. The Excalibur is not available until 2003. In addition some LNG tankers are coming to the end of their long term agreement and will most likely join the spot market for LNG vessels at a discounted price as they would have repaid the initial investment.</w:t>
      </w:r>
    </w:p>
    <w:p>
      <w:pPr>
        <w:pStyle w:val="BodyText"/>
        <w:rPr>
          <w:sz w:val="24"/>
        </w:rPr>
      </w:pPr>
      <w:r>
        <w:rPr>
          <w:sz w:val="24"/>
        </w:rPr>
      </w:r>
    </w:p>
    <w:p>
      <w:pPr>
        <w:pStyle w:val="BodyText"/>
        <w:rPr>
          <w:sz w:val="24"/>
        </w:rPr>
      </w:pPr>
      <w:r>
        <w:rPr>
          <w:sz w:val="24"/>
        </w:rPr>
        <w:t>Market risk is difficult to quantify in such an illiquid opaque market with only a small number of market participants, but factors which will affected prices are gas / LNG demand as this is the cargo and also the fuel, seasonality will affect demand, departure and arrival locations and specific details of the vessel i.e. tanker age, size, fuel consumption, storage technology.</w:t>
      </w:r>
    </w:p>
    <w:p>
      <w:pPr>
        <w:pStyle w:val="BodyText"/>
        <w:rPr>
          <w:sz w:val="24"/>
        </w:rPr>
      </w:pPr>
      <w:r>
        <w:rPr>
          <w:sz w:val="24"/>
        </w:rPr>
      </w:r>
    </w:p>
    <w:p>
      <w:pPr>
        <w:pStyle w:val="BodyText"/>
        <w:rPr>
          <w:sz w:val="24"/>
        </w:rPr>
      </w:pPr>
      <w:r>
        <w:rPr>
          <w:sz w:val="24"/>
        </w:rPr>
        <w:t>If market forecasts are accurate by 2005, LNG terminal capacity will be the bottleneck in the wellhead to burner tip value chain. New receiving terminals are due in a number of locations. China and India have a number of plans as various stages of other terminals are planned in Turkey, Taiwan and Korea. Market risk in these terminals is highly dependant on the Specific gas market and the local gas price.</w:t>
      </w:r>
    </w:p>
    <w:p>
      <w:pPr>
        <w:pStyle w:val="BodyText"/>
        <w:rPr>
          <w:sz w:val="24"/>
        </w:rPr>
      </w:pPr>
      <w:r>
        <w:rPr>
          <w:sz w:val="24"/>
        </w:rPr>
        <w:t xml:space="preserve"> </w:t>
      </w:r>
    </w:p>
    <w:p>
      <w:pPr>
        <w:pStyle w:val="BodyText"/>
        <w:jc w:val="start"/>
        <w:rPr/>
      </w:pPr>
      <w:r>
        <w:rPr>
          <w:sz w:val="24"/>
        </w:rPr>
        <w:t>For a realistic maximum VaR figure, RAC has taken the following situation; maximum net open position of six 138,000 m</w:t>
      </w:r>
      <w:r>
        <w:rPr>
          <w:sz w:val="24"/>
          <w:vertAlign w:val="superscript"/>
        </w:rPr>
        <w:t>3</w:t>
      </w:r>
      <w:r>
        <w:rPr>
          <w:sz w:val="24"/>
        </w:rPr>
        <w:t xml:space="preserve"> tanker sized cargoes, one each month for 6 months priced at today’s Nymex Henry’s Hub price of $9.74 MMBTU and current volatility, to give a one day VaR with 95% confidence value. As LNG is essentially natural gas, the risk is small that this position could not be liquidated in 1 day.  The VaR value for this scenario is $12 MM</w:t>
      </w:r>
    </w:p>
    <w:p>
      <w:pPr>
        <w:pStyle w:val="Normal"/>
        <w:tabs>
          <w:tab w:val="left" w:pos="540" w:leader="none"/>
          <w:tab w:val="left" w:pos="2520" w:leader="none"/>
        </w:tabs>
        <w:ind w:hanging="2160" w:start="2160" w:end="0"/>
        <w:jc w:val="both"/>
        <w:rPr>
          <w:rFonts w:ascii="Times New Roman" w:hAnsi="Times New Roman" w:cs="Times New Roman"/>
        </w:rPr>
      </w:pPr>
      <w:r>
        <w:rPr>
          <w:rFonts w:cs="Times New Roman" w:ascii="Times New Roman" w:hAnsi="Times New Roman"/>
          <w:b/>
          <w:u w:val="single"/>
        </w:rPr>
        <w:t>Approvals</w:t>
      </w:r>
    </w:p>
    <w:p>
      <w:pPr>
        <w:pStyle w:val="Normal"/>
        <w:tabs>
          <w:tab w:val="left" w:pos="540" w:leader="none"/>
          <w:tab w:val="left" w:pos="2520" w:leader="none"/>
        </w:tabs>
        <w:ind w:hanging="2160" w:start="2160" w:end="0"/>
        <w:jc w:val="both"/>
        <w:rPr>
          <w:rFonts w:ascii="Times New Roman" w:hAnsi="Times New Roman" w:cs="Times New Roman"/>
        </w:rPr>
      </w:pPr>
      <w:r>
        <w:rPr>
          <w:rFonts w:cs="Times New Roman" w:ascii="Times New Roman" w:hAnsi="Times New Roman"/>
        </w:rPr>
      </w:r>
    </w:p>
    <w:p>
      <w:pPr>
        <w:pStyle w:val="BodyText"/>
        <w:rPr/>
      </w:pPr>
      <w:r>
        <w:rPr>
          <w:sz w:val="24"/>
        </w:rPr>
        <w:t>The aforementioned limits are effective on February 15, 2001 subject to completion of the items listed in the</w:t>
      </w:r>
      <w:r>
        <w:rPr>
          <w:b/>
          <w:sz w:val="24"/>
        </w:rPr>
        <w:t xml:space="preserve"> Conditions Precedent</w:t>
      </w:r>
      <w:r>
        <w:rPr>
          <w:sz w:val="24"/>
        </w:rPr>
        <w:t xml:space="preserve"> section, and shall remain in place unless amended by the signatories.  </w:t>
      </w:r>
    </w:p>
    <w:p>
      <w:pPr>
        <w:pStyle w:val="BodyText"/>
        <w:rPr>
          <w:sz w:val="24"/>
        </w:rPr>
      </w:pPr>
      <w:r>
        <w:rPr>
          <w:sz w:val="24"/>
        </w:rPr>
      </w:r>
    </w:p>
    <w:p>
      <w:pPr>
        <w:pStyle w:val="BodyText"/>
        <w:rPr/>
      </w:pPr>
      <w:r>
        <w:rPr>
          <w:sz w:val="24"/>
        </w:rPr>
        <w:t xml:space="preserve">Signature below signifies this function will have the infrastructure in place to handle this new business, unless noted above in the </w:t>
      </w:r>
      <w:r>
        <w:rPr>
          <w:b/>
          <w:sz w:val="24"/>
        </w:rPr>
        <w:t>Conditions Precedent</w:t>
      </w:r>
      <w:r>
        <w:rPr>
          <w:sz w:val="24"/>
        </w:rPr>
        <w:t xml:space="preserve"> section.</w:t>
      </w:r>
    </w:p>
    <w:p>
      <w:pPr>
        <w:pStyle w:val="BodyText"/>
        <w:rPr/>
      </w:pPr>
      <w:r>
        <w:rPr>
          <w:sz w:val="24"/>
        </w:rPr>
        <w:tab/>
        <w:tab/>
        <w:tab/>
        <w:tab/>
        <w:tab/>
        <w:tab/>
        <w:t xml:space="preserve">          </w:t>
      </w:r>
      <w:r>
        <w:rPr>
          <w:b/>
          <w:sz w:val="24"/>
        </w:rPr>
        <w:t>Approved</w:t>
        <w:tab/>
        <w:tab/>
        <w:tab/>
        <w:tab/>
        <w:t>Date</w:t>
      </w:r>
    </w:p>
    <w:p>
      <w:pPr>
        <w:pStyle w:val="BodyText"/>
        <w:rPr>
          <w:b/>
          <w:sz w:val="24"/>
        </w:rPr>
      </w:pPr>
      <w:r>
        <w:rPr>
          <w:b/>
          <w:sz w:val="24"/>
        </w:rPr>
      </w:r>
    </w:p>
    <w:p>
      <w:pPr>
        <w:pStyle w:val="Normal"/>
        <w:tabs>
          <w:tab w:val="clear" w:pos="540"/>
          <w:tab w:val="left" w:pos="0" w:leader="none"/>
          <w:tab w:val="left" w:pos="3780" w:leader="none"/>
          <w:tab w:val="left" w:pos="4320" w:leader="none"/>
        </w:tabs>
        <w:jc w:val="both"/>
        <w:rPr>
          <w:rFonts w:ascii="Times New Roman" w:hAnsi="Times New Roman" w:cs="Times New Roman"/>
        </w:rPr>
      </w:pPr>
      <w:r>
        <w:rPr>
          <w:rFonts w:cs="Times New Roman" w:ascii="Times New Roman" w:hAnsi="Times New Roman"/>
        </w:rPr>
        <w:t>Business Unit Head Trader</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u w:val="single"/>
        </w:rPr>
      </w:pPr>
      <w:r>
        <w:rPr>
          <w:rFonts w:cs="Times New Roman" w:ascii="Times New Roman" w:hAnsi="Times New Roman"/>
        </w:rPr>
        <w:t xml:space="preserve">   </w:t>
      </w:r>
    </w:p>
    <w:p>
      <w:pPr>
        <w:pStyle w:val="Normal"/>
        <w:tabs>
          <w:tab w:val="clear" w:pos="540"/>
          <w:tab w:val="left" w:pos="0" w:leader="none"/>
          <w:tab w:val="left" w:pos="3780" w:leader="none"/>
          <w:tab w:val="left" w:pos="4320" w:leader="none"/>
        </w:tabs>
        <w:jc w:val="both"/>
        <w:rPr>
          <w:rFonts w:ascii="Times New Roman" w:hAnsi="Times New Roman" w:cs="Times New Roman"/>
        </w:rPr>
      </w:pPr>
      <w:r>
        <w:rPr>
          <w:rFonts w:cs="Times New Roman" w:ascii="Times New Roman" w:hAnsi="Times New Roman"/>
        </w:rPr>
        <w:t xml:space="preserve">Global Head Trader </w:t>
        <w:tab/>
        <w:t>_______________________________               _____________</w:t>
      </w:r>
    </w:p>
    <w:p>
      <w:pPr>
        <w:pStyle w:val="Normal"/>
        <w:tabs>
          <w:tab w:val="clear" w:pos="540"/>
          <w:tab w:val="left" w:pos="0" w:leader="none"/>
          <w:tab w:val="left" w:pos="3780" w:leader="none"/>
          <w:tab w:val="left" w:pos="4320"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(Jeff Shankman)</w:t>
      </w:r>
    </w:p>
    <w:p>
      <w:pPr>
        <w:pStyle w:val="Normal"/>
        <w:tabs>
          <w:tab w:val="clear" w:pos="540"/>
          <w:tab w:val="left" w:pos="0" w:leader="none"/>
          <w:tab w:val="left" w:pos="378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540"/>
          <w:tab w:val="left" w:pos="0" w:leader="none"/>
          <w:tab w:val="left" w:pos="3780" w:leader="none"/>
          <w:tab w:val="left" w:pos="4320" w:leader="none"/>
        </w:tabs>
        <w:jc w:val="both"/>
        <w:rPr>
          <w:rFonts w:ascii="Times New Roman" w:hAnsi="Times New Roman" w:cs="Times New Roman"/>
        </w:rPr>
      </w:pPr>
      <w:r>
        <w:rPr>
          <w:rFonts w:cs="Times New Roman" w:ascii="Times New Roman" w:hAnsi="Times New Roman"/>
        </w:rPr>
        <w:t>CEO – Business Unit</w:t>
        <w:tab/>
        <w:t>_______________________________               _____________</w:t>
      </w:r>
    </w:p>
    <w:p>
      <w:pPr>
        <w:pStyle w:val="Normal"/>
        <w:tabs>
          <w:tab w:val="clear" w:pos="540"/>
          <w:tab w:val="left" w:pos="0" w:leader="none"/>
          <w:tab w:val="left" w:pos="3780" w:leader="none"/>
          <w:tab w:val="left" w:pos="4320" w:leader="none"/>
        </w:tabs>
        <w:jc w:val="both"/>
        <w:rPr/>
      </w:pPr>
      <w:r>
        <w:rPr>
          <w:rFonts w:cs="Times New Roman" w:ascii="Times New Roman" w:hAnsi="Times New Roman"/>
        </w:rPr>
        <w:t xml:space="preserve">    </w:t>
      </w:r>
      <w:r>
        <w:rPr>
          <w:rFonts w:cs="Times New Roman" w:ascii="Times New Roman" w:hAnsi="Times New Roman"/>
        </w:rPr>
        <w:t>(Mike M</w:t>
      </w:r>
      <w:r>
        <w:rPr>
          <w:rFonts w:cs="Times New Roman" w:ascii="Times New Roman" w:hAnsi="Times New Roman"/>
          <w:vertAlign w:val="superscript"/>
        </w:rPr>
        <w:t>c</w:t>
      </w:r>
      <w:r>
        <w:rPr>
          <w:rFonts w:cs="Times New Roman" w:ascii="Times New Roman" w:hAnsi="Times New Roman"/>
        </w:rPr>
        <w:t>Connell)</w:t>
      </w:r>
    </w:p>
    <w:p>
      <w:pPr>
        <w:pStyle w:val="Normal"/>
        <w:tabs>
          <w:tab w:val="clear" w:pos="540"/>
          <w:tab w:val="left" w:pos="0" w:leader="none"/>
          <w:tab w:val="left" w:pos="3780" w:leader="none"/>
          <w:tab w:val="left" w:pos="4320" w:leader="none"/>
        </w:tabs>
        <w:jc w:val="both"/>
        <w:rPr>
          <w:rFonts w:ascii="Times New Roman" w:hAnsi="Times New Roman" w:cs="Times New Roman"/>
          <w:u w:val="single"/>
        </w:rPr>
      </w:pPr>
      <w:r>
        <w:rPr>
          <w:rFonts w:cs="Times New Roman" w:ascii="Times New Roman" w:hAnsi="Times New Roman"/>
        </w:rPr>
        <w:tab/>
        <w:tab/>
        <w:tab/>
        <w:tab/>
        <w:tab/>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Market Risk Management</w:t>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Research</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Legal</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s>
        <w:ind w:hanging="2160" w:start="2160" w:end="0"/>
        <w:jc w:val="both"/>
        <w:rPr>
          <w:rFonts w:ascii="Times New Roman" w:hAnsi="Times New Roman" w:cs="Times New Roman"/>
        </w:rPr>
      </w:pPr>
      <w:r>
        <w:rPr>
          <w:rFonts w:cs="Times New Roman" w:ascii="Times New Roman" w:hAnsi="Times New Roman"/>
        </w:rPr>
        <w:t>Credit</w:t>
        <w:tab/>
        <w:tab/>
        <w:t>_______________________________               _____________</w:t>
      </w:r>
    </w:p>
    <w:p>
      <w:pPr>
        <w:pStyle w:val="Normal"/>
        <w:tabs>
          <w:tab w:val="left" w:pos="540" w:leader="none"/>
          <w:tab w:val="left" w:pos="378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Tax</w:t>
        <w:tab/>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Accounting</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Regulatory</w:t>
        <w:tab/>
        <w:tab/>
        <w:t>_______________________________               _____________</w:t>
      </w:r>
    </w:p>
    <w:p>
      <w:pPr>
        <w:pStyle w:val="Normal"/>
        <w:tabs>
          <w:tab w:val="left" w:pos="540" w:leader="none"/>
          <w:tab w:val="left" w:pos="324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Rick Buy, CRO</w:t>
        <w:tab/>
        <w:tab/>
        <w:t>_______________________________               _____________</w:t>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540" w:leader="none"/>
          <w:tab w:val="left" w:pos="3780" w:leader="none"/>
          <w:tab w:val="left" w:pos="4320" w:leader="none"/>
        </w:tabs>
        <w:ind w:hanging="2160" w:start="2160" w:end="0"/>
        <w:jc w:val="both"/>
        <w:rPr>
          <w:rFonts w:ascii="Times New Roman" w:hAnsi="Times New Roman" w:cs="Times New Roman"/>
        </w:rPr>
      </w:pPr>
      <w:r>
        <w:rPr>
          <w:rFonts w:cs="Times New Roman" w:ascii="Times New Roman" w:hAnsi="Times New Roman"/>
        </w:rPr>
        <w:t>Jeff Skilling, President/COO</w:t>
        <w:tab/>
        <w:t>_______________________________               _____________</w:t>
      </w:r>
    </w:p>
    <w:sectPr>
      <w:headerReference w:type="default" r:id="rId2"/>
      <w:headerReference w:type="first" r:id="rId3"/>
      <w:footerReference w:type="default" r:id="rId4"/>
      <w:footerReference w:type="first" r:id="rId5"/>
      <w:type w:val="nextPage"/>
      <w:pgSz w:w="12240" w:h="15840"/>
      <w:pgMar w:left="720" w:right="720" w:gutter="0" w:header="720" w:top="776" w:footer="36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object w:dxaOrig="1397" w:dyaOrig="138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21.6pt;margin-top:-735.65pt;width:69.85pt;height:69.1pt;mso-wrap-distance-left:9.05pt;mso-wrap-distance-right:9.05pt;mso-position-horizontal-relative:text;mso-position-vertical-relative:text" filled="f" o:ole="">
          <v:imagedata r:id="rId2" o:title=""/>
        </v:shape>
        <o:OLEObject Type="Embed" ProgID="" ShapeID="ole_rId1" DrawAspect="Content" ObjectID="_353774666" r:id="rId1"/>
      </w:object>
    </w: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ab/>
      <w:t xml:space="preserve">             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BodyTextIndent3"/>
      <w:jc w:val="end"/>
      <w:rPr/>
    </w:pPr>
    <w:r>
      <w:rPr/>
      <w:t>Proprietary and Confidential</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2">
              <wp:simplePos x="0" y="0"/>
              <wp:positionH relativeFrom="page">
                <wp:posOffset>2615565</wp:posOffset>
              </wp:positionH>
              <wp:positionV relativeFrom="paragraph">
                <wp:posOffset>-189865</wp:posOffset>
              </wp:positionV>
              <wp:extent cx="3877310" cy="93726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14.95pt;mso-position-vertical-relative:text;margin-left:205.95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r>
                      <w:rPr>
                        <w:b/>
                        <w:sz w:val="32"/>
                      </w:rPr>
                      <w:t>Proprietary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i/>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left" w:pos="540" w:leader="none"/>
        <w:tab w:val="left" w:pos="2520" w:leader="none"/>
      </w:tabs>
      <w:ind w:hanging="2160" w:start="2160" w:end="0"/>
      <w:jc w:val="both"/>
      <w:outlineLvl w:val="4"/>
    </w:pPr>
    <w:rPr>
      <w:rFonts w:ascii="Times New Roman" w:hAnsi="Times New Roman" w:cs="Times New Roman"/>
      <w:b/>
      <w:sz w:val="22"/>
    </w:rPr>
  </w:style>
  <w:style w:type="paragraph" w:styleId="Heading6">
    <w:name w:val="heading 6"/>
    <w:basedOn w:val="Normal"/>
    <w:next w:val="Normal"/>
    <w:qFormat/>
    <w:pPr>
      <w:keepNext w:val="true"/>
      <w:numPr>
        <w:ilvl w:val="5"/>
        <w:numId w:val="1"/>
      </w:numPr>
      <w:tabs>
        <w:tab w:val="left" w:pos="540" w:leader="none"/>
        <w:tab w:val="left" w:pos="4320" w:leader="none"/>
      </w:tabs>
      <w:ind w:hanging="2160" w:start="2160" w:end="0"/>
      <w:jc w:val="center"/>
      <w:outlineLvl w:val="5"/>
    </w:pPr>
    <w:rPr>
      <w:rFonts w:ascii="Times New Roman" w:hAnsi="Times New Roman" w:cs="Times New Roman"/>
      <w:b/>
      <w:sz w:val="22"/>
      <w:u w:val="single"/>
    </w:rPr>
  </w:style>
  <w:style w:type="paragraph" w:styleId="Heading7">
    <w:name w:val="heading 7"/>
    <w:basedOn w:val="Normal"/>
    <w:next w:val="Normal"/>
    <w:qFormat/>
    <w:pPr>
      <w:keepNext w:val="true"/>
      <w:numPr>
        <w:ilvl w:val="6"/>
        <w:numId w:val="1"/>
      </w:numPr>
      <w:jc w:val="both"/>
      <w:outlineLvl w:val="6"/>
    </w:pPr>
    <w:rPr>
      <w:rFonts w:ascii="Times New Roman" w:hAnsi="Times New Roman" w:cs="Times New Roman"/>
      <w:b/>
      <w:sz w:val="22"/>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 w:val="left" w:pos="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hanging="720" w:start="720" w:end="0"/>
    </w:pPr>
    <w:rPr>
      <w:rFonts w:ascii="Times New Roman" w:hAnsi="Times New Roman" w:cs="Times New Roman"/>
      <w:sz w:val="20"/>
    </w:rPr>
  </w:style>
  <w:style w:type="paragraph" w:styleId="BodyTextIndent2">
    <w:name w:val="Body Text Indent 2"/>
    <w:basedOn w:val="Normal"/>
    <w:qFormat/>
    <w:pPr>
      <w:ind w:hanging="0" w:start="720" w:end="0"/>
    </w:pPr>
    <w:rPr>
      <w:sz w:val="20"/>
    </w:rPr>
  </w:style>
  <w:style w:type="paragraph" w:styleId="BodyTextIndent3">
    <w:name w:val="Body Text Indent 3"/>
    <w:basedOn w:val="Normal"/>
    <w:qFormat/>
    <w:pPr>
      <w:ind w:hanging="0" w:start="3600" w:end="0"/>
      <w:jc w:val="center"/>
    </w:pPr>
    <w:rPr>
      <w:b/>
      <w:color w:val="FF0000"/>
      <w:sz w:val="20"/>
    </w:rPr>
  </w:style>
  <w:style w:type="paragraph" w:styleId="BodyText2">
    <w:name w:val="Body Text 2"/>
    <w:basedOn w:val="Normal"/>
    <w:qFormat/>
    <w:pPr>
      <w:jc w:val="both"/>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2001-01-10T19:06:00Z</dcterms:created>
  <dc:creator>Jeff Ford</dc:creator>
  <dc:description/>
  <dc:language>en-CA</dc:language>
  <cp:lastModifiedBy>egroves</cp:lastModifiedBy>
  <cp:lastPrinted>2001-01-10T15:37:00Z</cp:lastPrinted>
  <dcterms:modified xsi:type="dcterms:W3CDTF">2001-01-10T19:10:00Z</dcterms:modified>
  <cp:revision>3</cp:revision>
  <dc:subject/>
  <dc:title>Eron Capital &amp; Trade Resources Memo</dc:title>
</cp:coreProperties>
</file>