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rPr>
          <w:rFonts w:ascii="Times New Roman" w:hAnsi="Times New Roman" w:cs="Times New Roman"/>
        </w:rPr>
      </w:pPr>
      <w:r>
        <w:rPr>
          <w:rFonts w:cs="Times New Roman" w:ascii="Times New Roman" w:hAnsi="Times New Roman"/>
        </w:rPr>
        <w:t>Fuel Price Risk Mitigation for Dabhol Power Company</w:t>
      </w:r>
    </w:p>
    <w:p>
      <w:pPr>
        <w:pStyle w:val="Heading2"/>
        <w:ind w:hanging="0" w:start="0"/>
        <w:rPr>
          <w:rFonts w:ascii="Times New Roman" w:hAnsi="Times New Roman" w:cs="Times New Roman"/>
        </w:rPr>
      </w:pPr>
      <w:r>
        <w:rPr>
          <w:rFonts w:cs="Times New Roman" w:ascii="Times New Roman" w:hAnsi="Times New Roman"/>
        </w:rPr>
        <w:t xml:space="preserve">Background: </w:t>
      </w:r>
    </w:p>
    <w:p>
      <w:pPr>
        <w:pStyle w:val="Normal"/>
        <w:jc w:val="both"/>
        <w:rPr>
          <w:sz w:val="22"/>
        </w:rPr>
      </w:pPr>
      <w:r>
        <w:rPr>
          <w:sz w:val="22"/>
        </w:rPr>
        <w:t xml:space="preserve">The Dabhol Power Project entails a 2184 MW power plant (Phase I – 740 MW, Phase II – 1444 MW) and an LNG Facility. Dabhol Power Company (DPC) has a 20 Year Power purchase Agreement with the state owned utility – Maharashtra State Electricity Board. </w:t>
      </w:r>
    </w:p>
    <w:p>
      <w:pPr>
        <w:pStyle w:val="Normal"/>
        <w:jc w:val="both"/>
        <w:rPr>
          <w:sz w:val="22"/>
        </w:rPr>
      </w:pPr>
      <w:r>
        <w:rPr>
          <w:sz w:val="22"/>
        </w:rPr>
      </w:r>
    </w:p>
    <w:p>
      <w:pPr>
        <w:pStyle w:val="Normal"/>
        <w:jc w:val="both"/>
        <w:rPr>
          <w:sz w:val="22"/>
        </w:rPr>
      </w:pPr>
      <w:r>
        <w:rPr>
          <w:sz w:val="22"/>
        </w:rPr>
        <w:t>Phase I of the project was commissioned in May 1999 and uses Naphtha as its primary fuel. The Power Purchaser (MSEB) has the option in Phase I to regulate dispatch from the plant from 0 to 100% when the plant is declared available. This coupled with current regulatory hurdles makes it difficult for DPC to hedge today.</w:t>
      </w:r>
    </w:p>
    <w:p>
      <w:pPr>
        <w:pStyle w:val="Normal"/>
        <w:jc w:val="both"/>
        <w:rPr>
          <w:sz w:val="22"/>
        </w:rPr>
      </w:pPr>
      <w:r>
        <w:rPr>
          <w:sz w:val="22"/>
        </w:rPr>
      </w:r>
    </w:p>
    <w:p>
      <w:pPr>
        <w:pStyle w:val="Normal"/>
        <w:jc w:val="both"/>
        <w:rPr>
          <w:sz w:val="22"/>
        </w:rPr>
      </w:pPr>
      <w:r>
        <w:rPr>
          <w:sz w:val="22"/>
        </w:rPr>
        <w:t>Phase II of the project is to be commissioned in early 2001 and will use Liquefied Natural Gas as its primary fuel. DPC has a 20-year take-or-pay Fuel Supply Agreement with fuel suppliers from the Middle East. The take-or-pay volume has been fixed at 2.1 MMTPA. This is equivalent to an average 81% dispatch of the plant through the year. Phase II energy does not give MSEB optionality on power off take as in Phase I and MSEB either has to take the power of pay for the gas to the extent of the take-or-pay volumes (81% dispatch). Fuel Price risk is contractually a pass through, though there is a need to mitigate the risk on the fuel price for DPC to stay competitive.</w:t>
      </w:r>
    </w:p>
    <w:p>
      <w:pPr>
        <w:pStyle w:val="Normal"/>
        <w:jc w:val="both"/>
        <w:rPr>
          <w:sz w:val="22"/>
        </w:rPr>
      </w:pPr>
      <w:r>
        <w:rPr>
          <w:sz w:val="22"/>
        </w:rPr>
      </w:r>
    </w:p>
    <w:p>
      <w:pPr>
        <w:pStyle w:val="Normal"/>
        <w:jc w:val="both"/>
        <w:rPr>
          <w:sz w:val="22"/>
        </w:rPr>
      </w:pPr>
      <w:r>
        <w:rPr>
          <w:sz w:val="22"/>
        </w:rPr>
        <w:t xml:space="preserve">DPC’s LNG supply price is indexed to the Japanese Customs Clearance (“JCC”) Price. Historically, this index is said to have a very high degree of correlation with the Prompt Brent Crude Index. Hence, if one was ready to carry the basis risk between JCC and Brent, a ‘dirty’ hedge could be structured for the fuel price exposure that DPC/MSEB face. </w:t>
      </w:r>
    </w:p>
    <w:p>
      <w:pPr>
        <w:pStyle w:val="Normal"/>
        <w:rPr>
          <w:sz w:val="22"/>
        </w:rPr>
      </w:pPr>
      <w:r>
        <w:rPr>
          <w:sz w:val="22"/>
        </w:rPr>
      </w:r>
    </w:p>
    <w:p>
      <w:pPr>
        <w:pStyle w:val="Heading2"/>
        <w:ind w:hanging="0" w:start="0"/>
        <w:rPr>
          <w:rFonts w:ascii="Times New Roman" w:hAnsi="Times New Roman" w:cs="Times New Roman"/>
        </w:rPr>
      </w:pPr>
      <w:r>
        <w:rPr>
          <w:rFonts w:cs="Times New Roman" w:ascii="Times New Roman" w:hAnsi="Times New Roman"/>
        </w:rPr>
        <w:t>Objective</w:t>
      </w:r>
    </w:p>
    <w:p>
      <w:pPr>
        <w:pStyle w:val="Normal"/>
        <w:jc w:val="both"/>
        <w:rPr/>
      </w:pPr>
      <w:r>
        <w:rPr>
          <w:sz w:val="22"/>
        </w:rPr>
        <w:t xml:space="preserve">DPC will be a burner of gas and hence is naturally ‘short’ LNG. DPC would like to hedge the exposure on approximately 1,400,000 MT of LNG. The Research Group at Houston has come out with a hedge ratio for hedging JCC with Prompt Brent. It has been found that the relationship between JCC and Prompt Brent </w:t>
      </w:r>
      <w:r>
        <w:rPr>
          <w:sz w:val="22"/>
          <w:vertAlign w:val="subscript"/>
        </w:rPr>
        <w:t>t-1</w:t>
      </w:r>
      <w:r>
        <w:rPr>
          <w:sz w:val="22"/>
        </w:rPr>
        <w:t xml:space="preserve"> is as under:</w:t>
      </w:r>
    </w:p>
    <w:p>
      <w:pPr>
        <w:pStyle w:val="Normal"/>
        <w:jc w:val="both"/>
        <w:rPr>
          <w:sz w:val="22"/>
        </w:rPr>
      </w:pPr>
      <w:r>
        <w:rPr>
          <w:sz w:val="22"/>
        </w:rPr>
      </w:r>
    </w:p>
    <w:p>
      <w:pPr>
        <w:pStyle w:val="Normal"/>
        <w:jc w:val="both"/>
        <w:rPr/>
      </w:pPr>
      <w:r>
        <w:rPr>
          <w:sz w:val="22"/>
        </w:rPr>
        <w:t>JCC</w:t>
      </w:r>
      <w:r>
        <w:rPr>
          <w:sz w:val="22"/>
          <w:vertAlign w:val="subscript"/>
        </w:rPr>
        <w:t>t</w:t>
      </w:r>
      <w:r>
        <w:rPr>
          <w:sz w:val="22"/>
        </w:rPr>
        <w:t xml:space="preserve"> = 0.6706 Prompt Brent</w:t>
      </w:r>
      <w:r>
        <w:rPr>
          <w:sz w:val="22"/>
          <w:vertAlign w:val="subscript"/>
        </w:rPr>
        <w:t>t-1</w:t>
      </w:r>
    </w:p>
    <w:p>
      <w:pPr>
        <w:pStyle w:val="Normal"/>
        <w:jc w:val="both"/>
        <w:rPr>
          <w:sz w:val="22"/>
          <w:vertAlign w:val="subscript"/>
        </w:rPr>
      </w:pPr>
      <w:r>
        <w:rPr>
          <w:sz w:val="22"/>
          <w:vertAlign w:val="subscript"/>
        </w:rPr>
      </w:r>
    </w:p>
    <w:p>
      <w:pPr>
        <w:pStyle w:val="Normal"/>
        <w:jc w:val="both"/>
        <w:rPr>
          <w:sz w:val="22"/>
        </w:rPr>
      </w:pPr>
      <w:r>
        <w:rPr>
          <w:sz w:val="22"/>
        </w:rPr>
        <w:t xml:space="preserve">Thus, using a factor of 8.93 Bbl/MT for JCC, we need to mitigate the price risk exposure on 12.5 MM Bbls of JCC Crude price based LNG. Using the above relationship, this amounts to 8.4 MM Bbls of Prompt Brent Crude. </w:t>
      </w:r>
    </w:p>
    <w:p>
      <w:pPr>
        <w:pStyle w:val="Normal"/>
        <w:jc w:val="both"/>
        <w:rPr>
          <w:sz w:val="22"/>
        </w:rPr>
      </w:pPr>
      <w:r>
        <w:rPr>
          <w:sz w:val="22"/>
        </w:rPr>
      </w:r>
    </w:p>
    <w:p>
      <w:pPr>
        <w:pStyle w:val="Normal"/>
        <w:jc w:val="both"/>
        <w:rPr>
          <w:sz w:val="22"/>
        </w:rPr>
      </w:pPr>
      <w:r>
        <w:rPr>
          <w:sz w:val="22"/>
        </w:rPr>
        <w:t>Therefore,</w:t>
      </w:r>
    </w:p>
    <w:p>
      <w:pPr>
        <w:pStyle w:val="Normal"/>
        <w:jc w:val="both"/>
        <w:rPr>
          <w:sz w:val="22"/>
        </w:rPr>
      </w:pPr>
      <w:r>
        <w:rPr>
          <w:sz w:val="22"/>
        </w:rPr>
      </w:r>
    </w:p>
    <w:p>
      <w:pPr>
        <w:pStyle w:val="Normal"/>
        <w:jc w:val="both"/>
        <w:rPr/>
      </w:pPr>
      <w:r>
        <w:rPr>
          <w:b/>
          <w:sz w:val="22"/>
        </w:rPr>
        <w:t>Price Risk Exposure on</w:t>
        <w:tab/>
      </w:r>
      <w:r>
        <w:rPr>
          <w:sz w:val="22"/>
        </w:rPr>
        <w:t xml:space="preserve">: </w:t>
        <w:tab/>
        <w:t xml:space="preserve">Prompt Brent Crude </w:t>
      </w:r>
    </w:p>
    <w:p>
      <w:pPr>
        <w:pStyle w:val="Normal"/>
        <w:jc w:val="both"/>
        <w:rPr/>
      </w:pPr>
      <w:r>
        <w:rPr>
          <w:b/>
          <w:sz w:val="22"/>
        </w:rPr>
        <w:t>Period</w:t>
      </w:r>
      <w:r>
        <w:rPr>
          <w:sz w:val="22"/>
        </w:rPr>
        <w:tab/>
        <w:tab/>
        <w:tab/>
        <w:tab/>
        <w:t>:</w:t>
        <w:tab/>
        <w:t>March 2001 to February 2006 (inclusive of both months)</w:t>
      </w:r>
    </w:p>
    <w:p>
      <w:pPr>
        <w:pStyle w:val="Normal"/>
        <w:jc w:val="both"/>
        <w:rPr/>
      </w:pPr>
      <w:r>
        <w:rPr>
          <w:b/>
          <w:sz w:val="22"/>
        </w:rPr>
        <w:t>Annual Volume</w:t>
      </w:r>
      <w:r>
        <w:rPr>
          <w:sz w:val="22"/>
        </w:rPr>
        <w:tab/>
        <w:tab/>
        <w:t>:</w:t>
        <w:tab/>
        <w:t>8,383,841 Bbls spread evenly in all months</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BodyText"/>
        <w:rPr>
          <w:sz w:val="22"/>
        </w:rPr>
      </w:pPr>
      <w:r>
        <w:rPr>
          <w:sz w:val="22"/>
        </w:rPr>
      </w:r>
    </w:p>
    <w:p>
      <w:pPr>
        <w:pStyle w:val="BodyText"/>
        <w:rPr/>
      </w:pPr>
      <w:r>
        <w:rPr/>
        <w:t>While structuring a solution for the above exposure one also needs consider a few more constraints:</w:t>
      </w:r>
    </w:p>
    <w:p>
      <w:pPr>
        <w:pStyle w:val="BodyText"/>
        <w:rPr/>
      </w:pPr>
      <w:r>
        <w:rPr/>
      </w:r>
    </w:p>
    <w:p>
      <w:pPr>
        <w:pStyle w:val="Normal"/>
        <w:numPr>
          <w:ilvl w:val="0"/>
          <w:numId w:val="3"/>
        </w:numPr>
        <w:jc w:val="both"/>
        <w:rPr>
          <w:sz w:val="22"/>
        </w:rPr>
      </w:pPr>
      <w:r>
        <w:rPr>
          <w:sz w:val="22"/>
        </w:rPr>
        <w:t>While DPC seeks protection from an upward movement in crude prices, we do not wish to lock ourselves into a fixed price. Thus, while a swap is the answer to protection in upward price movement, this might not be the ‘perfect’ solution to DPC’s exposure</w:t>
      </w:r>
    </w:p>
    <w:p>
      <w:pPr>
        <w:pStyle w:val="Normal"/>
        <w:jc w:val="both"/>
        <w:rPr>
          <w:sz w:val="22"/>
        </w:rPr>
      </w:pPr>
      <w:r>
        <w:rPr>
          <w:sz w:val="22"/>
        </w:rPr>
      </w:r>
    </w:p>
    <w:p>
      <w:pPr>
        <w:pStyle w:val="Normal"/>
        <w:numPr>
          <w:ilvl w:val="0"/>
          <w:numId w:val="3"/>
        </w:numPr>
        <w:jc w:val="both"/>
        <w:rPr>
          <w:sz w:val="22"/>
        </w:rPr>
      </w:pPr>
      <w:r>
        <w:rPr>
          <w:sz w:val="22"/>
        </w:rPr>
        <w:t xml:space="preserve">Also, DPC would like to minimize any outflow of cash in the form of premium for any option that is purchased. While we would look at giving away a limited downside, by selling an option to finance an option that caps upward prices, we do not wish to lock ourselves into a ‘collar’. While the exposure on the upward price movement will need to be capped, we would still like to ride the upside in case of a downward price movement. </w:t>
      </w:r>
    </w:p>
    <w:p>
      <w:pPr>
        <w:pStyle w:val="Normal"/>
        <w:jc w:val="both"/>
        <w:rPr>
          <w:sz w:val="22"/>
        </w:rPr>
      </w:pPr>
      <w:r>
        <w:rPr>
          <w:sz w:val="22"/>
        </w:rPr>
      </w:r>
    </w:p>
    <w:p>
      <w:pPr>
        <w:pStyle w:val="BodyText"/>
        <w:rPr/>
      </w:pPr>
      <w:r>
        <w:rPr/>
        <w:t>While DPC might not opt for a costless collar or plain vanilla cap, these would form part of the basis of our analysis</w:t>
      </w:r>
    </w:p>
    <w:p>
      <w:pPr>
        <w:pStyle w:val="Heading2"/>
        <w:ind w:hanging="0" w:start="0"/>
        <w:rPr>
          <w:rFonts w:ascii="Times New Roman" w:hAnsi="Times New Roman" w:cs="Times New Roman"/>
        </w:rPr>
      </w:pPr>
      <w:r>
        <w:rPr>
          <w:rFonts w:cs="Times New Roman" w:ascii="Times New Roman" w:hAnsi="Times New Roman"/>
        </w:rPr>
        <w:t>Options for the ‘Exposure’</w:t>
      </w:r>
    </w:p>
    <w:p>
      <w:pPr>
        <w:pStyle w:val="Normal"/>
        <w:rPr>
          <w:rFonts w:ascii="Times New Roman" w:hAnsi="Times New Roman" w:cs="Times New Roman"/>
        </w:rPr>
      </w:pPr>
      <w:r>
        <w:rPr>
          <w:rFonts w:cs="Times New Roman"/>
        </w:rPr>
      </w:r>
    </w:p>
    <w:p>
      <w:pPr>
        <w:pStyle w:val="Normal"/>
        <w:numPr>
          <w:ilvl w:val="0"/>
          <w:numId w:val="2"/>
        </w:numPr>
        <w:jc w:val="both"/>
        <w:rPr>
          <w:sz w:val="22"/>
        </w:rPr>
      </w:pPr>
      <w:r>
        <w:rPr>
          <w:b/>
          <w:sz w:val="22"/>
        </w:rPr>
        <w:t>Volumetric Options</w:t>
      </w:r>
      <w:r>
        <w:rPr>
          <w:sz w:val="22"/>
        </w:rPr>
        <w:t xml:space="preserve">: As mentioned above DPC would like to cap the exposure on upward movement in prices, but not pay any premium for such an option. This would obviously entail selling an option and thereby giving up some of the upside on a downward movement in prices. </w:t>
      </w:r>
    </w:p>
    <w:p>
      <w:pPr>
        <w:pStyle w:val="Normal"/>
        <w:jc w:val="both"/>
        <w:rPr>
          <w:sz w:val="22"/>
        </w:rPr>
      </w:pPr>
      <w:r>
        <w:rPr>
          <w:sz w:val="22"/>
        </w:rPr>
      </w:r>
    </w:p>
    <w:p>
      <w:pPr>
        <w:pStyle w:val="BlockText"/>
        <w:jc w:val="both"/>
        <w:rPr>
          <w:sz w:val="22"/>
        </w:rPr>
      </w:pPr>
      <w:r>
        <mc:AlternateContent>
          <mc:Choice Requires="wpg">
            <w:drawing>
              <wp:anchor behindDoc="0" distT="0" distB="0" distL="114935" distR="114935" simplePos="0" locked="0" layoutInCell="1" allowOverlap="1" relativeHeight="3">
                <wp:simplePos x="0" y="0"/>
                <wp:positionH relativeFrom="column">
                  <wp:posOffset>2794635</wp:posOffset>
                </wp:positionH>
                <wp:positionV relativeFrom="paragraph">
                  <wp:posOffset>61595</wp:posOffset>
                </wp:positionV>
                <wp:extent cx="2400300" cy="1485900"/>
                <wp:effectExtent l="0" t="4445" r="5080" b="0"/>
                <wp:wrapNone/>
                <wp:docPr id="1" name=""/>
                <a:graphic xmlns:a="http://schemas.openxmlformats.org/drawingml/2006/main">
                  <a:graphicData uri="http://schemas.microsoft.com/office/word/2010/wordprocessingGroup">
                    <wpg:wgp>
                      <wpg:cNvGrpSpPr/>
                      <wpg:grpSpPr>
                        <a:xfrm>
                          <a:off x="0" y="0"/>
                          <a:ext cx="2400480" cy="1486080"/>
                          <a:chOff x="0" y="0"/>
                          <a:chExt cx="2400480" cy="1486080"/>
                        </a:xfrm>
                      </wpg:grpSpPr>
                      <wps:wsp>
                        <wps:cNvSpPr/>
                        <wps:spPr>
                          <a:xfrm>
                            <a:off x="457200" y="0"/>
                            <a:ext cx="0" cy="1486080"/>
                          </a:xfrm>
                          <a:prstGeom prst="line">
                            <a:avLst/>
                          </a:prstGeom>
                          <a:ln w="9360">
                            <a:solidFill>
                              <a:srgbClr val="000000"/>
                            </a:solidFill>
                            <a:miter/>
                          </a:ln>
                        </wps:spPr>
                        <wps:style>
                          <a:lnRef idx="0"/>
                          <a:fillRef idx="0"/>
                          <a:effectRef idx="0"/>
                          <a:fontRef idx="minor"/>
                        </wps:style>
                        <wps:bodyPr/>
                      </wps:wsp>
                      <wps:wsp>
                        <wps:cNvSpPr/>
                        <wps:spPr>
                          <a:xfrm flipH="1">
                            <a:off x="228600" y="1271880"/>
                            <a:ext cx="2171880" cy="0"/>
                          </a:xfrm>
                          <a:prstGeom prst="line">
                            <a:avLst/>
                          </a:prstGeom>
                          <a:ln w="9360">
                            <a:solidFill>
                              <a:srgbClr val="000000"/>
                            </a:solidFill>
                            <a:miter/>
                          </a:ln>
                        </wps:spPr>
                        <wps:style>
                          <a:lnRef idx="0"/>
                          <a:fillRef idx="0"/>
                          <a:effectRef idx="0"/>
                          <a:fontRef idx="minor"/>
                        </wps:style>
                        <wps:bodyPr/>
                      </wps:wsp>
                      <wps:wsp>
                        <wps:cNvSpPr/>
                        <wps:spPr>
                          <a:xfrm flipV="1">
                            <a:off x="457200" y="0"/>
                            <a:ext cx="1943280" cy="1257480"/>
                          </a:xfrm>
                          <a:prstGeom prst="line">
                            <a:avLst/>
                          </a:prstGeom>
                          <a:ln w="9360">
                            <a:solidFill>
                              <a:srgbClr val="000000"/>
                            </a:solidFill>
                            <a:prstDash val="sysDot"/>
                            <a:miter/>
                          </a:ln>
                        </wps:spPr>
                        <wps:style>
                          <a:lnRef idx="0"/>
                          <a:fillRef idx="0"/>
                          <a:effectRef idx="0"/>
                          <a:fontRef idx="minor"/>
                        </wps:style>
                        <wps:bodyPr/>
                      </wps:wsp>
                      <wps:wsp>
                        <wps:cNvSpPr/>
                        <wps:spPr>
                          <a:xfrm flipH="1">
                            <a:off x="1486080" y="357480"/>
                            <a:ext cx="914400" cy="0"/>
                          </a:xfrm>
                          <a:prstGeom prst="line">
                            <a:avLst/>
                          </a:prstGeom>
                          <a:ln w="9360">
                            <a:solidFill>
                              <a:srgbClr val="000000"/>
                            </a:solidFill>
                            <a:miter/>
                          </a:ln>
                        </wps:spPr>
                        <wps:style>
                          <a:lnRef idx="0"/>
                          <a:fillRef idx="0"/>
                          <a:effectRef idx="0"/>
                          <a:fontRef idx="minor"/>
                        </wps:style>
                        <wps:bodyPr/>
                      </wps:wsp>
                      <wps:wsp>
                        <wps:cNvSpPr/>
                        <wps:spPr>
                          <a:xfrm flipH="1">
                            <a:off x="457200" y="357480"/>
                            <a:ext cx="1028880" cy="685800"/>
                          </a:xfrm>
                          <a:prstGeom prst="line">
                            <a:avLst/>
                          </a:prstGeom>
                          <a:ln w="9360">
                            <a:solidFill>
                              <a:srgbClr val="000000"/>
                            </a:solidFill>
                            <a:miter/>
                          </a:ln>
                        </wps:spPr>
                        <wps:style>
                          <a:lnRef idx="0"/>
                          <a:fillRef idx="0"/>
                          <a:effectRef idx="0"/>
                          <a:fontRef idx="minor"/>
                        </wps:style>
                        <wps:bodyPr/>
                      </wps:wsp>
                      <wps:wsp>
                        <wps:cNvSpPr/>
                        <wps:spPr>
                          <a:xfrm flipH="1">
                            <a:off x="457200" y="357480"/>
                            <a:ext cx="1028880" cy="0"/>
                          </a:xfrm>
                          <a:prstGeom prst="line">
                            <a:avLst/>
                          </a:prstGeom>
                          <a:ln w="9360">
                            <a:solidFill>
                              <a:srgbClr val="000000"/>
                            </a:solidFill>
                            <a:prstDash val="dash"/>
                            <a:miter/>
                          </a:ln>
                        </wps:spPr>
                        <wps:style>
                          <a:lnRef idx="0"/>
                          <a:fillRef idx="0"/>
                          <a:effectRef idx="0"/>
                          <a:fontRef idx="minor"/>
                        </wps:style>
                        <wps:bodyPr/>
                      </wps:wsp>
                      <wps:wsp>
                        <wps:cNvSpPr txBox="1"/>
                        <wps:spPr>
                          <a:xfrm>
                            <a:off x="0" y="471960"/>
                            <a:ext cx="457200" cy="457200"/>
                          </a:xfrm>
                          <a:prstGeom prst="rect">
                            <a:avLst/>
                          </a:prstGeom>
                          <a:solidFill>
                            <a:srgbClr val="ffffff"/>
                          </a:solidFill>
                          <a:ln w="0">
                            <a:noFill/>
                          </a:ln>
                        </wps:spPr>
                        <wps:txbx>
                          <w:txbxContent>
                            <w:p>
                              <w:pPr>
                                <w:overflowPunct w:val="false"/>
                                <w:bidi w:val="0"/>
                                <w:rPr/>
                              </w:pPr>
                              <w:r>
                                <w:rPr>
                                  <w:kern w:val="2"/>
                                  <w:sz w:val="16"/>
                                  <w:szCs w:val="20"/>
                                  <w:rFonts w:ascii="Times New Roman" w:hAnsi="Times New Roman" w:eastAsia="Times New Roman" w:cs="Times New Roman"/>
                                  <w:color w:val="auto"/>
                                  <w:lang w:val="en-US" w:bidi="ar-SA"/>
                                </w:rPr>
                                <w:t>$/Bbl</w:t>
                              </w:r>
                            </w:p>
                          </w:txbxContent>
                        </wps:txbx>
                        <wps:bodyPr wrap="square" anchor="t">
                          <a:noAutofit/>
                        </wps:bodyPr>
                      </wps:wsp>
                      <wps:wsp>
                        <wps:cNvSpPr txBox="1"/>
                        <wps:spPr>
                          <a:xfrm>
                            <a:off x="114480" y="243360"/>
                            <a:ext cx="343080" cy="22860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25</w:t>
                              </w:r>
                            </w:p>
                          </w:txbxContent>
                        </wps:txbx>
                        <wps:bodyPr wrap="square" anchor="t">
                          <a:noAutofit/>
                        </wps:bodyPr>
                      </wps:wsp>
                      <wps:wsp>
                        <wps:cNvSpPr txBox="1"/>
                        <wps:spPr>
                          <a:xfrm>
                            <a:off x="800280" y="1043280"/>
                            <a:ext cx="1600200" cy="228600"/>
                          </a:xfrm>
                          <a:prstGeom prst="rect">
                            <a:avLst/>
                          </a:prstGeom>
                          <a:solidFill>
                            <a:srgbClr val="ffffff"/>
                          </a:solidFill>
                          <a:ln cap="rnd" w="9360">
                            <a:solidFill>
                              <a:srgbClr val="000000"/>
                            </a:solidFill>
                            <a:custDash>
                              <a:ds d="100000" sp="1000"/>
                            </a:custDash>
                            <a:miter/>
                          </a:ln>
                        </wps:spPr>
                        <wps:txbx>
                          <w:txbxContent>
                            <w:p>
                              <w:pPr>
                                <w:overflowPunct w:val="false"/>
                                <w:bidi w:val="0"/>
                                <w:rPr/>
                              </w:pPr>
                              <w:r>
                                <w:rPr>
                                  <w:kern w:val="2"/>
                                  <w:sz w:val="20"/>
                                  <w:szCs w:val="20"/>
                                  <w:rFonts w:ascii="Times New Roman" w:hAnsi="Times New Roman" w:eastAsia="Times New Roman" w:cs="Times New Roman"/>
                                  <w:color w:val="auto"/>
                                  <w:lang w:val="en-US" w:bidi="ar-SA"/>
                                </w:rPr>
                                <w:t xml:space="preserve">Sell a put for 50% Volume </w:t>
                              </w:r>
                            </w:p>
                          </w:txbxContent>
                        </wps:txbx>
                        <wps:bodyPr wrap="square" anchor="t">
                          <a:noAutofit/>
                        </wps:bodyPr>
                      </wps:wsp>
                      <wps:wsp>
                        <wps:cNvSpPr txBox="1"/>
                        <wps:spPr>
                          <a:xfrm>
                            <a:off x="1600200" y="700560"/>
                            <a:ext cx="685800" cy="22860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Index</w:t>
                              </w:r>
                            </w:p>
                          </w:txbxContent>
                        </wps:txbx>
                        <wps:bodyPr wrap="square" anchor="t">
                          <a:noAutofit/>
                        </wps:bodyPr>
                      </wps:wsp>
                      <wps:wsp>
                        <wps:cNvSpPr/>
                        <wps:spPr>
                          <a:xfrm flipH="1" flipV="1">
                            <a:off x="1714680" y="471960"/>
                            <a:ext cx="114480" cy="22860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457200" y="128880"/>
                            <a:ext cx="1600200" cy="228600"/>
                          </a:xfrm>
                          <a:prstGeom prst="rect">
                            <a:avLst/>
                          </a:prstGeom>
                          <a:solidFill>
                            <a:srgbClr val="ffffff"/>
                          </a:solidFill>
                          <a:ln cap="rnd" w="9360">
                            <a:solidFill>
                              <a:srgbClr val="000000"/>
                            </a:solidFill>
                            <a:custDash>
                              <a:ds d="100000" sp="1000"/>
                            </a:custDash>
                            <a:miter/>
                          </a:ln>
                        </wps:spPr>
                        <wps:txbx>
                          <w:txbxContent>
                            <w:p>
                              <w:pPr>
                                <w:overflowPunct w:val="false"/>
                                <w:bidi w:val="0"/>
                                <w:rPr/>
                              </w:pPr>
                              <w:r>
                                <w:rPr>
                                  <w:kern w:val="2"/>
                                  <w:sz w:val="20"/>
                                  <w:szCs w:val="20"/>
                                  <w:rFonts w:ascii="Times New Roman" w:hAnsi="Times New Roman" w:eastAsia="Times New Roman" w:cs="Times New Roman"/>
                                  <w:color w:val="auto"/>
                                  <w:lang w:val="en-US" w:bidi="ar-SA"/>
                                </w:rPr>
                                <w:t>Buy a Call @ 25 $/Bbl</w:t>
                              </w:r>
                            </w:p>
                          </w:txbxContent>
                        </wps:txbx>
                        <wps:bodyPr wrap="square" anchor="t">
                          <a:noAutofit/>
                        </wps:bodyPr>
                      </wps:wsp>
                    </wpg:wgp>
                  </a:graphicData>
                </a:graphic>
              </wp:anchor>
            </w:drawing>
          </mc:Choice>
          <mc:Fallback>
            <w:pict>
              <v:group id="shape_0" style="position:absolute;margin-left:220.05pt;margin-top:4.85pt;width:189pt;height:116.95pt" coordorigin="4401,97" coordsize="3780,2339">
                <v:line id="shape_0" from="5121,97" to="5121,2436" stroked="t" o:allowincell="f" style="position:absolute">
                  <v:stroke color="black" weight="9360" joinstyle="miter" endcap="flat"/>
                  <v:fill o:detectmouseclick="t" on="false"/>
                  <w10:wrap type="none"/>
                </v:line>
                <v:line id="shape_0" from="4761,2100" to="8180,2100" stroked="t" o:allowincell="f" style="position:absolute;flip:x">
                  <v:stroke color="black" weight="9360" joinstyle="miter" endcap="flat"/>
                  <v:fill o:detectmouseclick="t" on="false"/>
                  <w10:wrap type="none"/>
                </v:line>
                <v:line id="shape_0" from="5121,97" to="8180,2076" stroked="t" o:allowincell="f" style="position:absolute;flip:y">
                  <v:stroke color="black" weight="9360" dashstyle="shortdot" joinstyle="miter" endcap="flat"/>
                  <v:fill o:detectmouseclick="t" on="false"/>
                  <w10:wrap type="none"/>
                </v:line>
                <v:line id="shape_0" from="6741,660" to="8180,660" stroked="t" o:allowincell="f" style="position:absolute;flip:x">
                  <v:stroke color="black" weight="9360" joinstyle="miter" endcap="flat"/>
                  <v:fill o:detectmouseclick="t" on="false"/>
                  <w10:wrap type="none"/>
                </v:line>
                <v:line id="shape_0" from="5121,660" to="6740,1739" stroked="t" o:allowincell="f" style="position:absolute;flip:x">
                  <v:stroke color="black" weight="9360" joinstyle="miter" endcap="flat"/>
                  <v:fill o:detectmouseclick="t" on="false"/>
                  <w10:wrap type="none"/>
                </v:line>
                <v:line id="shape_0" from="5121,660" to="6740,660" stroked="t" o:allowincell="f" style="position:absolute;flip:x">
                  <v:stroke color="black" weight="9360" dashstyle="dash" joinstyle="miter" endcap="flat"/>
                  <v:fill o:detectmouseclick="t" on="false"/>
                  <w10:wrap type="none"/>
                </v:line>
                <v:shapetype id="_x0000_t202" coordsize="21600,21600" o:spt="202" path="m,l,21600l21600,21600l21600,xe">
                  <v:stroke joinstyle="miter"/>
                  <v:path gradientshapeok="t" o:connecttype="rect"/>
                </v:shapetype>
                <v:shape id="shape_0" fillcolor="white" stroked="f" o:allowincell="f" style="position:absolute;left:4401;top:840;width:719;height:719;mso-wrap-style:square;v-text-anchor:top" type="_x0000_t202">
                  <v:textbox>
                    <w:txbxContent>
                      <w:p>
                        <w:pPr>
                          <w:overflowPunct w:val="false"/>
                          <w:bidi w:val="0"/>
                          <w:rPr/>
                        </w:pPr>
                        <w:r>
                          <w:rPr>
                            <w:kern w:val="2"/>
                            <w:sz w:val="16"/>
                            <w:szCs w:val="20"/>
                            <w:rFonts w:ascii="Times New Roman" w:hAnsi="Times New Roman" w:eastAsia="Times New Roman" w:cs="Times New Roman"/>
                            <w:color w:val="auto"/>
                            <w:lang w:val="en-US" w:bidi="ar-SA"/>
                          </w:rPr>
                          <w:t>$/Bbl</w:t>
                        </w:r>
                      </w:p>
                    </w:txbxContent>
                  </v:textbox>
                  <v:fill o:detectmouseclick="t" type="solid" color2="black"/>
                  <v:stroke color="#3465a4" joinstyle="round" endcap="flat"/>
                  <w10:wrap type="none"/>
                </v:shape>
                <v:shape id="shape_0" fillcolor="white" stroked="f" o:allowincell="f" style="position:absolute;left:4581;top:480;width:539;height:359;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25</w:t>
                        </w:r>
                      </w:p>
                    </w:txbxContent>
                  </v:textbox>
                  <v:fill o:detectmouseclick="t" type="solid" color2="black"/>
                  <v:stroke color="#3465a4" joinstyle="round" endcap="flat"/>
                  <w10:wrap type="none"/>
                </v:shape>
                <v:shape id="shape_0" fillcolor="white" stroked="t" o:allowincell="f" style="position:absolute;left:5661;top:1740;width:2519;height:359;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 xml:space="preserve">Sell a put for 50% Volume </w:t>
                        </w:r>
                      </w:p>
                    </w:txbxContent>
                  </v:textbox>
                  <v:fill o:detectmouseclick="t" type="solid" color2="black"/>
                  <v:stroke color="black" weight="9360" dashstyle="shortdot" joinstyle="miter" endcap="round"/>
                  <w10:wrap type="none"/>
                </v:shape>
                <v:shape id="shape_0" fillcolor="white" stroked="f" o:allowincell="f" style="position:absolute;left:6921;top:1200;width:1079;height:359;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Index</w:t>
                        </w:r>
                      </w:p>
                    </w:txbxContent>
                  </v:textbox>
                  <v:fill o:detectmouseclick="t" type="solid" color2="black"/>
                  <v:stroke color="#3465a4" joinstyle="round" endcap="flat"/>
                  <w10:wrap type="none"/>
                </v:shape>
                <v:line id="shape_0" from="7101,840" to="7280,1199" stroked="t" o:allowincell="f" style="position:absolute;flip:xy">
                  <v:stroke color="black" weight="9360" endarrow="block" endarrowwidth="medium" endarrowlength="medium" joinstyle="miter" endcap="flat"/>
                  <v:fill o:detectmouseclick="t" on="false"/>
                  <w10:wrap type="none"/>
                </v:line>
                <v:shape id="shape_0" fillcolor="white" stroked="t" o:allowincell="f" style="position:absolute;left:5121;top:300;width:2519;height:359;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Buy a Call @ 25 $/Bbl</w:t>
                        </w:r>
                      </w:p>
                    </w:txbxContent>
                  </v:textbox>
                  <v:fill o:detectmouseclick="t" type="solid" color2="black"/>
                  <v:stroke color="black" weight="9360" dashstyle="shortdot" joinstyle="miter" endcap="round"/>
                  <w10:wrap type="none"/>
                </v:shape>
              </v:group>
            </w:pict>
          </mc:Fallback>
        </mc:AlternateContent>
      </w:r>
      <w:r>
        <w:rPr>
          <w:sz w:val="22"/>
        </w:rPr>
        <w:t>Thus, we would like to purchase a cap of 25/26/27 $/Bbl for the above-mentioned period. This cap would be financed by sale of a put for 50% of the volume exposure. This will ensure that while DPC will cap the upward movement in prices, it will still have limited participation in a downward movement in prices. We would like to know the strike price for the put for the above cap levels.</w:t>
      </w:r>
    </w:p>
    <w:p>
      <w:pPr>
        <w:pStyle w:val="Normal"/>
        <w:ind w:start="360" w:end="0"/>
        <w:rPr>
          <w:sz w:val="22"/>
        </w:rPr>
      </w:pPr>
      <w:r>
        <w:rPr>
          <w:sz w:val="22"/>
        </w:rPr>
      </w:r>
    </w:p>
    <w:p>
      <w:pPr>
        <w:pStyle w:val="Normal"/>
        <w:numPr>
          <w:ilvl w:val="0"/>
          <w:numId w:val="2"/>
        </w:numPr>
        <w:jc w:val="both"/>
        <w:rPr>
          <w:sz w:val="22"/>
        </w:rPr>
      </w:pPr>
      <w:r>
        <w:rPr>
          <w:b/>
          <w:sz w:val="22"/>
        </w:rPr>
        <w:t>Ratio Derivatives</w:t>
      </w:r>
      <w:r>
        <w:rPr>
          <w:sz w:val="22"/>
        </w:rPr>
        <w:t xml:space="preserve">: As there is a need to finance the option to cap the upward price risk exposure, we would like to sell a call option, which is in-the-money (assume 20 $/Bbl). As the option is in-the-money, the premium will be far higher for an option that’s out-of-the-money (25/26/27 $/Bbl). We would then purchase two call options at the specified cap level. </w:t>
      </w:r>
    </w:p>
    <w:p>
      <w:pPr>
        <w:pStyle w:val="BodyTextIndent"/>
        <w:jc w:val="both"/>
        <w:rPr>
          <w:sz w:val="22"/>
          <w:lang w:val="en-CA"/>
        </w:rPr>
      </w:pPr>
      <w:r>
        <w:rPr>
          <w:sz w:val="22"/>
          <w:lang w:val="en-CA"/>
        </w:rPr>
        <mc:AlternateContent>
          <mc:Choice Requires="wps">
            <w:drawing>
              <wp:anchor behindDoc="0" distT="0" distB="0" distL="114935" distR="114935" simplePos="0" locked="0" layoutInCell="1" allowOverlap="1" relativeHeight="4">
                <wp:simplePos x="0" y="0"/>
                <wp:positionH relativeFrom="column">
                  <wp:posOffset>3251835</wp:posOffset>
                </wp:positionH>
                <wp:positionV relativeFrom="paragraph">
                  <wp:posOffset>156845</wp:posOffset>
                </wp:positionV>
                <wp:extent cx="0" cy="1485900"/>
                <wp:effectExtent l="5080" t="0" r="5080" b="0"/>
                <wp:wrapNone/>
                <wp:docPr id="2" name=""/>
                <a:graphic xmlns:a="http://schemas.openxmlformats.org/drawingml/2006/main">
                  <a:graphicData uri="http://schemas.microsoft.com/office/word/2010/wordprocessingShape">
                    <wps:wsp>
                      <wps:cNvSpPr/>
                      <wps:spPr>
                        <a:xfrm>
                          <a:off x="0" y="0"/>
                          <a:ext cx="0" cy="1486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6.05pt,12.35pt" to="256.05pt,129.3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3251835</wp:posOffset>
                </wp:positionH>
                <wp:positionV relativeFrom="paragraph">
                  <wp:posOffset>156845</wp:posOffset>
                </wp:positionV>
                <wp:extent cx="1943100" cy="1257300"/>
                <wp:effectExtent l="3175" t="4445" r="3175" b="4445"/>
                <wp:wrapNone/>
                <wp:docPr id="3" name=""/>
                <a:graphic xmlns:a="http://schemas.openxmlformats.org/drawingml/2006/main">
                  <a:graphicData uri="http://schemas.microsoft.com/office/word/2010/wordprocessingShape">
                    <wps:wsp>
                      <wps:cNvSpPr/>
                      <wps:spPr>
                        <a:xfrm flipV="1">
                          <a:off x="0" y="0"/>
                          <a:ext cx="1943280" cy="1257480"/>
                        </a:xfrm>
                        <a:prstGeom prst="line">
                          <a:avLst/>
                        </a:prstGeom>
                        <a:ln w="9360">
                          <a:solidFill>
                            <a:srgbClr val="000000"/>
                          </a:solidFill>
                          <a:prstDash val="sysDot"/>
                          <a:miter/>
                        </a:ln>
                      </wps:spPr>
                      <wps:style>
                        <a:lnRef idx="0"/>
                        <a:fillRef idx="0"/>
                        <a:effectRef idx="0"/>
                        <a:fontRef idx="minor"/>
                      </wps:style>
                      <wps:bodyPr/>
                    </wps:wsp>
                  </a:graphicData>
                </a:graphic>
              </wp:anchor>
            </w:drawing>
          </mc:Choice>
          <mc:Fallback>
            <w:pict>
              <v:line id="shape_0" from="256.05pt,12.35pt" to="409pt,111.3pt" stroked="t" o:allowincell="f" style="position:absolute;flip:y">
                <v:stroke color="black" weight="9360" dashstyle="shortdot" joinstyle="miter" endcap="flat"/>
                <v:fill o:detectmouseclick="t" on="false"/>
                <w10:wrap type="none"/>
              </v:line>
            </w:pict>
          </mc:Fallback>
        </mc:AlternateContent>
      </w:r>
    </w:p>
    <w:p>
      <w:pPr>
        <w:pStyle w:val="BodyTextIndent"/>
        <w:ind w:end="4320"/>
        <w:jc w:val="both"/>
        <w:rPr>
          <w:sz w:val="22"/>
        </w:rPr>
      </w:pPr>
      <w:r>
        <mc:AlternateContent>
          <mc:Choice Requires="wps">
            <w:drawing>
              <wp:anchor behindDoc="0" distT="0" distB="0" distL="114935" distR="114935" simplePos="0" locked="0" layoutInCell="1" allowOverlap="1" relativeHeight="5">
                <wp:simplePos x="0" y="0"/>
                <wp:positionH relativeFrom="column">
                  <wp:posOffset>3023235</wp:posOffset>
                </wp:positionH>
                <wp:positionV relativeFrom="paragraph">
                  <wp:posOffset>1268095</wp:posOffset>
                </wp:positionV>
                <wp:extent cx="2171700" cy="0"/>
                <wp:effectExtent l="0" t="5080" r="0" b="5080"/>
                <wp:wrapNone/>
                <wp:docPr id="4" name=""/>
                <a:graphic xmlns:a="http://schemas.openxmlformats.org/drawingml/2006/main">
                  <a:graphicData uri="http://schemas.microsoft.com/office/word/2010/wordprocessingShape">
                    <wps:wsp>
                      <wps:cNvSpPr/>
                      <wps:spPr>
                        <a:xfrm flipH="1">
                          <a:off x="0" y="0"/>
                          <a:ext cx="2171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8.05pt,99.85pt" to="409pt,99.85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
                <wp:simplePos x="0" y="0"/>
                <wp:positionH relativeFrom="column">
                  <wp:posOffset>4280535</wp:posOffset>
                </wp:positionH>
                <wp:positionV relativeFrom="paragraph">
                  <wp:posOffset>353695</wp:posOffset>
                </wp:positionV>
                <wp:extent cx="914400" cy="0"/>
                <wp:effectExtent l="0" t="5080" r="0" b="5080"/>
                <wp:wrapNone/>
                <wp:docPr id="5" name=""/>
                <a:graphic xmlns:a="http://schemas.openxmlformats.org/drawingml/2006/main">
                  <a:graphicData uri="http://schemas.microsoft.com/office/word/2010/wordprocessingShape">
                    <wps:wsp>
                      <wps:cNvSpPr/>
                      <wps:spPr>
                        <a:xfrm flipH="1">
                          <a:off x="0" y="0"/>
                          <a:ext cx="914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37.05pt,27.85pt" to="409pt,27.85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
                <wp:simplePos x="0" y="0"/>
                <wp:positionH relativeFrom="column">
                  <wp:posOffset>3251835</wp:posOffset>
                </wp:positionH>
                <wp:positionV relativeFrom="paragraph">
                  <wp:posOffset>353695</wp:posOffset>
                </wp:positionV>
                <wp:extent cx="1028700" cy="0"/>
                <wp:effectExtent l="0" t="5080" r="0" b="5080"/>
                <wp:wrapNone/>
                <wp:docPr id="6" name=""/>
                <a:graphic xmlns:a="http://schemas.openxmlformats.org/drawingml/2006/main">
                  <a:graphicData uri="http://schemas.microsoft.com/office/word/2010/wordprocessingShape">
                    <wps:wsp>
                      <wps:cNvSpPr/>
                      <wps:spPr>
                        <a:xfrm flipH="1">
                          <a:off x="0" y="0"/>
                          <a:ext cx="1028880" cy="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256.05pt,27.85pt" to="337pt,27.85pt" stroked="t" o:allowincell="f" style="position:absolute;flip:x">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2">
                <wp:simplePos x="0" y="0"/>
                <wp:positionH relativeFrom="column">
                  <wp:posOffset>3823335</wp:posOffset>
                </wp:positionH>
                <wp:positionV relativeFrom="paragraph">
                  <wp:posOffset>681990</wp:posOffset>
                </wp:positionV>
                <wp:extent cx="914400" cy="0"/>
                <wp:effectExtent l="0" t="5080" r="0" b="5080"/>
                <wp:wrapNone/>
                <wp:docPr id="7" name=""/>
                <a:graphic xmlns:a="http://schemas.openxmlformats.org/drawingml/2006/main">
                  <a:graphicData uri="http://schemas.microsoft.com/office/word/2010/wordprocessingShape">
                    <wps:wsp>
                      <wps:cNvSpPr/>
                      <wps:spPr>
                        <a:xfrm flipH="1">
                          <a:off x="0" y="0"/>
                          <a:ext cx="914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1.05pt,53.7pt" to="373pt,53.7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
                <wp:simplePos x="0" y="0"/>
                <wp:positionH relativeFrom="column">
                  <wp:posOffset>3251835</wp:posOffset>
                </wp:positionH>
                <wp:positionV relativeFrom="paragraph">
                  <wp:posOffset>681990</wp:posOffset>
                </wp:positionV>
                <wp:extent cx="571500" cy="0"/>
                <wp:effectExtent l="0" t="5080" r="0" b="5080"/>
                <wp:wrapNone/>
                <wp:docPr id="8" name=""/>
                <a:graphic xmlns:a="http://schemas.openxmlformats.org/drawingml/2006/main">
                  <a:graphicData uri="http://schemas.microsoft.com/office/word/2010/wordprocessingShape">
                    <wps:wsp>
                      <wps:cNvSpPr/>
                      <wps:spPr>
                        <a:xfrm flipH="1">
                          <a:off x="0" y="0"/>
                          <a:ext cx="571680" cy="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256.05pt,53.7pt" to="301pt,53.7pt" stroked="t" o:allowincell="f" style="position:absolute;flip:x">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
                <wp:simplePos x="0" y="0"/>
                <wp:positionH relativeFrom="column">
                  <wp:posOffset>4166235</wp:posOffset>
                </wp:positionH>
                <wp:positionV relativeFrom="paragraph">
                  <wp:posOffset>339090</wp:posOffset>
                </wp:positionV>
                <wp:extent cx="0" cy="342900"/>
                <wp:effectExtent l="5080" t="0" r="5080" b="0"/>
                <wp:wrapNone/>
                <wp:docPr id="9" name=""/>
                <a:graphic xmlns:a="http://schemas.openxmlformats.org/drawingml/2006/main">
                  <a:graphicData uri="http://schemas.microsoft.com/office/word/2010/wordprocessingShape">
                    <wps:wsp>
                      <wps:cNvSpPr/>
                      <wps:spPr>
                        <a:xfrm flipV="1">
                          <a:off x="0" y="0"/>
                          <a:ext cx="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8.05pt,26.7pt" to="328.05pt,53.65pt" stroked="t" o:allowincell="f" style="position:absolute;flip:y">
                <v:stroke color="black" weight="9360" joinstyle="miter" endcap="flat"/>
                <v:fill o:detectmouseclick="t" on="false"/>
                <w10:wrap type="none"/>
              </v:line>
            </w:pict>
          </mc:Fallback>
        </mc:AlternateContent>
      </w:r>
      <w:r>
        <w:rPr>
          <w:sz w:val="22"/>
        </w:rPr>
        <w:t>Thus, conceptually, we would like to finance two out-of-the money call options by selling one in-the-money call option. We would like to know the strike price for the in-the-money option to establish corresponding caps at 25/26/27 $/Bbl levels. Alternately, we would like to estimate strike price for two caps with the sale of an in-the-money call option.</w:t>
      </w:r>
      <w:r>
        <mc:AlternateContent>
          <mc:Choice Requires="wps">
            <w:drawing>
              <wp:anchor behindDoc="0" distT="0" distB="0" distL="114935" distR="114935" simplePos="0" locked="0" layoutInCell="1" allowOverlap="1" relativeHeight="2">
                <wp:simplePos x="0" y="0"/>
                <wp:positionH relativeFrom="column">
                  <wp:posOffset>3590290</wp:posOffset>
                </wp:positionH>
                <wp:positionV relativeFrom="paragraph">
                  <wp:posOffset>677545</wp:posOffset>
                </wp:positionV>
                <wp:extent cx="1609090" cy="237490"/>
                <wp:effectExtent l="0" t="0" r="0" b="0"/>
                <wp:wrapNone/>
                <wp:docPr id="10" name="Frame3"/>
                <a:graphic xmlns:a="http://schemas.openxmlformats.org/drawingml/2006/main">
                  <a:graphicData uri="http://schemas.microsoft.com/office/word/2010/wordprocessingShape">
                    <wps:wsp>
                      <wps:cNvSpPr txBox="1"/>
                      <wps:spPr>
                        <a:xfrm>
                          <a:off x="0" y="0"/>
                          <a:ext cx="1609090" cy="237490"/>
                        </a:xfrm>
                        <a:prstGeom prst="rect"/>
                        <a:solidFill>
                          <a:srgbClr val="FFFFFF"/>
                        </a:solidFill>
                        <a:ln w="9525">
                          <a:solidFill>
                            <a:srgbClr val="000000"/>
                          </a:solidFill>
                        </a:ln>
                      </wps:spPr>
                      <wps:txbx>
                        <w:txbxContent>
                          <w:p>
                            <w:pPr>
                              <w:pStyle w:val="Normal"/>
                              <w:rPr/>
                            </w:pPr>
                            <w:r>
                              <w:rPr/>
                              <w:t>Sell a Calls @ 20 $/Bbl</w:t>
                            </w:r>
                          </w:p>
                        </w:txbxContent>
                      </wps:txbx>
                      <wps:bodyPr anchor="t" lIns="91440" tIns="45720" rIns="91440" bIns="45720">
                        <a:noAutofit/>
                      </wps:bodyPr>
                    </wps:wsp>
                  </a:graphicData>
                </a:graphic>
              </wp:anchor>
            </w:drawing>
          </mc:Choice>
          <mc:Fallback>
            <w:pict>
              <v:rect fillcolor="#FFFFFF" strokecolor="#000000" strokeweight="0pt" style="position:absolute;rotation:-0;width:126.7pt;height:18.7pt;mso-wrap-distance-left:9.05pt;mso-wrap-distance-right:9.05pt;mso-wrap-distance-top:0pt;mso-wrap-distance-bottom:0pt;margin-top:53.35pt;mso-position-vertical-relative:text;margin-left:282.7pt;mso-position-horizontal-relative:text">
                <v:textbox>
                  <w:txbxContent>
                    <w:p>
                      <w:pPr>
                        <w:pStyle w:val="Normal"/>
                        <w:rPr/>
                      </w:pPr>
                      <w:r>
                        <w:rPr/>
                        <w:t>Sell a Calls @ 20 $/Bbl</w:t>
                      </w:r>
                    </w:p>
                  </w:txbxContent>
                </v:textbox>
                <w10:wrap type="none"/>
              </v:rect>
            </w:pict>
          </mc:Fallback>
        </mc:AlternateContent>
      </w:r>
      <w:r>
        <mc:AlternateContent>
          <mc:Choice Requires="wps">
            <w:drawing>
              <wp:anchor behindDoc="0" distT="0" distB="0" distL="114935" distR="114935" simplePos="0" locked="0" layoutInCell="1" allowOverlap="1" relativeHeight="9">
                <wp:simplePos x="0" y="0"/>
                <wp:positionH relativeFrom="column">
                  <wp:posOffset>2794635</wp:posOffset>
                </wp:positionH>
                <wp:positionV relativeFrom="paragraph">
                  <wp:posOffset>796290</wp:posOffset>
                </wp:positionV>
                <wp:extent cx="457200" cy="457200"/>
                <wp:effectExtent l="0" t="0" r="0" b="0"/>
                <wp:wrapNone/>
                <wp:docPr id="11" name="Frame1"/>
                <a:graphic xmlns:a="http://schemas.openxmlformats.org/drawingml/2006/main">
                  <a:graphicData uri="http://schemas.microsoft.com/office/word/2010/wordprocessingShape">
                    <wps:wsp>
                      <wps:cNvSpPr txBox="1"/>
                      <wps:spPr>
                        <a:xfrm>
                          <a:off x="0" y="0"/>
                          <a:ext cx="457200" cy="457200"/>
                        </a:xfrm>
                        <a:prstGeom prst="rect"/>
                        <a:solidFill>
                          <a:srgbClr val="FFFFFF"/>
                        </a:solidFill>
                      </wps:spPr>
                      <wps:txbx>
                        <w:txbxContent>
                          <w:p>
                            <w:pPr>
                              <w:pStyle w:val="Normal"/>
                              <w:rPr>
                                <w:sz w:val="16"/>
                              </w:rPr>
                            </w:pPr>
                            <w:r>
                              <w:rPr>
                                <w:sz w:val="16"/>
                              </w:rPr>
                              <w:t>$/Bbl</w:t>
                            </w:r>
                          </w:p>
                        </w:txbxContent>
                      </wps:txbx>
                      <wps:bodyPr anchor="t" lIns="92075" tIns="46355" rIns="92075" bIns="46355">
                        <a:noAutofit/>
                      </wps:bodyPr>
                    </wps:wsp>
                  </a:graphicData>
                </a:graphic>
              </wp:anchor>
            </w:drawing>
          </mc:Choice>
          <mc:Fallback>
            <w:pict>
              <v:rect fillcolor="#FFFFFF" style="position:absolute;rotation:-0;width:36pt;height:36pt;mso-wrap-distance-left:9.05pt;mso-wrap-distance-right:9.05pt;mso-wrap-distance-top:0pt;mso-wrap-distance-bottom:0pt;margin-top:62.7pt;mso-position-vertical-relative:text;margin-left:220.05pt;mso-position-horizontal-relative:text">
                <v:textbox inset="0.100694444444444in,0.0506944444444444in,0.100694444444444in,0.0506944444444444in">
                  <w:txbxContent>
                    <w:p>
                      <w:pPr>
                        <w:pStyle w:val="Normal"/>
                        <w:rPr>
                          <w:sz w:val="16"/>
                        </w:rPr>
                      </w:pPr>
                      <w:r>
                        <w:rPr>
                          <w:sz w:val="16"/>
                        </w:rPr>
                        <w:t>$/Bbl</w:t>
                      </w:r>
                    </w:p>
                  </w:txbxContent>
                </v:textbox>
                <w10:wrap type="none"/>
              </v:rect>
            </w:pict>
          </mc:Fallback>
        </mc:AlternateContent>
      </w:r>
      <w:r>
        <mc:AlternateContent>
          <mc:Choice Requires="wps">
            <w:drawing>
              <wp:anchor behindDoc="0" distT="0" distB="0" distL="114935" distR="114935" simplePos="0" locked="0" layoutInCell="1" allowOverlap="1" relativeHeight="10">
                <wp:simplePos x="0" y="0"/>
                <wp:positionH relativeFrom="column">
                  <wp:posOffset>2908935</wp:posOffset>
                </wp:positionH>
                <wp:positionV relativeFrom="paragraph">
                  <wp:posOffset>239395</wp:posOffset>
                </wp:positionV>
                <wp:extent cx="342900" cy="228600"/>
                <wp:effectExtent l="0" t="0" r="0" b="0"/>
                <wp:wrapNone/>
                <wp:docPr id="12" name="Frame5"/>
                <a:graphic xmlns:a="http://schemas.openxmlformats.org/drawingml/2006/main">
                  <a:graphicData uri="http://schemas.microsoft.com/office/word/2010/wordprocessingShape">
                    <wps:wsp>
                      <wps:cNvSpPr txBox="1"/>
                      <wps:spPr>
                        <a:xfrm>
                          <a:off x="0" y="0"/>
                          <a:ext cx="342900" cy="228600"/>
                        </a:xfrm>
                        <a:prstGeom prst="rect"/>
                        <a:solidFill>
                          <a:srgbClr val="FFFFFF"/>
                        </a:solidFill>
                      </wps:spPr>
                      <wps:txbx>
                        <w:txbxContent>
                          <w:p>
                            <w:pPr>
                              <w:pStyle w:val="Normal"/>
                              <w:rPr/>
                            </w:pPr>
                            <w:r>
                              <w:rPr/>
                              <w:t>25</w:t>
                            </w:r>
                          </w:p>
                        </w:txbxContent>
                      </wps:txbx>
                      <wps:bodyPr anchor="t" lIns="92075" tIns="46355" rIns="92075" bIns="46355">
                        <a:noAutofit/>
                      </wps:bodyPr>
                    </wps:wsp>
                  </a:graphicData>
                </a:graphic>
              </wp:anchor>
            </w:drawing>
          </mc:Choice>
          <mc:Fallback>
            <w:pict>
              <v:rect fillcolor="#FFFFFF" style="position:absolute;rotation:-0;width:27pt;height:18pt;mso-wrap-distance-left:9.05pt;mso-wrap-distance-right:9.05pt;mso-wrap-distance-top:0pt;mso-wrap-distance-bottom:0pt;margin-top:18.85pt;mso-position-vertical-relative:text;margin-left:229.05pt;mso-position-horizontal-relative:text">
                <v:textbox inset="0.100694444444444in,0.0506944444444444in,0.100694444444444in,0.0506944444444444in">
                  <w:txbxContent>
                    <w:p>
                      <w:pPr>
                        <w:pStyle w:val="Normal"/>
                        <w:rPr/>
                      </w:pPr>
                      <w:r>
                        <w:rPr/>
                        <w:t>25</w:t>
                      </w:r>
                    </w:p>
                  </w:txbxContent>
                </v:textbox>
                <w10:wrap type="none"/>
              </v:rect>
            </w:pict>
          </mc:Fallback>
        </mc:AlternateContent>
      </w:r>
      <w:r>
        <mc:AlternateContent>
          <mc:Choice Requires="wps">
            <w:drawing>
              <wp:anchor behindDoc="0" distT="0" distB="0" distL="114935" distR="114935" simplePos="0" locked="0" layoutInCell="1" allowOverlap="1" relativeHeight="11">
                <wp:simplePos x="0" y="0"/>
                <wp:positionH relativeFrom="column">
                  <wp:posOffset>3247390</wp:posOffset>
                </wp:positionH>
                <wp:positionV relativeFrom="paragraph">
                  <wp:posOffset>120650</wp:posOffset>
                </wp:positionV>
                <wp:extent cx="1609090" cy="237490"/>
                <wp:effectExtent l="0" t="0" r="0" b="0"/>
                <wp:wrapNone/>
                <wp:docPr id="13" name="Frame4"/>
                <a:graphic xmlns:a="http://schemas.openxmlformats.org/drawingml/2006/main">
                  <a:graphicData uri="http://schemas.microsoft.com/office/word/2010/wordprocessingShape">
                    <wps:wsp>
                      <wps:cNvSpPr txBox="1"/>
                      <wps:spPr>
                        <a:xfrm>
                          <a:off x="0" y="0"/>
                          <a:ext cx="1609090" cy="237490"/>
                        </a:xfrm>
                        <a:prstGeom prst="rect"/>
                        <a:solidFill>
                          <a:srgbClr val="FFFFFF"/>
                        </a:solidFill>
                        <a:ln w="9525">
                          <a:solidFill>
                            <a:srgbClr val="000000"/>
                          </a:solidFill>
                        </a:ln>
                      </wps:spPr>
                      <wps:txbx>
                        <w:txbxContent>
                          <w:p>
                            <w:pPr>
                              <w:pStyle w:val="Normal"/>
                              <w:rPr/>
                            </w:pPr>
                            <w:r>
                              <w:rPr/>
                              <w:t>Buy 2 Calls @ 25 $/Bbl</w:t>
                            </w:r>
                          </w:p>
                        </w:txbxContent>
                      </wps:txbx>
                      <wps:bodyPr anchor="t" lIns="91440" tIns="45720" rIns="91440" bIns="45720">
                        <a:noAutofit/>
                      </wps:bodyPr>
                    </wps:wsp>
                  </a:graphicData>
                </a:graphic>
              </wp:anchor>
            </w:drawing>
          </mc:Choice>
          <mc:Fallback>
            <w:pict>
              <v:rect fillcolor="#FFFFFF" strokecolor="#000000" strokeweight="0pt" style="position:absolute;rotation:-0;width:126.7pt;height:18.7pt;mso-wrap-distance-left:9.05pt;mso-wrap-distance-right:9.05pt;mso-wrap-distance-top:0pt;mso-wrap-distance-bottom:0pt;margin-top:9.5pt;mso-position-vertical-relative:text;margin-left:255.7pt;mso-position-horizontal-relative:text">
                <v:textbox>
                  <w:txbxContent>
                    <w:p>
                      <w:pPr>
                        <w:pStyle w:val="Normal"/>
                        <w:rPr/>
                      </w:pPr>
                      <w:r>
                        <w:rPr/>
                        <w:t>Buy 2 Calls @ 25 $/Bbl</w:t>
                      </w:r>
                    </w:p>
                  </w:txbxContent>
                </v:textbox>
                <w10:wrap type="none"/>
              </v:rect>
            </w:pict>
          </mc:Fallback>
        </mc:AlternateContent>
      </w:r>
      <w:r>
        <mc:AlternateContent>
          <mc:Choice Requires="wps">
            <w:drawing>
              <wp:anchor behindDoc="0" distT="0" distB="0" distL="114935" distR="114935" simplePos="0" locked="0" layoutInCell="1" allowOverlap="1" relativeHeight="14">
                <wp:simplePos x="0" y="0"/>
                <wp:positionH relativeFrom="column">
                  <wp:posOffset>2908935</wp:posOffset>
                </wp:positionH>
                <wp:positionV relativeFrom="paragraph">
                  <wp:posOffset>567690</wp:posOffset>
                </wp:positionV>
                <wp:extent cx="342900" cy="228600"/>
                <wp:effectExtent l="0" t="0" r="0" b="0"/>
                <wp:wrapNone/>
                <wp:docPr id="14" name="Frame2"/>
                <a:graphic xmlns:a="http://schemas.openxmlformats.org/drawingml/2006/main">
                  <a:graphicData uri="http://schemas.microsoft.com/office/word/2010/wordprocessingShape">
                    <wps:wsp>
                      <wps:cNvSpPr txBox="1"/>
                      <wps:spPr>
                        <a:xfrm>
                          <a:off x="0" y="0"/>
                          <a:ext cx="342900" cy="228600"/>
                        </a:xfrm>
                        <a:prstGeom prst="rect"/>
                        <a:solidFill>
                          <a:srgbClr val="FFFFFF"/>
                        </a:solidFill>
                      </wps:spPr>
                      <wps:txbx>
                        <w:txbxContent>
                          <w:p>
                            <w:pPr>
                              <w:pStyle w:val="Normal"/>
                              <w:rPr/>
                            </w:pPr>
                            <w:r>
                              <w:rPr/>
                              <w:t>20</w:t>
                            </w:r>
                          </w:p>
                        </w:txbxContent>
                      </wps:txbx>
                      <wps:bodyPr anchor="t" lIns="92075" tIns="46355" rIns="92075" bIns="46355">
                        <a:noAutofit/>
                      </wps:bodyPr>
                    </wps:wsp>
                  </a:graphicData>
                </a:graphic>
              </wp:anchor>
            </w:drawing>
          </mc:Choice>
          <mc:Fallback>
            <w:pict>
              <v:rect fillcolor="#FFFFFF" style="position:absolute;rotation:-0;width:27pt;height:18pt;mso-wrap-distance-left:9.05pt;mso-wrap-distance-right:9.05pt;mso-wrap-distance-top:0pt;mso-wrap-distance-bottom:0pt;margin-top:44.7pt;mso-position-vertical-relative:text;margin-left:229.05pt;mso-position-horizontal-relative:text">
                <v:textbox inset="0.100694444444444in,0.0506944444444444in,0.100694444444444in,0.0506944444444444in">
                  <w:txbxContent>
                    <w:p>
                      <w:pPr>
                        <w:pStyle w:val="Normal"/>
                        <w:rPr/>
                      </w:pPr>
                      <w:r>
                        <w:rPr/>
                        <w:t>20</w:t>
                      </w:r>
                    </w:p>
                  </w:txbxContent>
                </v:textbox>
                <w10:wrap type="none"/>
              </v:rect>
            </w:pict>
          </mc:Fallback>
        </mc:AlternateContent>
      </w:r>
    </w:p>
    <w:p>
      <w:pPr>
        <w:pStyle w:val="BodyTextIndent"/>
        <w:jc w:val="both"/>
        <w:rPr>
          <w:sz w:val="22"/>
        </w:rPr>
      </w:pPr>
      <w:r>
        <w:rPr>
          <w:sz w:val="22"/>
        </w:rPr>
      </w:r>
    </w:p>
    <w:p>
      <w:pPr>
        <w:pStyle w:val="Normal"/>
        <w:numPr>
          <w:ilvl w:val="0"/>
          <w:numId w:val="2"/>
        </w:numPr>
        <w:jc w:val="both"/>
        <w:rPr>
          <w:sz w:val="22"/>
        </w:rPr>
      </w:pPr>
      <w:r>
        <w:rPr>
          <w:b/>
          <w:sz w:val="22"/>
        </w:rPr>
        <w:t>Plain Vanilla Cap</w:t>
      </w:r>
      <w:r>
        <w:rPr>
          <w:sz w:val="22"/>
        </w:rPr>
        <w:t>: For the period mentioned above, what would be the respective premium for caps at 25/26/27 $/Bbl?</w:t>
      </w:r>
    </w:p>
    <w:p>
      <w:pPr>
        <w:pStyle w:val="Normal"/>
        <w:jc w:val="both"/>
        <w:rPr>
          <w:sz w:val="22"/>
        </w:rPr>
      </w:pPr>
      <w:r>
        <w:rPr>
          <w:sz w:val="22"/>
        </w:rPr>
      </w:r>
    </w:p>
    <w:p>
      <w:pPr>
        <w:pStyle w:val="Normal"/>
        <w:numPr>
          <w:ilvl w:val="0"/>
          <w:numId w:val="2"/>
        </w:numPr>
        <w:jc w:val="both"/>
        <w:rPr>
          <w:sz w:val="22"/>
        </w:rPr>
      </w:pPr>
      <w:r>
        <w:rPr>
          <w:b/>
          <w:sz w:val="22"/>
        </w:rPr>
        <w:t>Costless Collar</w:t>
      </w:r>
      <w:r>
        <w:rPr>
          <w:sz w:val="22"/>
        </w:rPr>
        <w:t>: For caps of 25/26/27 $/Bbl, what would be the corresponding floor to arrive at a costless collar?</w:t>
      </w:r>
    </w:p>
    <w:p>
      <w:pPr>
        <w:pStyle w:val="Normal"/>
        <w:jc w:val="both"/>
        <w:rPr>
          <w:sz w:val="22"/>
        </w:rPr>
      </w:pPr>
      <w:r>
        <w:rPr>
          <w:sz w:val="22"/>
        </w:rPr>
      </w:r>
    </w:p>
    <w:p>
      <w:pPr>
        <w:pStyle w:val="Normal"/>
        <w:jc w:val="both"/>
        <w:rPr>
          <w:sz w:val="22"/>
        </w:rPr>
      </w:pPr>
      <w:r>
        <w:rPr>
          <w:sz w:val="22"/>
        </w:rPr>
        <w:t>Additionally, would it be more beneficial to package the period of the transaction as a 5 yr. period or would the pricing be more attractive if we were to split the above-mentioned period in parcels of one-year periods each?</w:t>
      </w:r>
    </w:p>
    <w:p>
      <w:pPr>
        <w:pStyle w:val="Normal"/>
        <w:jc w:val="both"/>
        <w:rPr/>
      </w:pPr>
      <w:r>
        <w:rPr/>
      </w:r>
    </w:p>
    <w:p>
      <w:pPr>
        <w:pStyle w:val="Header"/>
        <w:tabs>
          <w:tab w:val="clear" w:pos="4320"/>
          <w:tab w:val="clear" w:pos="8640"/>
        </w:tabs>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i/>
        <w:i/>
        <w:sz w:val="28"/>
      </w:rPr>
    </w:pPr>
    <w:r>
      <w:rPr>
        <w:b/>
        <w:i/>
        <w:sz w:val="28"/>
      </w:rPr>
      <w:t>For Discussion Purposes Only</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000000"/>
      </w:rPr>
    </w:lvl>
  </w:abstractNum>
  <w:abstractNum w:abstractNumId="3">
    <w:lvl w:ilvl="0">
      <w:start w:val="1"/>
      <w:numFmt w:val="bullet"/>
      <w:lvlText w:val=""/>
      <w:lvlJc w:val="start"/>
      <w:pPr>
        <w:tabs>
          <w:tab w:val="num" w:pos="360"/>
        </w:tabs>
        <w:ind w:start="360" w:hanging="360"/>
      </w:pPr>
      <w:rPr>
        <w:rFonts w:ascii="Symbol" w:hAnsi="Symbol" w:cs="Symbol" w:hint="default"/>
        <w:color w:val="000000"/>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color w:val="0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BlockText">
    <w:name w:val="Block Text"/>
    <w:basedOn w:val="Normal"/>
    <w:qFormat/>
    <w:pPr>
      <w:ind w:hanging="0" w:start="360" w:end="43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2000-12-21T07:15:00Z</dcterms:created>
  <dc:creator>Anshuman Srivastav</dc:creator>
  <dc:description/>
  <dc:language>en-CA</dc:language>
  <cp:lastModifiedBy>EI</cp:lastModifiedBy>
  <cp:lastPrinted>2000-12-19T10:37:00Z</cp:lastPrinted>
  <dcterms:modified xsi:type="dcterms:W3CDTF">2000-12-21T07:15:00Z</dcterms:modified>
  <cp:revision>2</cp:revision>
  <dc:subject/>
  <dc:title>Fuel Price Risk Mitigation for Dabhol Power Company</dc:title>
</cp:coreProperties>
</file>