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LNG Vessels On Order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547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38"/>
        <w:gridCol w:w="1890"/>
        <w:gridCol w:w="2790"/>
        <w:gridCol w:w="3330"/>
        <w:gridCol w:w="4025"/>
      </w:tblGrid>
      <w:tr>
        <w:trPr>
          <w:trHeight w:val="873" w:hRule="atLeast"/>
        </w:trPr>
        <w:tc>
          <w:tcPr>
            <w:tcW w:w="3438" w:type="dxa"/>
            <w:tcBorders/>
          </w:tcPr>
          <w:p>
            <w:pPr>
              <w:pStyle w:val="Heading2"/>
              <w:ind w:hanging="0" w:start="0"/>
              <w:rPr>
                <w:sz w:val="32"/>
                <w:u w:val="single"/>
              </w:rPr>
            </w:pPr>
            <w:r>
              <w:rPr>
                <w:sz w:val="32"/>
                <w:u w:val="single"/>
              </w:rPr>
              <w:t>Company</w:t>
            </w:r>
          </w:p>
          <w:p>
            <w:pPr>
              <w:pStyle w:val="Normal"/>
              <w:rPr>
                <w:sz w:val="32"/>
                <w:u w:val="single"/>
              </w:rPr>
            </w:pPr>
            <w:r>
              <w:rPr>
                <w:sz w:val="32"/>
                <w:u w:val="single"/>
              </w:rPr>
            </w:r>
          </w:p>
        </w:tc>
        <w:tc>
          <w:tcPr>
            <w:tcW w:w="1890" w:type="dxa"/>
            <w:tcBorders/>
          </w:tcPr>
          <w:p>
            <w:pPr>
              <w:pStyle w:val="Heading2"/>
              <w:ind w:hanging="0" w:start="0"/>
              <w:jc w:val="center"/>
              <w:rPr>
                <w:sz w:val="32"/>
                <w:u w:val="single"/>
              </w:rPr>
            </w:pPr>
            <w:r>
              <w:rPr>
                <w:sz w:val="32"/>
                <w:u w:val="single"/>
              </w:rPr>
              <w:t>Number</w:t>
            </w:r>
          </w:p>
        </w:tc>
        <w:tc>
          <w:tcPr>
            <w:tcW w:w="2790" w:type="dxa"/>
            <w:tcBorders/>
          </w:tcPr>
          <w:p>
            <w:pPr>
              <w:pStyle w:val="Heading2"/>
              <w:ind w:hanging="0" w:start="0"/>
              <w:rPr>
                <w:sz w:val="32"/>
                <w:u w:val="single"/>
              </w:rPr>
            </w:pPr>
            <w:r>
              <w:rPr>
                <w:sz w:val="32"/>
                <w:u w:val="single"/>
              </w:rPr>
              <w:t>Shipyard</w:t>
            </w:r>
          </w:p>
        </w:tc>
        <w:tc>
          <w:tcPr>
            <w:tcW w:w="3330" w:type="dxa"/>
            <w:tcBorders/>
          </w:tcPr>
          <w:p>
            <w:pPr>
              <w:pStyle w:val="Heading2"/>
              <w:ind w:hanging="0" w:start="0"/>
              <w:rPr>
                <w:sz w:val="32"/>
                <w:u w:val="single"/>
              </w:rPr>
            </w:pPr>
            <w:r>
              <w:rPr>
                <w:sz w:val="32"/>
                <w:u w:val="single"/>
              </w:rPr>
              <w:t xml:space="preserve">LNG Project                      </w:t>
            </w:r>
          </w:p>
        </w:tc>
        <w:tc>
          <w:tcPr>
            <w:tcW w:w="4025" w:type="dxa"/>
            <w:tcBorders/>
          </w:tcPr>
          <w:p>
            <w:pPr>
              <w:pStyle w:val="Heading2"/>
              <w:ind w:hanging="0" w:start="0"/>
              <w:rPr>
                <w:sz w:val="32"/>
                <w:u w:val="single"/>
              </w:rPr>
            </w:pPr>
            <w:r>
              <w:rPr>
                <w:sz w:val="32"/>
                <w:u w:val="single"/>
              </w:rPr>
              <w:t>Delivery</w:t>
            </w:r>
          </w:p>
        </w:tc>
      </w:tr>
      <w:tr>
        <w:trPr/>
        <w:tc>
          <w:tcPr>
            <w:tcW w:w="3438" w:type="dxa"/>
            <w:tcBorders/>
          </w:tcPr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  <w:t>Greenfield Shipping Co.</w:t>
            </w:r>
          </w:p>
        </w:tc>
        <w:tc>
          <w:tcPr>
            <w:tcW w:w="1890" w:type="dxa"/>
            <w:tcBorders/>
          </w:tcPr>
          <w:p>
            <w:pPr>
              <w:pStyle w:val="Normal"/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2790" w:type="dxa"/>
            <w:tcBorders/>
          </w:tcPr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  <w:t>MHI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  <w:t>Dabhol- India</w:t>
            </w:r>
          </w:p>
        </w:tc>
        <w:tc>
          <w:tcPr>
            <w:tcW w:w="4025" w:type="dxa"/>
            <w:tcBorders/>
          </w:tcPr>
          <w:p>
            <w:pPr>
              <w:pStyle w:val="Heading3"/>
              <w:ind w:hanging="0" w:start="0"/>
              <w:jc w:val="start"/>
              <w:rPr>
                <w:b w:val="false"/>
                <w:sz w:val="32"/>
              </w:rPr>
            </w:pPr>
            <w:r>
              <w:rPr>
                <w:b w:val="false"/>
                <w:sz w:val="32"/>
              </w:rPr>
              <w:t>Oct. 2001</w:t>
            </w:r>
          </w:p>
          <w:p>
            <w:pPr>
              <w:pStyle w:val="Normal"/>
              <w:rPr>
                <w:b/>
                <w:sz w:val="32"/>
              </w:rPr>
            </w:pPr>
            <w:r>
              <w:rPr>
                <w:b/>
                <w:sz w:val="32"/>
              </w:rPr>
            </w:r>
          </w:p>
        </w:tc>
      </w:tr>
      <w:tr>
        <w:trPr/>
        <w:tc>
          <w:tcPr>
            <w:tcW w:w="3438" w:type="dxa"/>
            <w:tcBorders/>
          </w:tcPr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  <w:t>Nigeria LNG</w:t>
            </w:r>
          </w:p>
        </w:tc>
        <w:tc>
          <w:tcPr>
            <w:tcW w:w="1890" w:type="dxa"/>
            <w:tcBorders/>
          </w:tcPr>
          <w:p>
            <w:pPr>
              <w:pStyle w:val="Normal"/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2790" w:type="dxa"/>
            <w:tcBorders/>
          </w:tcPr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  <w:t>Hyundi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  <w:t>NLNG</w:t>
            </w:r>
          </w:p>
        </w:tc>
        <w:tc>
          <w:tcPr>
            <w:tcW w:w="4025" w:type="dxa"/>
            <w:tcBorders/>
          </w:tcPr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  <w:t>Oct. 2002 – Spring 2003</w:t>
            </w:r>
          </w:p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</w:r>
          </w:p>
        </w:tc>
      </w:tr>
      <w:tr>
        <w:trPr/>
        <w:tc>
          <w:tcPr>
            <w:tcW w:w="3438" w:type="dxa"/>
            <w:tcBorders/>
          </w:tcPr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  <w:t>Brunei Tanker Co.</w:t>
            </w:r>
          </w:p>
        </w:tc>
        <w:tc>
          <w:tcPr>
            <w:tcW w:w="1890" w:type="dxa"/>
            <w:tcBorders/>
          </w:tcPr>
          <w:p>
            <w:pPr>
              <w:pStyle w:val="Normal"/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2790" w:type="dxa"/>
            <w:tcBorders/>
          </w:tcPr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  <w:t>MHI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  <w:t>Brunei LNG</w:t>
            </w:r>
          </w:p>
        </w:tc>
        <w:tc>
          <w:tcPr>
            <w:tcW w:w="4025" w:type="dxa"/>
            <w:tcBorders/>
          </w:tcPr>
          <w:p>
            <w:pPr>
              <w:pStyle w:val="Heading3"/>
              <w:ind w:hanging="0" w:start="0"/>
              <w:jc w:val="start"/>
              <w:rPr>
                <w:b w:val="false"/>
                <w:sz w:val="32"/>
              </w:rPr>
            </w:pPr>
            <w:r>
              <w:rPr>
                <w:b w:val="false"/>
                <w:sz w:val="32"/>
              </w:rPr>
              <w:t>June 2002</w:t>
            </w:r>
          </w:p>
          <w:p>
            <w:pPr>
              <w:pStyle w:val="Normal"/>
              <w:rPr>
                <w:b/>
                <w:sz w:val="32"/>
              </w:rPr>
            </w:pPr>
            <w:r>
              <w:rPr>
                <w:b/>
                <w:sz w:val="32"/>
              </w:rPr>
            </w:r>
          </w:p>
        </w:tc>
      </w:tr>
      <w:tr>
        <w:trPr/>
        <w:tc>
          <w:tcPr>
            <w:tcW w:w="3438" w:type="dxa"/>
            <w:tcBorders/>
          </w:tcPr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  <w:t>MISC</w:t>
            </w:r>
          </w:p>
        </w:tc>
        <w:tc>
          <w:tcPr>
            <w:tcW w:w="1890" w:type="dxa"/>
            <w:tcBorders/>
          </w:tcPr>
          <w:p>
            <w:pPr>
              <w:pStyle w:val="Normal"/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2790" w:type="dxa"/>
            <w:tcBorders/>
          </w:tcPr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  <w:t>MHI/Mitsui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  <w:t>Malaysia LNG</w:t>
            </w:r>
          </w:p>
        </w:tc>
        <w:tc>
          <w:tcPr>
            <w:tcW w:w="4025" w:type="dxa"/>
            <w:tcBorders/>
          </w:tcPr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  <w:t>Oct. 2002 – Spring 2003</w:t>
            </w:r>
          </w:p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</w:r>
          </w:p>
        </w:tc>
      </w:tr>
      <w:tr>
        <w:trPr/>
        <w:tc>
          <w:tcPr>
            <w:tcW w:w="3438" w:type="dxa"/>
            <w:tcBorders/>
          </w:tcPr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  <w:t>Enagas</w:t>
            </w:r>
          </w:p>
        </w:tc>
        <w:tc>
          <w:tcPr>
            <w:tcW w:w="1890" w:type="dxa"/>
            <w:tcBorders/>
          </w:tcPr>
          <w:p>
            <w:pPr>
              <w:pStyle w:val="Normal"/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2790" w:type="dxa"/>
            <w:tcBorders/>
          </w:tcPr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  <w:t>Daewoo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  <w:t>ALNG – Spain</w:t>
            </w:r>
          </w:p>
        </w:tc>
        <w:tc>
          <w:tcPr>
            <w:tcW w:w="4025" w:type="dxa"/>
            <w:tcBorders/>
          </w:tcPr>
          <w:p>
            <w:pPr>
              <w:pStyle w:val="Heading3"/>
              <w:ind w:hanging="0" w:start="0"/>
              <w:jc w:val="start"/>
              <w:rPr>
                <w:b w:val="false"/>
                <w:sz w:val="32"/>
              </w:rPr>
            </w:pPr>
            <w:r>
              <w:rPr>
                <w:b w:val="false"/>
                <w:sz w:val="32"/>
              </w:rPr>
              <w:t>Dec. 2002</w:t>
            </w:r>
          </w:p>
          <w:p>
            <w:pPr>
              <w:pStyle w:val="Normal"/>
              <w:rPr>
                <w:b/>
                <w:sz w:val="32"/>
              </w:rPr>
            </w:pPr>
            <w:r>
              <w:rPr>
                <w:b/>
                <w:sz w:val="32"/>
              </w:rPr>
            </w:r>
          </w:p>
        </w:tc>
      </w:tr>
      <w:tr>
        <w:trPr/>
        <w:tc>
          <w:tcPr>
            <w:tcW w:w="3438" w:type="dxa"/>
            <w:tcBorders/>
          </w:tcPr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  <w:t>Enagas</w:t>
            </w:r>
          </w:p>
        </w:tc>
        <w:tc>
          <w:tcPr>
            <w:tcW w:w="1890" w:type="dxa"/>
            <w:tcBorders/>
          </w:tcPr>
          <w:p>
            <w:pPr>
              <w:pStyle w:val="Normal"/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2790" w:type="dxa"/>
            <w:tcBorders/>
          </w:tcPr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  <w:t>Spanish Yard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  <w:t>ALNG – Spain</w:t>
            </w:r>
          </w:p>
        </w:tc>
        <w:tc>
          <w:tcPr>
            <w:tcW w:w="4025" w:type="dxa"/>
            <w:tcBorders/>
          </w:tcPr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  <w:t>2003</w:t>
            </w:r>
          </w:p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</w:r>
          </w:p>
        </w:tc>
      </w:tr>
      <w:tr>
        <w:trPr/>
        <w:tc>
          <w:tcPr>
            <w:tcW w:w="3438" w:type="dxa"/>
            <w:tcBorders/>
          </w:tcPr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  <w:t>Shell</w:t>
            </w:r>
          </w:p>
        </w:tc>
        <w:tc>
          <w:tcPr>
            <w:tcW w:w="1890" w:type="dxa"/>
            <w:tcBorders/>
          </w:tcPr>
          <w:p>
            <w:pPr>
              <w:pStyle w:val="Normal"/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2790" w:type="dxa"/>
            <w:tcBorders/>
          </w:tcPr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  <w:t>MHI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  <w:t xml:space="preserve"> </w:t>
            </w:r>
            <w:r>
              <w:rPr>
                <w:sz w:val="32"/>
              </w:rPr>
              <w:t>?</w:t>
            </w:r>
          </w:p>
        </w:tc>
        <w:tc>
          <w:tcPr>
            <w:tcW w:w="4025" w:type="dxa"/>
            <w:tcBorders/>
          </w:tcPr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  <w:t>2002-2003</w:t>
            </w:r>
          </w:p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</w:r>
          </w:p>
        </w:tc>
      </w:tr>
      <w:tr>
        <w:trPr/>
        <w:tc>
          <w:tcPr>
            <w:tcW w:w="3438" w:type="dxa"/>
            <w:tcBorders/>
          </w:tcPr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  <w:t>BP</w:t>
            </w:r>
          </w:p>
        </w:tc>
        <w:tc>
          <w:tcPr>
            <w:tcW w:w="1890" w:type="dxa"/>
            <w:tcBorders/>
          </w:tcPr>
          <w:p>
            <w:pPr>
              <w:pStyle w:val="Normal"/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2790" w:type="dxa"/>
            <w:tcBorders/>
          </w:tcPr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  <w:t>Samsung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  <w:t xml:space="preserve"> </w:t>
            </w:r>
            <w:r>
              <w:rPr>
                <w:sz w:val="32"/>
              </w:rPr>
              <w:t>?</w:t>
            </w:r>
          </w:p>
        </w:tc>
        <w:tc>
          <w:tcPr>
            <w:tcW w:w="4025" w:type="dxa"/>
            <w:tcBorders/>
          </w:tcPr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  <w:t>2002-2003</w:t>
            </w:r>
          </w:p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</w:r>
          </w:p>
        </w:tc>
      </w:tr>
      <w:tr>
        <w:trPr/>
        <w:tc>
          <w:tcPr>
            <w:tcW w:w="3438" w:type="dxa"/>
            <w:tcBorders/>
          </w:tcPr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  <w:t>Tokyo Gas</w:t>
            </w:r>
          </w:p>
        </w:tc>
        <w:tc>
          <w:tcPr>
            <w:tcW w:w="1890" w:type="dxa"/>
            <w:tcBorders/>
          </w:tcPr>
          <w:p>
            <w:pPr>
              <w:pStyle w:val="Normal"/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2790" w:type="dxa"/>
            <w:tcBorders/>
          </w:tcPr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  <w:t>KHI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  <w:t>NWS-Japan</w:t>
            </w:r>
          </w:p>
        </w:tc>
        <w:tc>
          <w:tcPr>
            <w:tcW w:w="4025" w:type="dxa"/>
            <w:tcBorders/>
          </w:tcPr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  <w:t>2003-2005</w:t>
            </w:r>
          </w:p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</w:r>
          </w:p>
        </w:tc>
      </w:tr>
      <w:tr>
        <w:trPr/>
        <w:tc>
          <w:tcPr>
            <w:tcW w:w="3438" w:type="dxa"/>
            <w:tcBorders/>
          </w:tcPr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  <w:t>Bergesen</w:t>
            </w:r>
          </w:p>
        </w:tc>
        <w:tc>
          <w:tcPr>
            <w:tcW w:w="1890" w:type="dxa"/>
            <w:tcBorders/>
          </w:tcPr>
          <w:p>
            <w:pPr>
              <w:pStyle w:val="Normal"/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2790" w:type="dxa"/>
            <w:tcBorders/>
          </w:tcPr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  <w:t>Daewoo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  <w:t xml:space="preserve"> </w:t>
            </w:r>
            <w:r>
              <w:rPr>
                <w:sz w:val="32"/>
              </w:rPr>
              <w:t>?</w:t>
            </w:r>
          </w:p>
        </w:tc>
        <w:tc>
          <w:tcPr>
            <w:tcW w:w="4025" w:type="dxa"/>
            <w:tcBorders/>
          </w:tcPr>
          <w:p>
            <w:pPr>
              <w:pStyle w:val="Normal"/>
              <w:rPr/>
            </w:pPr>
            <w:r>
              <w:rPr>
                <w:sz w:val="32"/>
              </w:rPr>
              <w:t>1</w:t>
            </w:r>
            <w:r>
              <w:rPr>
                <w:sz w:val="32"/>
                <w:vertAlign w:val="superscript"/>
              </w:rPr>
              <w:t>st</w:t>
            </w:r>
            <w:r>
              <w:rPr>
                <w:sz w:val="32"/>
              </w:rPr>
              <w:t xml:space="preserve"> Q 2003</w:t>
            </w:r>
          </w:p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</w:r>
          </w:p>
        </w:tc>
      </w:tr>
      <w:tr>
        <w:trPr/>
        <w:tc>
          <w:tcPr>
            <w:tcW w:w="3438" w:type="dxa"/>
            <w:tcBorders/>
          </w:tcPr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  <w:t>Exmar</w:t>
            </w:r>
          </w:p>
        </w:tc>
        <w:tc>
          <w:tcPr>
            <w:tcW w:w="1890" w:type="dxa"/>
            <w:tcBorders/>
          </w:tcPr>
          <w:p>
            <w:pPr>
              <w:pStyle w:val="Normal"/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2790" w:type="dxa"/>
            <w:tcBorders/>
          </w:tcPr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  <w:t>Daewoo</w:t>
            </w:r>
          </w:p>
        </w:tc>
        <w:tc>
          <w:tcPr>
            <w:tcW w:w="3330" w:type="dxa"/>
            <w:tcBorders/>
          </w:tcPr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  <w:t xml:space="preserve"> </w:t>
            </w:r>
            <w:r>
              <w:rPr>
                <w:sz w:val="32"/>
              </w:rPr>
              <w:t>Enron</w:t>
            </w:r>
          </w:p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  <w:t xml:space="preserve"> </w:t>
            </w:r>
            <w:r>
              <w:rPr>
                <w:sz w:val="32"/>
              </w:rPr>
              <w:t>?</w:t>
            </w:r>
          </w:p>
        </w:tc>
        <w:tc>
          <w:tcPr>
            <w:tcW w:w="4025" w:type="dxa"/>
            <w:tcBorders/>
          </w:tcPr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  <w:t>Sept. 2002</w:t>
            </w:r>
          </w:p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  <w:t>Mar. 2003</w:t>
            </w:r>
          </w:p>
        </w:tc>
      </w:tr>
    </w:tbl>
    <w:p>
      <w:pPr>
        <w:pStyle w:val="Normal"/>
        <w:rPr>
          <w:b/>
          <w:sz w:val="28"/>
        </w:rPr>
      </w:pPr>
      <w:r>
        <w:rPr>
          <w:b/>
          <w:sz w:val="28"/>
        </w:rPr>
      </w:r>
    </w:p>
    <w:sectPr>
      <w:type w:val="nextPage"/>
      <w:pgSz w:orient="landscape" w:w="15840" w:h="122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2000-11-21T13:33:00Z</dcterms:created>
  <dc:creator>clong</dc:creator>
  <dc:description/>
  <dc:language>en-CA</dc:language>
  <cp:lastModifiedBy>bjohnsto</cp:lastModifiedBy>
  <cp:lastPrinted>2000-11-20T10:28:00Z</cp:lastPrinted>
  <dcterms:modified xsi:type="dcterms:W3CDTF">2000-11-21T13:33:00Z</dcterms:modified>
  <cp:revision>2</cp:revision>
  <dc:subject/>
  <dc:title>LNG VESSELS ON ORDER</dc:title>
</cp:coreProperties>
</file>