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ind w:start="4320" w:end="0"/>
        <w:rPr>
          <w:rFonts w:ascii="Arial" w:hAnsi="Arial" w:cs="Arial"/>
          <w:sz w:val="22"/>
        </w:rPr>
      </w:pPr>
      <w:r>
        <w:rPr>
          <w:rFonts w:cs="Arial" w:ascii="Arial" w:hAnsi="Arial"/>
          <w:sz w:val="22"/>
        </w:rPr>
        <w:t>January 8,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Mr. James G. Routson</w:t>
      </w:r>
    </w:p>
    <w:p>
      <w:pPr>
        <w:pStyle w:val="Normal"/>
        <w:rPr>
          <w:rFonts w:ascii="Arial" w:hAnsi="Arial" w:cs="Arial"/>
          <w:sz w:val="22"/>
        </w:rPr>
      </w:pPr>
      <w:r>
        <w:rPr>
          <w:rFonts w:cs="Arial" w:ascii="Arial" w:hAnsi="Arial"/>
          <w:sz w:val="22"/>
        </w:rPr>
        <w:t>President</w:t>
      </w:r>
    </w:p>
    <w:p>
      <w:pPr>
        <w:pStyle w:val="Normal"/>
        <w:rPr>
          <w:rFonts w:ascii="Arial" w:hAnsi="Arial" w:cs="Arial"/>
          <w:sz w:val="22"/>
        </w:rPr>
      </w:pPr>
      <w:r>
        <w:rPr>
          <w:rFonts w:cs="Arial" w:ascii="Arial" w:hAnsi="Arial"/>
          <w:sz w:val="22"/>
        </w:rPr>
        <w:t>P.O. Box 3394</w:t>
      </w:r>
    </w:p>
    <w:p>
      <w:pPr>
        <w:pStyle w:val="Normal"/>
        <w:rPr/>
      </w:pPr>
      <w:r>
        <w:rPr>
          <w:rFonts w:cs="Arial" w:ascii="Arial" w:hAnsi="Arial"/>
          <w:sz w:val="22"/>
        </w:rPr>
        <w:t>100 N. 27</w:t>
      </w:r>
      <w:r>
        <w:rPr>
          <w:rFonts w:cs="Arial" w:ascii="Arial" w:hAnsi="Arial"/>
          <w:sz w:val="22"/>
          <w:vertAlign w:val="superscript"/>
        </w:rPr>
        <w:t>th</w:t>
      </w:r>
      <w:r>
        <w:rPr>
          <w:rFonts w:cs="Arial" w:ascii="Arial" w:hAnsi="Arial"/>
          <w:sz w:val="22"/>
        </w:rPr>
        <w:t xml:space="preserve"> Street, Suite 650</w:t>
      </w:r>
    </w:p>
    <w:p>
      <w:pPr>
        <w:pStyle w:val="Normal"/>
        <w:rPr>
          <w:rFonts w:ascii="Arial" w:hAnsi="Arial" w:cs="Arial"/>
          <w:sz w:val="22"/>
        </w:rPr>
      </w:pPr>
      <w:r>
        <w:rPr>
          <w:rFonts w:cs="Arial" w:ascii="Arial" w:hAnsi="Arial"/>
          <w:sz w:val="22"/>
        </w:rPr>
        <w:t>Billings, MT  59103-3394</w:t>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Mr. Routson:</w:t>
      </w:r>
    </w:p>
    <w:p>
      <w:pPr>
        <w:pStyle w:val="Normal"/>
        <w:jc w:val="both"/>
        <w:rPr>
          <w:rFonts w:ascii="Arial" w:hAnsi="Arial" w:cs="Arial"/>
          <w:sz w:val="22"/>
        </w:rPr>
      </w:pPr>
      <w:r>
        <w:rPr>
          <w:rFonts w:cs="Arial" w:ascii="Arial" w:hAnsi="Arial"/>
          <w:sz w:val="22"/>
        </w:rPr>
      </w:r>
    </w:p>
    <w:p>
      <w:pPr>
        <w:pStyle w:val="BodyText"/>
        <w:rPr>
          <w:rFonts w:cs="Arial"/>
          <w:sz w:val="22"/>
        </w:rPr>
      </w:pPr>
      <w:r>
        <w:rPr>
          <w:rFonts w:cs="Arial"/>
          <w:sz w:val="22"/>
        </w:rPr>
        <w:t>As we have discussed during our recent phone conversations in December, Crescendo Energy, LLC, a Delaware limited liability company, (“Crescendo”) is proceeding with plans to install a gas treating and processing facility near its Badger Wash Gas Field located in western Colorado.  Crescendo is pleased to present this proposal to Lone Mountain Production Company (“Lone Mountain”) for processing its Bar-X low-Btu Entrada gas reserves through Crescendo’s Badger Wash Gas Plant.  This letter outlines Crescendo’s proposal to Lone Mountain and, when executed by both parties, sets forth as a letter of intent certain non-binding understandings and certain binding agreements between Crescendo and Lone Mountain.</w:t>
      </w:r>
    </w:p>
    <w:p>
      <w:pPr>
        <w:pStyle w:val="Normal"/>
        <w:jc w:val="both"/>
        <w:rPr>
          <w:rFonts w:ascii="Arial" w:hAnsi="Arial" w:cs="Arial"/>
          <w:sz w:val="22"/>
        </w:rPr>
      </w:pPr>
      <w:r>
        <w:rPr>
          <w:rFonts w:cs="Arial" w:ascii="Arial" w:hAnsi="Arial"/>
          <w:sz w:val="22"/>
        </w:rPr>
      </w:r>
    </w:p>
    <w:p>
      <w:pPr>
        <w:pStyle w:val="Heading5"/>
        <w:ind w:hanging="0" w:start="0"/>
        <w:rPr>
          <w:rFonts w:cs="Arial"/>
          <w:sz w:val="22"/>
        </w:rPr>
      </w:pPr>
      <w:r>
        <w:rPr>
          <w:rFonts w:cs="Arial"/>
          <w:sz w:val="22"/>
        </w:rPr>
        <w:t>1.0</w:t>
        <w:tab/>
        <w:t>Proposal Objectives</w:t>
      </w:r>
    </w:p>
    <w:p>
      <w:pPr>
        <w:pStyle w:val="Normal"/>
        <w:jc w:val="both"/>
        <w:rPr>
          <w:rFonts w:ascii="Arial" w:hAnsi="Arial" w:cs="Arial"/>
          <w:sz w:val="22"/>
        </w:rPr>
      </w:pPr>
      <w:r>
        <w:rPr>
          <w:rFonts w:cs="Arial" w:ascii="Arial" w:hAnsi="Arial"/>
          <w:sz w:val="22"/>
        </w:rPr>
      </w:r>
    </w:p>
    <w:p>
      <w:pPr>
        <w:pStyle w:val="BodyText2"/>
        <w:widowControl/>
        <w:spacing w:lineRule="auto" w:line="240"/>
        <w:rPr>
          <w:rFonts w:cs="Arial"/>
        </w:rPr>
      </w:pPr>
      <w:r>
        <w:rPr>
          <w:rFonts w:cs="Arial"/>
        </w:rPr>
        <w:t>Lone Mountain requires gas gathering system and gas processing facility to process and treat low BTU Entrada gas production from the Bar-X field located in Grand County, Utah and Mesa County, Colorado.  Cumulative Entrada production from the Bar-X field is approximately 3.2 BCF with remaining recoverable reserves estimated at 8-15 BCF. The gas is currently shut-in due to approximately 25% carbon dioxide and 22% nitrogen content in the produced gas stream.  We are very interested in providing the most economic gas gathering and processing solution to allow Lone Mountain to maximize gas sales of this low-Btu gas.  Crescendo believes this proposal will provide the following advantages to Lone Mountain:</w:t>
      </w:r>
    </w:p>
    <w:p>
      <w:pPr>
        <w:pStyle w:val="Normal"/>
        <w:jc w:val="both"/>
        <w:rPr>
          <w:rFonts w:ascii="Arial" w:hAnsi="Arial" w:cs="Arial"/>
          <w:sz w:val="22"/>
        </w:rPr>
      </w:pPr>
      <w:r>
        <w:rPr>
          <w:rFonts w:cs="Arial" w:ascii="Arial" w:hAnsi="Arial"/>
          <w:sz w:val="22"/>
        </w:rPr>
      </w:r>
    </w:p>
    <w:p>
      <w:pPr>
        <w:pStyle w:val="Normal"/>
        <w:numPr>
          <w:ilvl w:val="0"/>
          <w:numId w:val="2"/>
        </w:numPr>
        <w:tabs>
          <w:tab w:val="clear" w:pos="720"/>
        </w:tabs>
        <w:ind w:hanging="720" w:start="1440" w:end="0"/>
        <w:jc w:val="both"/>
        <w:rPr>
          <w:rFonts w:ascii="Arial" w:hAnsi="Arial" w:cs="Arial"/>
          <w:sz w:val="22"/>
        </w:rPr>
      </w:pPr>
      <w:r>
        <w:rPr>
          <w:rFonts w:cs="Arial" w:ascii="Arial" w:hAnsi="Arial"/>
          <w:sz w:val="22"/>
        </w:rPr>
        <w:t>Potential to maximize low BTU gas production from the Bar-X field with a larger capacity treating facility with the potential to handle more than the estimated 4 MMSCFD;</w:t>
      </w:r>
    </w:p>
    <w:p>
      <w:pPr>
        <w:pStyle w:val="Normal"/>
        <w:numPr>
          <w:ilvl w:val="0"/>
          <w:numId w:val="2"/>
        </w:numPr>
        <w:tabs>
          <w:tab w:val="clear" w:pos="720"/>
        </w:tabs>
        <w:ind w:hanging="720" w:start="1440" w:end="0"/>
        <w:jc w:val="both"/>
        <w:rPr>
          <w:rFonts w:ascii="Arial" w:hAnsi="Arial" w:cs="Arial"/>
          <w:sz w:val="22"/>
        </w:rPr>
      </w:pPr>
      <w:r>
        <w:rPr>
          <w:rFonts w:cs="Arial" w:ascii="Arial" w:hAnsi="Arial"/>
          <w:sz w:val="22"/>
        </w:rPr>
        <w:t>Minimize up-front capital cost to Lone Mountain;</w:t>
      </w:r>
    </w:p>
    <w:p>
      <w:pPr>
        <w:pStyle w:val="Normal"/>
        <w:numPr>
          <w:ilvl w:val="0"/>
          <w:numId w:val="2"/>
        </w:numPr>
        <w:tabs>
          <w:tab w:val="clear" w:pos="720"/>
        </w:tabs>
        <w:ind w:hanging="720" w:start="1440" w:end="0"/>
        <w:jc w:val="both"/>
        <w:rPr>
          <w:rFonts w:ascii="Arial" w:hAnsi="Arial" w:cs="Arial"/>
          <w:sz w:val="22"/>
        </w:rPr>
      </w:pPr>
      <w:r>
        <w:rPr>
          <w:rFonts w:cs="Arial" w:ascii="Arial" w:hAnsi="Arial"/>
          <w:sz w:val="22"/>
        </w:rPr>
        <w:t>Reduced risk through alliance with experienced company that specializes in low-Btu treating applications;</w:t>
      </w:r>
    </w:p>
    <w:p>
      <w:pPr>
        <w:pStyle w:val="Normal"/>
        <w:numPr>
          <w:ilvl w:val="0"/>
          <w:numId w:val="2"/>
        </w:numPr>
        <w:tabs>
          <w:tab w:val="clear" w:pos="720"/>
        </w:tabs>
        <w:ind w:hanging="720" w:start="1440" w:end="0"/>
        <w:jc w:val="both"/>
        <w:rPr>
          <w:rFonts w:ascii="Arial" w:hAnsi="Arial" w:cs="Arial"/>
          <w:sz w:val="22"/>
        </w:rPr>
      </w:pPr>
      <w:r>
        <w:rPr>
          <w:rFonts w:cs="Arial" w:ascii="Arial" w:hAnsi="Arial"/>
          <w:sz w:val="22"/>
        </w:rPr>
        <w:t>Reduced risk and highest recovery due to use of proven BCCK Engineering’s Nitech™ technology;</w:t>
      </w:r>
    </w:p>
    <w:p>
      <w:pPr>
        <w:pStyle w:val="Normal"/>
        <w:numPr>
          <w:ilvl w:val="0"/>
          <w:numId w:val="2"/>
        </w:numPr>
        <w:tabs>
          <w:tab w:val="clear" w:pos="720"/>
        </w:tabs>
        <w:ind w:hanging="720" w:start="1440" w:end="0"/>
        <w:jc w:val="both"/>
        <w:rPr>
          <w:rFonts w:ascii="Arial" w:hAnsi="Arial" w:cs="Arial"/>
          <w:sz w:val="22"/>
        </w:rPr>
      </w:pPr>
      <w:r>
        <w:rPr>
          <w:rFonts w:cs="Arial" w:ascii="Arial" w:hAnsi="Arial"/>
          <w:sz w:val="22"/>
        </w:rPr>
        <w:t>Maximum flexibility as to inlet percentage of nitrogen and CO</w:t>
      </w:r>
      <w:r>
        <w:rPr>
          <w:rFonts w:cs="Arial" w:ascii="Arial" w:hAnsi="Arial"/>
          <w:sz w:val="22"/>
          <w:vertAlign w:val="subscript"/>
        </w:rPr>
        <w:t>2;</w:t>
      </w:r>
    </w:p>
    <w:p>
      <w:pPr>
        <w:pStyle w:val="Normal"/>
        <w:numPr>
          <w:ilvl w:val="0"/>
          <w:numId w:val="2"/>
        </w:numPr>
        <w:tabs>
          <w:tab w:val="clear" w:pos="720"/>
        </w:tabs>
        <w:ind w:hanging="720" w:start="1440" w:end="0"/>
        <w:jc w:val="both"/>
        <w:rPr>
          <w:rFonts w:ascii="Arial" w:hAnsi="Arial" w:cs="Arial"/>
          <w:sz w:val="22"/>
        </w:rPr>
      </w:pPr>
      <w:r>
        <w:rPr>
          <w:rFonts w:cs="Arial" w:ascii="Arial" w:hAnsi="Arial"/>
          <w:sz w:val="22"/>
        </w:rPr>
        <w:t>Lowest possible processing fee through economies of scale with Crescendo’s low-Btu gas in the area.</w:t>
      </w:r>
      <w:r>
        <w:br w:type="page"/>
      </w:r>
    </w:p>
    <w:p>
      <w:pPr>
        <w:pStyle w:val="Normal"/>
        <w:jc w:val="both"/>
        <w:rPr>
          <w:rFonts w:ascii="Arial" w:hAnsi="Arial" w:cs="Arial"/>
          <w:b/>
          <w:smallCaps/>
          <w:sz w:val="22"/>
        </w:rPr>
      </w:pPr>
      <w:r>
        <w:rPr>
          <w:rFonts w:cs="Arial" w:ascii="Arial" w:hAnsi="Arial"/>
          <w:b/>
          <w:smallCaps/>
          <w:sz w:val="22"/>
        </w:rPr>
      </w:r>
    </w:p>
    <w:p>
      <w:pPr>
        <w:pStyle w:val="Heading6"/>
        <w:ind w:hanging="0" w:start="0"/>
        <w:rPr/>
      </w:pPr>
      <w:r>
        <w:rPr/>
        <w:t>2.0</w:t>
        <w:tab/>
        <w:t>Project Description</w:t>
      </w:r>
    </w:p>
    <w:p>
      <w:pPr>
        <w:pStyle w:val="Normal"/>
        <w:jc w:val="both"/>
        <w:rPr>
          <w:rFonts w:ascii="Arial" w:hAnsi="Arial" w:cs="Arial"/>
          <w:sz w:val="22"/>
        </w:rPr>
      </w:pPr>
      <w:r>
        <w:rPr>
          <w:rFonts w:cs="Arial" w:ascii="Arial" w:hAnsi="Arial"/>
          <w:sz w:val="22"/>
        </w:rPr>
      </w:r>
    </w:p>
    <w:p>
      <w:pPr>
        <w:pStyle w:val="BodyText2"/>
        <w:widowControl/>
        <w:spacing w:lineRule="auto" w:line="240"/>
        <w:rPr/>
      </w:pPr>
      <w:r>
        <w:rPr>
          <w:rFonts w:cs="Arial"/>
        </w:rPr>
        <w:t xml:space="preserve">Gas from the Bar-X low-Btu gas wells will be gathered to the inlet of the BWGP.  To maximize profit to Lone Mountain, gas sales may still occur at the wellhead.  Lone Mountain, at its option, may gather its gas directly to the facility through its own system or work with Crescendo to combine gathering systems with its Badger Wash field gathering system.  Included in the gathering system will be all wellhead metering and compression required to transport the gas from the wellhead to the facility.  The facility will be located in Township 8 South Range 103 West, Section 29, just north of the existing South Canyon Northwest Pipeline Interconnect.  All individual wellhead equipment will be installed and maintained by Lone Mountain.  At the facility, inlet gas will be treated to reduce the carbon dioxide, water, and nitrogen content as well as the hydrocarbon dew point to meet or exceed pipeline sales specifications.  At the exit to the facility, the gas will be injected into the NWPL through a Crescendo owned NWPL interconnect.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5"/>
        <w:ind w:hanging="0" w:start="0"/>
        <w:rPr>
          <w:rFonts w:cs="Arial"/>
          <w:sz w:val="22"/>
        </w:rPr>
      </w:pPr>
      <w:r>
        <w:rPr>
          <w:rFonts w:cs="Arial"/>
          <w:sz w:val="22"/>
        </w:rPr>
        <w:t>3.0</w:t>
        <w:tab/>
        <w:t>Definitive Agreements</w:t>
      </w:r>
    </w:p>
    <w:p>
      <w:pPr>
        <w:pStyle w:val="Normal"/>
        <w:jc w:val="both"/>
        <w:rPr>
          <w:rFonts w:ascii="Arial" w:hAnsi="Arial" w:cs="Arial"/>
          <w:sz w:val="22"/>
        </w:rPr>
      </w:pPr>
      <w:r>
        <w:rPr>
          <w:rFonts w:cs="Arial" w:ascii="Arial" w:hAnsi="Arial"/>
          <w:sz w:val="22"/>
        </w:rPr>
      </w:r>
    </w:p>
    <w:p>
      <w:pPr>
        <w:pStyle w:val="BodyText2"/>
        <w:widowControl/>
        <w:spacing w:lineRule="auto" w:line="240"/>
        <w:rPr/>
      </w:pPr>
      <w:r>
        <w:rPr>
          <w:rFonts w:cs="Arial"/>
        </w:rPr>
        <w:t>Crescendo and Lone Mountain shall endeavor to incorporate the terms and conditions expressed in this letter in a mutually acceptable definitive Processing Agreement (Agreement”) no later than March 31</w:t>
      </w:r>
      <w:bookmarkStart w:id="0" w:name="TermDate"/>
      <w:r>
        <w:rPr>
          <w:rFonts w:cs="Arial"/>
        </w:rPr>
        <w:fldChar w:fldCharType="begin"/>
      </w:r>
      <w:r>
        <w:rPr>
          <w:rFonts w:cs="Arial"/>
        </w:rPr>
        <w:instrText xml:space="preserve"> SET TermDate_x0013_fillin "______________" </w:instrText>
      </w:r>
      <w:r>
        <w:rPr>
          <w:rFonts w:cs="Arial"/>
        </w:rPr>
        <w:fldChar w:fldCharType="separate"/>
      </w:r>
      <w:bookmarkStart w:id="1" w:name="TermDate%13fillin"/>
      <w:r>
        <w:rPr>
          <w:rFonts w:cs="Arial"/>
        </w:rPr>
      </w:r>
      <w:bookmarkEnd w:id="1"/>
      <w:r>
        <w:rPr>
          <w:rFonts w:cs="Arial"/>
        </w:rPr>
        <w:fldChar w:fldCharType="end"/>
      </w:r>
      <w:bookmarkEnd w:id="0"/>
      <w:r>
        <w:rPr>
          <w:rFonts w:cs="Arial"/>
        </w:rPr>
        <w:t>, 2000.  In the event Crescendo and Lone Mountain are unable to execute an Agreement by then, this letter shall be deemed terminated, and neither Crescendo nor Lone Mountain shall have any further obligation to the other, except as provided in paragraphs 8, 9 and 10 below, which obligations shall survive the termination of this letter.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5"/>
        <w:ind w:hanging="0" w:start="0"/>
        <w:rPr>
          <w:rFonts w:cs="Arial"/>
          <w:sz w:val="22"/>
        </w:rPr>
      </w:pPr>
      <w:r>
        <w:rPr>
          <w:rFonts w:cs="Arial"/>
          <w:sz w:val="22"/>
        </w:rPr>
        <w:t>4.0</w:t>
        <w:tab/>
        <w:t>Gas Treating and Processing Terms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Crescendo proposes to process and treat Lone Mountain’s Bar-X low-Btu Entrada gas under the following terms and conditions:</w:t>
      </w:r>
    </w:p>
    <w:p>
      <w:pPr>
        <w:pStyle w:val="Normal"/>
        <w:ind w:start="720" w:end="0"/>
        <w:jc w:val="both"/>
        <w:rPr>
          <w:rFonts w:ascii="Arial" w:hAnsi="Arial" w:cs="Arial"/>
          <w:sz w:val="22"/>
        </w:rPr>
      </w:pPr>
      <w:r>
        <w:rPr>
          <w:rFonts w:cs="Arial" w:ascii="Arial" w:hAnsi="Arial"/>
          <w:sz w:val="22"/>
        </w:rPr>
      </w:r>
    </w:p>
    <w:p>
      <w:pPr>
        <w:pStyle w:val="Normal"/>
        <w:numPr>
          <w:ilvl w:val="0"/>
          <w:numId w:val="3"/>
        </w:numPr>
        <w:tabs>
          <w:tab w:val="clear" w:pos="720"/>
        </w:tabs>
        <w:ind w:hanging="720" w:start="1440" w:end="0"/>
        <w:jc w:val="both"/>
        <w:rPr>
          <w:rFonts w:ascii="Arial" w:hAnsi="Arial" w:cs="Arial"/>
          <w:sz w:val="22"/>
        </w:rPr>
      </w:pPr>
      <w:r>
        <w:rPr>
          <w:rFonts w:cs="Arial" w:ascii="Arial" w:hAnsi="Arial"/>
          <w:sz w:val="22"/>
        </w:rPr>
        <w:t>Processing Fee:</w:t>
        <w:tab/>
        <w:t>$0.65/mcf on measured inlet volumes</w:t>
      </w:r>
    </w:p>
    <w:p>
      <w:pPr>
        <w:pStyle w:val="Normal"/>
        <w:numPr>
          <w:ilvl w:val="0"/>
          <w:numId w:val="3"/>
        </w:numPr>
        <w:tabs>
          <w:tab w:val="clear" w:pos="720"/>
        </w:tabs>
        <w:ind w:hanging="2880" w:start="3600" w:end="0"/>
        <w:jc w:val="both"/>
        <w:rPr>
          <w:rFonts w:ascii="Arial" w:hAnsi="Arial" w:cs="Arial"/>
          <w:sz w:val="22"/>
        </w:rPr>
      </w:pPr>
      <w:r>
        <w:rPr>
          <w:rFonts w:cs="Arial" w:ascii="Arial" w:hAnsi="Arial"/>
          <w:sz w:val="22"/>
        </w:rPr>
        <w:t>Fuel Gas:</w:t>
        <w:tab/>
        <w:t xml:space="preserve">Provided in-kind by Producer </w:t>
      </w:r>
    </w:p>
    <w:p>
      <w:pPr>
        <w:pStyle w:val="Normal"/>
        <w:numPr>
          <w:ilvl w:val="0"/>
          <w:numId w:val="3"/>
        </w:numPr>
        <w:tabs>
          <w:tab w:val="clear" w:pos="720"/>
        </w:tabs>
        <w:ind w:hanging="2880" w:start="3600" w:end="0"/>
        <w:jc w:val="both"/>
        <w:rPr>
          <w:rFonts w:ascii="Arial" w:hAnsi="Arial" w:cs="Arial"/>
          <w:sz w:val="22"/>
        </w:rPr>
      </w:pPr>
      <w:r>
        <w:rPr>
          <w:rFonts w:cs="Arial" w:ascii="Arial" w:hAnsi="Arial"/>
          <w:sz w:val="22"/>
        </w:rPr>
        <w:t>NGL Extraction:</w:t>
        <w:tab/>
        <w:t>Producer retains 80% of NGL Proceeds.  Component Recovery Factors are estimated at:</w:t>
      </w:r>
    </w:p>
    <w:p>
      <w:pPr>
        <w:pStyle w:val="Normal"/>
        <w:ind w:start="4320" w:end="0"/>
        <w:jc w:val="both"/>
        <w:rPr>
          <w:rFonts w:ascii="Arial" w:hAnsi="Arial" w:cs="Arial"/>
          <w:sz w:val="22"/>
        </w:rPr>
      </w:pPr>
      <w:r>
        <w:rPr>
          <w:rFonts w:cs="Arial" w:ascii="Arial" w:hAnsi="Arial"/>
          <w:sz w:val="22"/>
        </w:rPr>
        <w:t>Ethane</w:t>
        <w:tab/>
        <w:tab/>
        <w:t xml:space="preserve">  1.7%</w:t>
      </w:r>
    </w:p>
    <w:p>
      <w:pPr>
        <w:pStyle w:val="Normal"/>
        <w:ind w:start="4320" w:end="0"/>
        <w:jc w:val="both"/>
        <w:rPr>
          <w:rFonts w:ascii="Arial" w:hAnsi="Arial" w:cs="Arial"/>
          <w:sz w:val="22"/>
        </w:rPr>
      </w:pPr>
      <w:r>
        <w:rPr>
          <w:rFonts w:cs="Arial" w:ascii="Arial" w:hAnsi="Arial"/>
          <w:sz w:val="22"/>
        </w:rPr>
        <w:t>Propane</w:t>
        <w:tab/>
        <w:t xml:space="preserve">  6.9%</w:t>
      </w:r>
    </w:p>
    <w:p>
      <w:pPr>
        <w:pStyle w:val="Normal"/>
        <w:ind w:start="4320" w:end="0"/>
        <w:jc w:val="both"/>
        <w:rPr>
          <w:rFonts w:ascii="Arial" w:hAnsi="Arial" w:cs="Arial"/>
          <w:sz w:val="22"/>
        </w:rPr>
      </w:pPr>
      <w:r>
        <w:rPr>
          <w:rFonts w:cs="Arial" w:ascii="Arial" w:hAnsi="Arial"/>
          <w:sz w:val="22"/>
        </w:rPr>
        <w:t>I-Butane</w:t>
        <w:tab/>
        <w:t>16.8%</w:t>
      </w:r>
    </w:p>
    <w:p>
      <w:pPr>
        <w:pStyle w:val="Normal"/>
        <w:ind w:start="4320" w:end="0"/>
        <w:jc w:val="both"/>
        <w:rPr>
          <w:rFonts w:ascii="Arial" w:hAnsi="Arial" w:cs="Arial"/>
          <w:sz w:val="22"/>
        </w:rPr>
      </w:pPr>
      <w:r>
        <w:rPr>
          <w:rFonts w:cs="Arial" w:ascii="Arial" w:hAnsi="Arial"/>
          <w:sz w:val="22"/>
        </w:rPr>
        <w:t>N-Butane</w:t>
        <w:tab/>
        <w:t>22.7%</w:t>
      </w:r>
    </w:p>
    <w:p>
      <w:pPr>
        <w:pStyle w:val="Normal"/>
        <w:ind w:start="4320" w:end="0"/>
        <w:jc w:val="both"/>
        <w:rPr>
          <w:rFonts w:ascii="Arial" w:hAnsi="Arial" w:cs="Arial"/>
          <w:sz w:val="22"/>
        </w:rPr>
      </w:pPr>
      <w:r>
        <w:rPr>
          <w:rFonts w:cs="Arial" w:ascii="Arial" w:hAnsi="Arial"/>
          <w:sz w:val="22"/>
        </w:rPr>
        <w:t>I-Pentane</w:t>
        <w:tab/>
        <w:t>40.4%</w:t>
      </w:r>
    </w:p>
    <w:p>
      <w:pPr>
        <w:pStyle w:val="Normal"/>
        <w:ind w:start="4320" w:end="0"/>
        <w:jc w:val="both"/>
        <w:rPr>
          <w:rFonts w:ascii="Arial" w:hAnsi="Arial" w:cs="Arial"/>
          <w:sz w:val="22"/>
        </w:rPr>
      </w:pPr>
      <w:r>
        <w:rPr>
          <w:rFonts w:cs="Arial" w:ascii="Arial" w:hAnsi="Arial"/>
          <w:sz w:val="22"/>
        </w:rPr>
        <w:t>N-Pentane</w:t>
        <w:tab/>
        <w:t>45.5%</w:t>
      </w:r>
    </w:p>
    <w:p>
      <w:pPr>
        <w:pStyle w:val="Normal"/>
        <w:ind w:start="4320" w:end="0"/>
        <w:jc w:val="both"/>
        <w:rPr>
          <w:rFonts w:ascii="Arial" w:hAnsi="Arial" w:cs="Arial"/>
          <w:sz w:val="22"/>
        </w:rPr>
      </w:pPr>
      <w:r>
        <w:rPr>
          <w:rFonts w:cs="Arial" w:ascii="Arial" w:hAnsi="Arial"/>
          <w:sz w:val="22"/>
        </w:rPr>
        <w:t>Hexanes+</w:t>
        <w:tab/>
        <w:t>78.2%</w:t>
      </w:r>
    </w:p>
    <w:p>
      <w:pPr>
        <w:pStyle w:val="Normal"/>
        <w:numPr>
          <w:ilvl w:val="0"/>
          <w:numId w:val="3"/>
        </w:numPr>
        <w:tabs>
          <w:tab w:val="clear" w:pos="720"/>
        </w:tabs>
        <w:ind w:hanging="2880" w:start="3600" w:end="0"/>
        <w:jc w:val="both"/>
        <w:rPr>
          <w:rFonts w:ascii="Arial" w:hAnsi="Arial" w:cs="Arial"/>
          <w:sz w:val="22"/>
        </w:rPr>
      </w:pPr>
      <w:r>
        <w:rPr>
          <w:rFonts w:cs="Arial" w:ascii="Arial" w:hAnsi="Arial"/>
          <w:sz w:val="22"/>
        </w:rPr>
        <w:t>Contract Term:</w:t>
        <w:tab/>
        <w:t>Commitment of Bar-X Entrada reserves to the Plant for 5 years from Plant start-up or 12 BCF, whichever shall first occur, month to month thereafter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Fuel gas is estimated to be 9% by volume of the inlet stream.  Power Company fuel surcharges will also be allocated to the producers based on their inlet volumes.  Hydrocarbon losses through the plant are estimated at 2%.</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Crescendo will condition the inlet gas to maintain a hydrocarbon dew point that meets pipeline specifications.  Crescendo proposes to market 100% of the NGL.  Eighty percent of the NGLs will be allocated back to the producers based on the composition of the inlet gas.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Crescendo will install all necessary compression to inject the plant residue gas into NWPL.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5"/>
        <w:ind w:hanging="0" w:start="0"/>
        <w:rPr>
          <w:rFonts w:cs="Arial"/>
          <w:sz w:val="22"/>
        </w:rPr>
      </w:pPr>
      <w:r>
        <w:rPr>
          <w:rFonts w:cs="Arial"/>
          <w:sz w:val="22"/>
        </w:rPr>
        <w:t>5.0</w:t>
        <w:tab/>
        <w:t>Bar-X Entrada Gas Reserves and Acreage Commitment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Under the terms of a definitive processing agreement, Bar-X Entrada reserves as described in Exhibit “A” owned and/or operated by Lone Mountain shall be committed to the BWGP.  Lone Mountain will be required to recomplete, workover, or drill necessary well(s) by August 1, 2001 to be capable of producing 4 mmscfd (minimum) average daily rate of Bar-X Entrada gas to the inlet of the facility.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Crescendo Energy will reserve 4 mmscfd of capacity in the BWGP for Lone Mountain Bar-X Entrada gas.  Excess plant capacity, if available, will be made available to producers for additional volumes on a pro-rata basis of inlet volumes.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Bar-X Entrada gas composition used as a basis for this proposal is as follows:</w:t>
      </w:r>
    </w:p>
    <w:p>
      <w:pPr>
        <w:pStyle w:val="Normal"/>
        <w:jc w:val="both"/>
        <w:rPr>
          <w:rFonts w:ascii="Arial" w:hAnsi="Arial" w:cs="Arial"/>
          <w:sz w:val="22"/>
        </w:rPr>
      </w:pPr>
      <w:r>
        <w:rPr>
          <w:rFonts w:cs="Arial" w:ascii="Arial" w:hAnsi="Arial"/>
          <w:sz w:val="22"/>
        </w:rPr>
      </w:r>
    </w:p>
    <w:tbl>
      <w:tblPr>
        <w:tblW w:w="5580" w:type="dxa"/>
        <w:jc w:val="start"/>
        <w:tblInd w:w="1728" w:type="dxa"/>
        <w:tblLayout w:type="fixed"/>
        <w:tblCellMar>
          <w:top w:w="0" w:type="dxa"/>
          <w:start w:w="108" w:type="dxa"/>
          <w:bottom w:w="0" w:type="dxa"/>
          <w:end w:w="108" w:type="dxa"/>
        </w:tblCellMar>
      </w:tblPr>
      <w:tblGrid>
        <w:gridCol w:w="2610"/>
        <w:gridCol w:w="2970"/>
      </w:tblGrid>
      <w:tr>
        <w:trPr>
          <w:trHeight w:val="458" w:hRule="atLeast"/>
        </w:trPr>
        <w:tc>
          <w:tcPr>
            <w:tcW w:w="5580" w:type="dxa"/>
            <w:gridSpan w:val="2"/>
            <w:tcBorders>
              <w:top w:val="single" w:sz="4" w:space="0" w:color="000000"/>
              <w:start w:val="single" w:sz="4" w:space="0" w:color="000000"/>
              <w:end w:val="single" w:sz="4" w:space="0" w:color="000000"/>
            </w:tcBorders>
            <w:shd w:fill="F3F3F3" w:val="clear"/>
            <w:vAlign w:val="center"/>
          </w:tcPr>
          <w:p>
            <w:pPr>
              <w:pStyle w:val="Normal"/>
              <w:spacing w:lineRule="auto" w:line="288"/>
              <w:jc w:val="center"/>
              <w:rPr>
                <w:b/>
                <w:bCs/>
              </w:rPr>
            </w:pPr>
            <w:r>
              <w:rPr>
                <w:b/>
                <w:bCs/>
              </w:rPr>
              <w:t>Bar-X Entrada Gas</w:t>
            </w:r>
          </w:p>
        </w:tc>
      </w:tr>
      <w:tr>
        <w:trPr>
          <w:trHeight w:val="86" w:hRule="exact"/>
        </w:trPr>
        <w:tc>
          <w:tcPr>
            <w:tcW w:w="2610" w:type="dxa"/>
            <w:tcBorders>
              <w:top w:val="single" w:sz="4" w:space="0" w:color="000000"/>
              <w:start w:val="single" w:sz="4" w:space="0" w:color="000000"/>
            </w:tcBorders>
          </w:tcPr>
          <w:p>
            <w:pPr>
              <w:pStyle w:val="Normal"/>
              <w:snapToGrid w:val="false"/>
              <w:spacing w:lineRule="auto" w:line="288"/>
              <w:jc w:val="center"/>
              <w:rPr>
                <w:b/>
                <w:bCs/>
                <w:u w:val="single"/>
              </w:rPr>
            </w:pPr>
            <w:r>
              <w:rPr>
                <w:b/>
                <w:bCs/>
                <w:u w:val="single"/>
              </w:rPr>
            </w:r>
          </w:p>
        </w:tc>
        <w:tc>
          <w:tcPr>
            <w:tcW w:w="2970" w:type="dxa"/>
            <w:tcBorders>
              <w:top w:val="single" w:sz="4" w:space="0" w:color="000000"/>
              <w:end w:val="single" w:sz="4" w:space="0" w:color="000000"/>
            </w:tcBorders>
          </w:tcPr>
          <w:p>
            <w:pPr>
              <w:pStyle w:val="Normal"/>
              <w:snapToGrid w:val="false"/>
              <w:spacing w:lineRule="auto" w:line="288"/>
              <w:jc w:val="center"/>
              <w:rPr>
                <w:b/>
                <w:bCs/>
                <w:u w:val="single"/>
              </w:rPr>
            </w:pPr>
            <w:r>
              <w:rPr>
                <w:b/>
                <w:bCs/>
                <w:u w:val="single"/>
              </w:rPr>
            </w:r>
          </w:p>
        </w:tc>
      </w:tr>
      <w:tr>
        <w:trPr/>
        <w:tc>
          <w:tcPr>
            <w:tcW w:w="2610" w:type="dxa"/>
            <w:tcBorders>
              <w:start w:val="single" w:sz="4" w:space="0" w:color="000000"/>
            </w:tcBorders>
          </w:tcPr>
          <w:p>
            <w:pPr>
              <w:pStyle w:val="Normal"/>
              <w:spacing w:lineRule="auto" w:line="288"/>
              <w:jc w:val="center"/>
              <w:rPr>
                <w:b/>
                <w:bCs/>
                <w:u w:val="single"/>
              </w:rPr>
            </w:pPr>
            <w:r>
              <w:rPr>
                <w:b/>
                <w:bCs/>
                <w:u w:val="single"/>
              </w:rPr>
              <w:t>Facility Inlet Gas Analysis</w:t>
            </w:r>
          </w:p>
        </w:tc>
        <w:tc>
          <w:tcPr>
            <w:tcW w:w="2970" w:type="dxa"/>
            <w:tcBorders>
              <w:end w:val="single" w:sz="4" w:space="0" w:color="000000"/>
            </w:tcBorders>
          </w:tcPr>
          <w:p>
            <w:pPr>
              <w:pStyle w:val="Normal"/>
              <w:spacing w:lineRule="auto" w:line="288"/>
              <w:jc w:val="center"/>
              <w:rPr>
                <w:b/>
                <w:bCs/>
                <w:u w:val="single"/>
              </w:rPr>
            </w:pPr>
            <w:r>
              <w:rPr>
                <w:b/>
                <w:bCs/>
                <w:u w:val="single"/>
              </w:rPr>
              <w:t>Component (mol %)</w:t>
            </w:r>
          </w:p>
        </w:tc>
      </w:tr>
      <w:tr>
        <w:trPr>
          <w:trHeight w:val="86" w:hRule="exact"/>
        </w:trPr>
        <w:tc>
          <w:tcPr>
            <w:tcW w:w="2610" w:type="dxa"/>
            <w:tcBorders>
              <w:start w:val="single" w:sz="4" w:space="0" w:color="000000"/>
            </w:tcBorders>
          </w:tcPr>
          <w:p>
            <w:pPr>
              <w:pStyle w:val="Normal"/>
              <w:snapToGrid w:val="false"/>
              <w:spacing w:lineRule="auto" w:line="288"/>
              <w:jc w:val="center"/>
              <w:rPr>
                <w:b/>
                <w:bCs/>
                <w:u w:val="single"/>
              </w:rPr>
            </w:pPr>
            <w:r>
              <w:rPr>
                <w:b/>
                <w:bCs/>
                <w:u w:val="single"/>
              </w:rPr>
            </w:r>
          </w:p>
        </w:tc>
        <w:tc>
          <w:tcPr>
            <w:tcW w:w="2970" w:type="dxa"/>
            <w:tcBorders>
              <w:end w:val="single" w:sz="4" w:space="0" w:color="000000"/>
            </w:tcBorders>
          </w:tcPr>
          <w:p>
            <w:pPr>
              <w:pStyle w:val="Normal"/>
              <w:snapToGrid w:val="false"/>
              <w:spacing w:lineRule="auto" w:line="288"/>
              <w:jc w:val="center"/>
              <w:rPr>
                <w:b/>
                <w:bCs/>
                <w:u w:val="single"/>
              </w:rPr>
            </w:pPr>
            <w:r>
              <w:rPr>
                <w:b/>
                <w:bCs/>
                <w:u w:val="single"/>
              </w:rPr>
            </w:r>
          </w:p>
        </w:tc>
      </w:tr>
      <w:tr>
        <w:trPr/>
        <w:tc>
          <w:tcPr>
            <w:tcW w:w="2610" w:type="dxa"/>
            <w:tcBorders>
              <w:start w:val="single" w:sz="4" w:space="0" w:color="000000"/>
            </w:tcBorders>
          </w:tcPr>
          <w:p>
            <w:pPr>
              <w:pStyle w:val="Normal"/>
              <w:tabs>
                <w:tab w:val="clear" w:pos="720"/>
                <w:tab w:val="left" w:pos="522" w:leader="none"/>
              </w:tabs>
              <w:spacing w:lineRule="auto" w:line="288"/>
              <w:rPr/>
            </w:pPr>
            <w:r>
              <w:rPr/>
              <w:tab/>
              <w:t>Nitrogen</w:t>
            </w:r>
          </w:p>
        </w:tc>
        <w:tc>
          <w:tcPr>
            <w:tcW w:w="2970" w:type="dxa"/>
            <w:tcBorders>
              <w:end w:val="single" w:sz="4" w:space="0" w:color="000000"/>
            </w:tcBorders>
          </w:tcPr>
          <w:p>
            <w:pPr>
              <w:pStyle w:val="Normal"/>
              <w:tabs>
                <w:tab w:val="clear" w:pos="720"/>
                <w:tab w:val="decimal" w:pos="1332" w:leader="none"/>
              </w:tabs>
              <w:spacing w:lineRule="auto" w:line="288"/>
              <w:rPr/>
            </w:pPr>
            <w:r>
              <w:rPr/>
              <w:t>23.212</w:t>
            </w:r>
          </w:p>
        </w:tc>
      </w:tr>
      <w:tr>
        <w:trPr>
          <w:trHeight w:val="86" w:hRule="exact"/>
        </w:trPr>
        <w:tc>
          <w:tcPr>
            <w:tcW w:w="2610" w:type="dxa"/>
            <w:tcBorders>
              <w:start w:val="single" w:sz="4" w:space="0" w:color="000000"/>
            </w:tcBorders>
          </w:tcPr>
          <w:p>
            <w:pPr>
              <w:pStyle w:val="Normal"/>
              <w:tabs>
                <w:tab w:val="clear" w:pos="720"/>
                <w:tab w:val="left" w:pos="522" w:leader="none"/>
              </w:tabs>
              <w:snapToGrid w:val="false"/>
              <w:spacing w:lineRule="auto" w:line="288"/>
              <w:rPr>
                <w:b/>
                <w:bCs/>
                <w:u w:val="single"/>
              </w:rPr>
            </w:pPr>
            <w:r>
              <w:rPr>
                <w:b/>
                <w:bCs/>
                <w:u w:val="single"/>
              </w:rPr>
            </w:r>
          </w:p>
        </w:tc>
        <w:tc>
          <w:tcPr>
            <w:tcW w:w="2970" w:type="dxa"/>
            <w:tcBorders>
              <w:end w:val="single" w:sz="4" w:space="0" w:color="000000"/>
            </w:tcBorders>
          </w:tcPr>
          <w:p>
            <w:pPr>
              <w:pStyle w:val="Normal"/>
              <w:tabs>
                <w:tab w:val="clear" w:pos="720"/>
                <w:tab w:val="decimal" w:pos="1332" w:leader="none"/>
              </w:tabs>
              <w:snapToGrid w:val="false"/>
              <w:spacing w:lineRule="auto" w:line="288"/>
              <w:rPr/>
            </w:pPr>
            <w:r>
              <w:rPr/>
            </w:r>
          </w:p>
        </w:tc>
      </w:tr>
      <w:tr>
        <w:trPr/>
        <w:tc>
          <w:tcPr>
            <w:tcW w:w="2610" w:type="dxa"/>
            <w:tcBorders>
              <w:start w:val="single" w:sz="4" w:space="0" w:color="000000"/>
            </w:tcBorders>
          </w:tcPr>
          <w:p>
            <w:pPr>
              <w:pStyle w:val="Normal"/>
              <w:tabs>
                <w:tab w:val="clear" w:pos="720"/>
                <w:tab w:val="left" w:pos="522" w:leader="none"/>
              </w:tabs>
              <w:spacing w:lineRule="auto" w:line="288"/>
              <w:rPr/>
            </w:pPr>
            <w:r>
              <w:rPr/>
              <w:tab/>
              <w:t>Carbon Dioxide</w:t>
            </w:r>
          </w:p>
        </w:tc>
        <w:tc>
          <w:tcPr>
            <w:tcW w:w="2970" w:type="dxa"/>
            <w:tcBorders>
              <w:end w:val="single" w:sz="4" w:space="0" w:color="000000"/>
            </w:tcBorders>
          </w:tcPr>
          <w:p>
            <w:pPr>
              <w:pStyle w:val="Normal"/>
              <w:tabs>
                <w:tab w:val="clear" w:pos="720"/>
                <w:tab w:val="decimal" w:pos="1332" w:leader="none"/>
              </w:tabs>
              <w:spacing w:lineRule="auto" w:line="288"/>
              <w:rPr/>
            </w:pPr>
            <w:r>
              <w:rPr/>
              <w:t>25.097</w:t>
            </w:r>
          </w:p>
        </w:tc>
      </w:tr>
      <w:tr>
        <w:trPr>
          <w:trHeight w:val="86" w:hRule="exact"/>
        </w:trPr>
        <w:tc>
          <w:tcPr>
            <w:tcW w:w="2610" w:type="dxa"/>
            <w:tcBorders>
              <w:start w:val="single" w:sz="4" w:space="0" w:color="000000"/>
            </w:tcBorders>
          </w:tcPr>
          <w:p>
            <w:pPr>
              <w:pStyle w:val="Normal"/>
              <w:tabs>
                <w:tab w:val="clear" w:pos="720"/>
                <w:tab w:val="left" w:pos="522" w:leader="none"/>
              </w:tabs>
              <w:snapToGrid w:val="false"/>
              <w:spacing w:lineRule="auto" w:line="288"/>
              <w:rPr>
                <w:b/>
                <w:bCs/>
                <w:u w:val="single"/>
              </w:rPr>
            </w:pPr>
            <w:r>
              <w:rPr>
                <w:b/>
                <w:bCs/>
                <w:u w:val="single"/>
              </w:rPr>
            </w:r>
          </w:p>
        </w:tc>
        <w:tc>
          <w:tcPr>
            <w:tcW w:w="2970" w:type="dxa"/>
            <w:tcBorders>
              <w:end w:val="single" w:sz="4" w:space="0" w:color="000000"/>
            </w:tcBorders>
          </w:tcPr>
          <w:p>
            <w:pPr>
              <w:pStyle w:val="Normal"/>
              <w:tabs>
                <w:tab w:val="clear" w:pos="720"/>
                <w:tab w:val="decimal" w:pos="1332" w:leader="none"/>
              </w:tabs>
              <w:snapToGrid w:val="false"/>
              <w:spacing w:lineRule="auto" w:line="288"/>
              <w:rPr/>
            </w:pPr>
            <w:r>
              <w:rPr/>
            </w:r>
          </w:p>
        </w:tc>
      </w:tr>
      <w:tr>
        <w:trPr/>
        <w:tc>
          <w:tcPr>
            <w:tcW w:w="2610" w:type="dxa"/>
            <w:tcBorders>
              <w:start w:val="single" w:sz="4" w:space="0" w:color="000000"/>
            </w:tcBorders>
          </w:tcPr>
          <w:p>
            <w:pPr>
              <w:pStyle w:val="Normal"/>
              <w:tabs>
                <w:tab w:val="clear" w:pos="720"/>
                <w:tab w:val="left" w:pos="522" w:leader="none"/>
              </w:tabs>
              <w:spacing w:lineRule="auto" w:line="288"/>
              <w:rPr/>
            </w:pPr>
            <w:r>
              <w:rPr/>
              <w:tab/>
              <w:t>Methane</w:t>
            </w:r>
          </w:p>
        </w:tc>
        <w:tc>
          <w:tcPr>
            <w:tcW w:w="2970" w:type="dxa"/>
            <w:tcBorders>
              <w:end w:val="single" w:sz="4" w:space="0" w:color="000000"/>
            </w:tcBorders>
          </w:tcPr>
          <w:p>
            <w:pPr>
              <w:pStyle w:val="Normal"/>
              <w:tabs>
                <w:tab w:val="clear" w:pos="720"/>
                <w:tab w:val="decimal" w:pos="1332" w:leader="none"/>
              </w:tabs>
              <w:spacing w:lineRule="auto" w:line="288"/>
              <w:rPr/>
            </w:pPr>
            <w:r>
              <w:rPr/>
              <w:t>49.825</w:t>
            </w:r>
          </w:p>
        </w:tc>
      </w:tr>
      <w:tr>
        <w:trPr>
          <w:trHeight w:val="86" w:hRule="exact"/>
        </w:trPr>
        <w:tc>
          <w:tcPr>
            <w:tcW w:w="2610" w:type="dxa"/>
            <w:tcBorders>
              <w:start w:val="single" w:sz="4" w:space="0" w:color="000000"/>
            </w:tcBorders>
          </w:tcPr>
          <w:p>
            <w:pPr>
              <w:pStyle w:val="Normal"/>
              <w:tabs>
                <w:tab w:val="clear" w:pos="720"/>
                <w:tab w:val="left" w:pos="522" w:leader="none"/>
              </w:tabs>
              <w:snapToGrid w:val="false"/>
              <w:spacing w:lineRule="auto" w:line="288"/>
              <w:rPr>
                <w:b/>
                <w:bCs/>
                <w:u w:val="single"/>
              </w:rPr>
            </w:pPr>
            <w:r>
              <w:rPr>
                <w:b/>
                <w:bCs/>
                <w:u w:val="single"/>
              </w:rPr>
            </w:r>
          </w:p>
        </w:tc>
        <w:tc>
          <w:tcPr>
            <w:tcW w:w="2970" w:type="dxa"/>
            <w:tcBorders>
              <w:end w:val="single" w:sz="4" w:space="0" w:color="000000"/>
            </w:tcBorders>
          </w:tcPr>
          <w:p>
            <w:pPr>
              <w:pStyle w:val="Normal"/>
              <w:tabs>
                <w:tab w:val="clear" w:pos="720"/>
                <w:tab w:val="decimal" w:pos="1332" w:leader="none"/>
              </w:tabs>
              <w:snapToGrid w:val="false"/>
              <w:spacing w:lineRule="auto" w:line="288"/>
              <w:rPr/>
            </w:pPr>
            <w:r>
              <w:rPr/>
            </w:r>
          </w:p>
        </w:tc>
      </w:tr>
      <w:tr>
        <w:trPr/>
        <w:tc>
          <w:tcPr>
            <w:tcW w:w="2610" w:type="dxa"/>
            <w:tcBorders>
              <w:start w:val="single" w:sz="4" w:space="0" w:color="000000"/>
            </w:tcBorders>
          </w:tcPr>
          <w:p>
            <w:pPr>
              <w:pStyle w:val="Normal"/>
              <w:tabs>
                <w:tab w:val="clear" w:pos="720"/>
                <w:tab w:val="left" w:pos="522" w:leader="none"/>
              </w:tabs>
              <w:spacing w:lineRule="auto" w:line="288"/>
              <w:rPr/>
            </w:pPr>
            <w:r>
              <w:rPr/>
              <w:tab/>
              <w:t>Ethane</w:t>
            </w:r>
          </w:p>
        </w:tc>
        <w:tc>
          <w:tcPr>
            <w:tcW w:w="2970" w:type="dxa"/>
            <w:tcBorders>
              <w:end w:val="single" w:sz="4" w:space="0" w:color="000000"/>
            </w:tcBorders>
          </w:tcPr>
          <w:p>
            <w:pPr>
              <w:pStyle w:val="Normal"/>
              <w:tabs>
                <w:tab w:val="clear" w:pos="720"/>
                <w:tab w:val="decimal" w:pos="1332" w:leader="none"/>
              </w:tabs>
              <w:spacing w:lineRule="auto" w:line="288"/>
              <w:rPr/>
            </w:pPr>
            <w:r>
              <w:rPr/>
              <w:t>0.997</w:t>
            </w:r>
          </w:p>
        </w:tc>
      </w:tr>
      <w:tr>
        <w:trPr>
          <w:trHeight w:val="86" w:hRule="exact"/>
        </w:trPr>
        <w:tc>
          <w:tcPr>
            <w:tcW w:w="2610" w:type="dxa"/>
            <w:tcBorders>
              <w:start w:val="single" w:sz="4" w:space="0" w:color="000000"/>
            </w:tcBorders>
          </w:tcPr>
          <w:p>
            <w:pPr>
              <w:pStyle w:val="Normal"/>
              <w:tabs>
                <w:tab w:val="clear" w:pos="720"/>
                <w:tab w:val="left" w:pos="522" w:leader="none"/>
              </w:tabs>
              <w:snapToGrid w:val="false"/>
              <w:spacing w:lineRule="auto" w:line="288"/>
              <w:rPr>
                <w:b/>
                <w:bCs/>
                <w:u w:val="single"/>
              </w:rPr>
            </w:pPr>
            <w:r>
              <w:rPr>
                <w:b/>
                <w:bCs/>
                <w:u w:val="single"/>
              </w:rPr>
            </w:r>
          </w:p>
        </w:tc>
        <w:tc>
          <w:tcPr>
            <w:tcW w:w="2970" w:type="dxa"/>
            <w:tcBorders>
              <w:end w:val="single" w:sz="4" w:space="0" w:color="000000"/>
            </w:tcBorders>
          </w:tcPr>
          <w:p>
            <w:pPr>
              <w:pStyle w:val="Normal"/>
              <w:tabs>
                <w:tab w:val="clear" w:pos="720"/>
                <w:tab w:val="decimal" w:pos="1332" w:leader="none"/>
              </w:tabs>
              <w:snapToGrid w:val="false"/>
              <w:spacing w:lineRule="auto" w:line="288"/>
              <w:rPr/>
            </w:pPr>
            <w:r>
              <w:rPr/>
            </w:r>
          </w:p>
        </w:tc>
      </w:tr>
      <w:tr>
        <w:trPr/>
        <w:tc>
          <w:tcPr>
            <w:tcW w:w="2610" w:type="dxa"/>
            <w:tcBorders>
              <w:start w:val="single" w:sz="4" w:space="0" w:color="000000"/>
            </w:tcBorders>
          </w:tcPr>
          <w:p>
            <w:pPr>
              <w:pStyle w:val="Normal"/>
              <w:tabs>
                <w:tab w:val="clear" w:pos="720"/>
                <w:tab w:val="left" w:pos="522" w:leader="none"/>
              </w:tabs>
              <w:spacing w:lineRule="auto" w:line="288"/>
              <w:rPr/>
            </w:pPr>
            <w:r>
              <w:rPr/>
              <w:tab/>
              <w:t>Propane</w:t>
            </w:r>
          </w:p>
        </w:tc>
        <w:tc>
          <w:tcPr>
            <w:tcW w:w="2970" w:type="dxa"/>
            <w:tcBorders>
              <w:end w:val="single" w:sz="4" w:space="0" w:color="000000"/>
            </w:tcBorders>
          </w:tcPr>
          <w:p>
            <w:pPr>
              <w:pStyle w:val="Normal"/>
              <w:tabs>
                <w:tab w:val="clear" w:pos="720"/>
                <w:tab w:val="decimal" w:pos="1332" w:leader="none"/>
              </w:tabs>
              <w:spacing w:lineRule="auto" w:line="288"/>
              <w:rPr/>
            </w:pPr>
            <w:r>
              <w:rPr/>
              <w:t>0.523</w:t>
            </w:r>
          </w:p>
        </w:tc>
      </w:tr>
      <w:tr>
        <w:trPr>
          <w:trHeight w:val="86" w:hRule="exact"/>
        </w:trPr>
        <w:tc>
          <w:tcPr>
            <w:tcW w:w="2610" w:type="dxa"/>
            <w:tcBorders>
              <w:start w:val="single" w:sz="4" w:space="0" w:color="000000"/>
            </w:tcBorders>
          </w:tcPr>
          <w:p>
            <w:pPr>
              <w:pStyle w:val="Normal"/>
              <w:tabs>
                <w:tab w:val="clear" w:pos="720"/>
                <w:tab w:val="left" w:pos="522" w:leader="none"/>
              </w:tabs>
              <w:snapToGrid w:val="false"/>
              <w:spacing w:lineRule="auto" w:line="288"/>
              <w:rPr>
                <w:b/>
                <w:bCs/>
                <w:u w:val="single"/>
              </w:rPr>
            </w:pPr>
            <w:r>
              <w:rPr>
                <w:b/>
                <w:bCs/>
                <w:u w:val="single"/>
              </w:rPr>
            </w:r>
          </w:p>
        </w:tc>
        <w:tc>
          <w:tcPr>
            <w:tcW w:w="2970" w:type="dxa"/>
            <w:tcBorders>
              <w:end w:val="single" w:sz="4" w:space="0" w:color="000000"/>
            </w:tcBorders>
          </w:tcPr>
          <w:p>
            <w:pPr>
              <w:pStyle w:val="Normal"/>
              <w:tabs>
                <w:tab w:val="clear" w:pos="720"/>
                <w:tab w:val="decimal" w:pos="1332" w:leader="none"/>
              </w:tabs>
              <w:snapToGrid w:val="false"/>
              <w:spacing w:lineRule="auto" w:line="288"/>
              <w:rPr/>
            </w:pPr>
            <w:r>
              <w:rPr/>
            </w:r>
          </w:p>
        </w:tc>
      </w:tr>
      <w:tr>
        <w:trPr/>
        <w:tc>
          <w:tcPr>
            <w:tcW w:w="2610" w:type="dxa"/>
            <w:tcBorders>
              <w:start w:val="single" w:sz="4" w:space="0" w:color="000000"/>
            </w:tcBorders>
          </w:tcPr>
          <w:p>
            <w:pPr>
              <w:pStyle w:val="Normal"/>
              <w:tabs>
                <w:tab w:val="clear" w:pos="720"/>
                <w:tab w:val="left" w:pos="522" w:leader="none"/>
              </w:tabs>
              <w:spacing w:lineRule="auto" w:line="288"/>
              <w:rPr/>
            </w:pPr>
            <w:r>
              <w:rPr/>
              <w:tab/>
              <w:t>i-Butane</w:t>
            </w:r>
          </w:p>
        </w:tc>
        <w:tc>
          <w:tcPr>
            <w:tcW w:w="2970" w:type="dxa"/>
            <w:tcBorders>
              <w:end w:val="single" w:sz="4" w:space="0" w:color="000000"/>
            </w:tcBorders>
          </w:tcPr>
          <w:p>
            <w:pPr>
              <w:pStyle w:val="Normal"/>
              <w:tabs>
                <w:tab w:val="clear" w:pos="720"/>
                <w:tab w:val="decimal" w:pos="1332" w:leader="none"/>
              </w:tabs>
              <w:spacing w:lineRule="auto" w:line="288"/>
              <w:rPr/>
            </w:pPr>
            <w:r>
              <w:rPr/>
              <w:t>0.102</w:t>
            </w:r>
          </w:p>
        </w:tc>
      </w:tr>
      <w:tr>
        <w:trPr>
          <w:trHeight w:val="86" w:hRule="exact"/>
        </w:trPr>
        <w:tc>
          <w:tcPr>
            <w:tcW w:w="2610" w:type="dxa"/>
            <w:tcBorders>
              <w:start w:val="single" w:sz="4" w:space="0" w:color="000000"/>
            </w:tcBorders>
          </w:tcPr>
          <w:p>
            <w:pPr>
              <w:pStyle w:val="Normal"/>
              <w:tabs>
                <w:tab w:val="clear" w:pos="720"/>
                <w:tab w:val="left" w:pos="522" w:leader="none"/>
              </w:tabs>
              <w:snapToGrid w:val="false"/>
              <w:spacing w:lineRule="auto" w:line="288"/>
              <w:rPr>
                <w:b/>
                <w:bCs/>
                <w:u w:val="single"/>
              </w:rPr>
            </w:pPr>
            <w:r>
              <w:rPr>
                <w:b/>
                <w:bCs/>
                <w:u w:val="single"/>
              </w:rPr>
            </w:r>
          </w:p>
        </w:tc>
        <w:tc>
          <w:tcPr>
            <w:tcW w:w="2970" w:type="dxa"/>
            <w:tcBorders>
              <w:end w:val="single" w:sz="4" w:space="0" w:color="000000"/>
            </w:tcBorders>
          </w:tcPr>
          <w:p>
            <w:pPr>
              <w:pStyle w:val="Normal"/>
              <w:tabs>
                <w:tab w:val="clear" w:pos="720"/>
                <w:tab w:val="decimal" w:pos="1332" w:leader="none"/>
              </w:tabs>
              <w:snapToGrid w:val="false"/>
              <w:spacing w:lineRule="auto" w:line="288"/>
              <w:rPr/>
            </w:pPr>
            <w:r>
              <w:rPr/>
            </w:r>
          </w:p>
        </w:tc>
      </w:tr>
      <w:tr>
        <w:trPr/>
        <w:tc>
          <w:tcPr>
            <w:tcW w:w="2610" w:type="dxa"/>
            <w:tcBorders>
              <w:start w:val="single" w:sz="4" w:space="0" w:color="000000"/>
            </w:tcBorders>
          </w:tcPr>
          <w:p>
            <w:pPr>
              <w:pStyle w:val="Normal"/>
              <w:tabs>
                <w:tab w:val="clear" w:pos="720"/>
                <w:tab w:val="left" w:pos="522" w:leader="none"/>
              </w:tabs>
              <w:spacing w:lineRule="auto" w:line="288"/>
              <w:rPr/>
            </w:pPr>
            <w:r>
              <w:rPr/>
              <w:tab/>
              <w:t>n-Butane</w:t>
            </w:r>
          </w:p>
        </w:tc>
        <w:tc>
          <w:tcPr>
            <w:tcW w:w="2970" w:type="dxa"/>
            <w:tcBorders>
              <w:end w:val="single" w:sz="4" w:space="0" w:color="000000"/>
            </w:tcBorders>
          </w:tcPr>
          <w:p>
            <w:pPr>
              <w:pStyle w:val="Normal"/>
              <w:tabs>
                <w:tab w:val="clear" w:pos="720"/>
                <w:tab w:val="decimal" w:pos="1332" w:leader="none"/>
              </w:tabs>
              <w:spacing w:lineRule="auto" w:line="288"/>
              <w:rPr/>
            </w:pPr>
            <w:r>
              <w:rPr/>
              <w:t>0.085</w:t>
            </w:r>
          </w:p>
        </w:tc>
      </w:tr>
      <w:tr>
        <w:trPr>
          <w:trHeight w:val="86" w:hRule="exact"/>
        </w:trPr>
        <w:tc>
          <w:tcPr>
            <w:tcW w:w="2610" w:type="dxa"/>
            <w:tcBorders>
              <w:start w:val="single" w:sz="4" w:space="0" w:color="000000"/>
            </w:tcBorders>
          </w:tcPr>
          <w:p>
            <w:pPr>
              <w:pStyle w:val="Normal"/>
              <w:tabs>
                <w:tab w:val="clear" w:pos="720"/>
                <w:tab w:val="left" w:pos="522" w:leader="none"/>
              </w:tabs>
              <w:snapToGrid w:val="false"/>
              <w:spacing w:lineRule="auto" w:line="288"/>
              <w:rPr>
                <w:b/>
                <w:bCs/>
                <w:u w:val="single"/>
              </w:rPr>
            </w:pPr>
            <w:r>
              <w:rPr>
                <w:b/>
                <w:bCs/>
                <w:u w:val="single"/>
              </w:rPr>
            </w:r>
          </w:p>
        </w:tc>
        <w:tc>
          <w:tcPr>
            <w:tcW w:w="2970" w:type="dxa"/>
            <w:tcBorders>
              <w:end w:val="single" w:sz="4" w:space="0" w:color="000000"/>
            </w:tcBorders>
          </w:tcPr>
          <w:p>
            <w:pPr>
              <w:pStyle w:val="Normal"/>
              <w:tabs>
                <w:tab w:val="clear" w:pos="720"/>
                <w:tab w:val="decimal" w:pos="1332" w:leader="none"/>
              </w:tabs>
              <w:snapToGrid w:val="false"/>
              <w:spacing w:lineRule="auto" w:line="288"/>
              <w:rPr/>
            </w:pPr>
            <w:r>
              <w:rPr/>
            </w:r>
          </w:p>
        </w:tc>
      </w:tr>
      <w:tr>
        <w:trPr/>
        <w:tc>
          <w:tcPr>
            <w:tcW w:w="2610" w:type="dxa"/>
            <w:tcBorders>
              <w:start w:val="single" w:sz="4" w:space="0" w:color="000000"/>
            </w:tcBorders>
          </w:tcPr>
          <w:p>
            <w:pPr>
              <w:pStyle w:val="Normal"/>
              <w:tabs>
                <w:tab w:val="clear" w:pos="720"/>
                <w:tab w:val="left" w:pos="522" w:leader="none"/>
              </w:tabs>
              <w:spacing w:lineRule="auto" w:line="288"/>
              <w:rPr/>
            </w:pPr>
            <w:r>
              <w:rPr/>
              <w:tab/>
              <w:t>i-Pentane</w:t>
            </w:r>
          </w:p>
        </w:tc>
        <w:tc>
          <w:tcPr>
            <w:tcW w:w="2970" w:type="dxa"/>
            <w:tcBorders>
              <w:end w:val="single" w:sz="4" w:space="0" w:color="000000"/>
            </w:tcBorders>
          </w:tcPr>
          <w:p>
            <w:pPr>
              <w:pStyle w:val="Normal"/>
              <w:tabs>
                <w:tab w:val="clear" w:pos="720"/>
                <w:tab w:val="decimal" w:pos="1332" w:leader="none"/>
              </w:tabs>
              <w:spacing w:lineRule="auto" w:line="288"/>
              <w:rPr/>
            </w:pPr>
            <w:r>
              <w:rPr/>
              <w:t>0.027</w:t>
            </w:r>
          </w:p>
        </w:tc>
      </w:tr>
      <w:tr>
        <w:trPr>
          <w:trHeight w:val="86" w:hRule="exact"/>
        </w:trPr>
        <w:tc>
          <w:tcPr>
            <w:tcW w:w="2610" w:type="dxa"/>
            <w:tcBorders>
              <w:start w:val="single" w:sz="4" w:space="0" w:color="000000"/>
            </w:tcBorders>
          </w:tcPr>
          <w:p>
            <w:pPr>
              <w:pStyle w:val="Normal"/>
              <w:tabs>
                <w:tab w:val="clear" w:pos="720"/>
                <w:tab w:val="left" w:pos="522" w:leader="none"/>
              </w:tabs>
              <w:snapToGrid w:val="false"/>
              <w:spacing w:lineRule="auto" w:line="288"/>
              <w:rPr>
                <w:b/>
                <w:bCs/>
                <w:u w:val="single"/>
              </w:rPr>
            </w:pPr>
            <w:r>
              <w:rPr>
                <w:b/>
                <w:bCs/>
                <w:u w:val="single"/>
              </w:rPr>
            </w:r>
          </w:p>
        </w:tc>
        <w:tc>
          <w:tcPr>
            <w:tcW w:w="2970" w:type="dxa"/>
            <w:tcBorders>
              <w:end w:val="single" w:sz="4" w:space="0" w:color="000000"/>
            </w:tcBorders>
          </w:tcPr>
          <w:p>
            <w:pPr>
              <w:pStyle w:val="Normal"/>
              <w:tabs>
                <w:tab w:val="clear" w:pos="720"/>
                <w:tab w:val="decimal" w:pos="1332" w:leader="none"/>
              </w:tabs>
              <w:snapToGrid w:val="false"/>
              <w:spacing w:lineRule="auto" w:line="288"/>
              <w:rPr/>
            </w:pPr>
            <w:r>
              <w:rPr/>
            </w:r>
          </w:p>
        </w:tc>
      </w:tr>
      <w:tr>
        <w:trPr/>
        <w:tc>
          <w:tcPr>
            <w:tcW w:w="2610" w:type="dxa"/>
            <w:tcBorders>
              <w:start w:val="single" w:sz="4" w:space="0" w:color="000000"/>
            </w:tcBorders>
          </w:tcPr>
          <w:p>
            <w:pPr>
              <w:pStyle w:val="Normal"/>
              <w:tabs>
                <w:tab w:val="clear" w:pos="720"/>
                <w:tab w:val="left" w:pos="522" w:leader="none"/>
              </w:tabs>
              <w:spacing w:lineRule="auto" w:line="288"/>
              <w:rPr/>
            </w:pPr>
            <w:r>
              <w:rPr/>
              <w:tab/>
              <w:t>n-Pentane</w:t>
            </w:r>
          </w:p>
        </w:tc>
        <w:tc>
          <w:tcPr>
            <w:tcW w:w="2970" w:type="dxa"/>
            <w:tcBorders>
              <w:end w:val="single" w:sz="4" w:space="0" w:color="000000"/>
            </w:tcBorders>
          </w:tcPr>
          <w:p>
            <w:pPr>
              <w:pStyle w:val="Normal"/>
              <w:tabs>
                <w:tab w:val="clear" w:pos="720"/>
                <w:tab w:val="decimal" w:pos="1332" w:leader="none"/>
              </w:tabs>
              <w:spacing w:lineRule="auto" w:line="288"/>
              <w:rPr/>
            </w:pPr>
            <w:r>
              <w:rPr/>
              <w:t>0.037</w:t>
            </w:r>
          </w:p>
        </w:tc>
      </w:tr>
      <w:tr>
        <w:trPr>
          <w:trHeight w:val="86" w:hRule="exact"/>
        </w:trPr>
        <w:tc>
          <w:tcPr>
            <w:tcW w:w="2610" w:type="dxa"/>
            <w:tcBorders>
              <w:start w:val="single" w:sz="4" w:space="0" w:color="000000"/>
            </w:tcBorders>
          </w:tcPr>
          <w:p>
            <w:pPr>
              <w:pStyle w:val="Normal"/>
              <w:tabs>
                <w:tab w:val="clear" w:pos="720"/>
                <w:tab w:val="left" w:pos="522" w:leader="none"/>
              </w:tabs>
              <w:snapToGrid w:val="false"/>
              <w:spacing w:lineRule="auto" w:line="288"/>
              <w:rPr>
                <w:b/>
                <w:bCs/>
                <w:u w:val="single"/>
              </w:rPr>
            </w:pPr>
            <w:r>
              <w:rPr>
                <w:b/>
                <w:bCs/>
                <w:u w:val="single"/>
              </w:rPr>
            </w:r>
          </w:p>
        </w:tc>
        <w:tc>
          <w:tcPr>
            <w:tcW w:w="2970" w:type="dxa"/>
            <w:tcBorders>
              <w:end w:val="single" w:sz="4" w:space="0" w:color="000000"/>
            </w:tcBorders>
          </w:tcPr>
          <w:p>
            <w:pPr>
              <w:pStyle w:val="Normal"/>
              <w:tabs>
                <w:tab w:val="clear" w:pos="720"/>
                <w:tab w:val="decimal" w:pos="1332" w:leader="none"/>
              </w:tabs>
              <w:snapToGrid w:val="false"/>
              <w:spacing w:lineRule="auto" w:line="288"/>
              <w:rPr/>
            </w:pPr>
            <w:r>
              <w:rPr/>
            </w:r>
          </w:p>
        </w:tc>
      </w:tr>
      <w:tr>
        <w:trPr/>
        <w:tc>
          <w:tcPr>
            <w:tcW w:w="2610" w:type="dxa"/>
            <w:tcBorders>
              <w:start w:val="single" w:sz="4" w:space="0" w:color="000000"/>
            </w:tcBorders>
          </w:tcPr>
          <w:p>
            <w:pPr>
              <w:pStyle w:val="Normal"/>
              <w:tabs>
                <w:tab w:val="clear" w:pos="720"/>
                <w:tab w:val="left" w:pos="522" w:leader="none"/>
              </w:tabs>
              <w:spacing w:lineRule="auto" w:line="288"/>
              <w:rPr/>
            </w:pPr>
            <w:r>
              <w:rPr/>
              <w:tab/>
              <w:t>Hexane +</w:t>
            </w:r>
          </w:p>
        </w:tc>
        <w:tc>
          <w:tcPr>
            <w:tcW w:w="2970" w:type="dxa"/>
            <w:tcBorders>
              <w:end w:val="single" w:sz="4" w:space="0" w:color="000000"/>
            </w:tcBorders>
          </w:tcPr>
          <w:p>
            <w:pPr>
              <w:pStyle w:val="Normal"/>
              <w:tabs>
                <w:tab w:val="clear" w:pos="720"/>
                <w:tab w:val="decimal" w:pos="1332" w:leader="none"/>
              </w:tabs>
              <w:spacing w:lineRule="auto" w:line="288"/>
              <w:rPr/>
            </w:pPr>
            <w:r>
              <w:rPr/>
              <w:t>0.077</w:t>
            </w:r>
          </w:p>
        </w:tc>
      </w:tr>
      <w:tr>
        <w:trPr>
          <w:trHeight w:val="86" w:hRule="exact"/>
        </w:trPr>
        <w:tc>
          <w:tcPr>
            <w:tcW w:w="2610" w:type="dxa"/>
            <w:tcBorders>
              <w:start w:val="single" w:sz="4" w:space="0" w:color="000000"/>
            </w:tcBorders>
          </w:tcPr>
          <w:p>
            <w:pPr>
              <w:pStyle w:val="Normal"/>
              <w:tabs>
                <w:tab w:val="clear" w:pos="720"/>
                <w:tab w:val="left" w:pos="522" w:leader="none"/>
              </w:tabs>
              <w:snapToGrid w:val="false"/>
              <w:spacing w:lineRule="auto" w:line="288"/>
              <w:rPr>
                <w:b/>
                <w:bCs/>
                <w:u w:val="single"/>
              </w:rPr>
            </w:pPr>
            <w:r>
              <w:rPr>
                <w:b/>
                <w:bCs/>
                <w:u w:val="single"/>
              </w:rPr>
            </w:r>
          </w:p>
        </w:tc>
        <w:tc>
          <w:tcPr>
            <w:tcW w:w="2970" w:type="dxa"/>
            <w:tcBorders>
              <w:end w:val="single" w:sz="4" w:space="0" w:color="000000"/>
            </w:tcBorders>
          </w:tcPr>
          <w:p>
            <w:pPr>
              <w:pStyle w:val="Normal"/>
              <w:tabs>
                <w:tab w:val="clear" w:pos="720"/>
                <w:tab w:val="decimal" w:pos="1332" w:leader="none"/>
              </w:tabs>
              <w:snapToGrid w:val="false"/>
              <w:spacing w:lineRule="auto" w:line="288"/>
              <w:rPr/>
            </w:pPr>
            <w:r>
              <w:rPr/>
            </w:r>
          </w:p>
        </w:tc>
      </w:tr>
      <w:tr>
        <w:trPr/>
        <w:tc>
          <w:tcPr>
            <w:tcW w:w="2610" w:type="dxa"/>
            <w:tcBorders>
              <w:start w:val="single" w:sz="4" w:space="0" w:color="000000"/>
              <w:bottom w:val="single" w:sz="4" w:space="0" w:color="000000"/>
            </w:tcBorders>
          </w:tcPr>
          <w:p>
            <w:pPr>
              <w:pStyle w:val="Normal"/>
              <w:tabs>
                <w:tab w:val="clear" w:pos="720"/>
                <w:tab w:val="left" w:pos="522" w:leader="none"/>
              </w:tabs>
              <w:spacing w:lineRule="auto" w:line="288"/>
              <w:rPr/>
            </w:pPr>
            <w:r>
              <w:rPr/>
              <w:tab/>
              <w:t>BTU Content</w:t>
            </w:r>
          </w:p>
        </w:tc>
        <w:tc>
          <w:tcPr>
            <w:tcW w:w="2970" w:type="dxa"/>
            <w:tcBorders>
              <w:bottom w:val="single" w:sz="4" w:space="0" w:color="000000"/>
              <w:end w:val="single" w:sz="4" w:space="0" w:color="000000"/>
            </w:tcBorders>
          </w:tcPr>
          <w:p>
            <w:pPr>
              <w:pStyle w:val="Normal"/>
              <w:tabs>
                <w:tab w:val="clear" w:pos="720"/>
                <w:tab w:val="decimal" w:pos="1332" w:leader="none"/>
              </w:tabs>
              <w:spacing w:lineRule="auto" w:line="288"/>
              <w:rPr/>
            </w:pPr>
            <w:r>
              <w:rPr/>
              <w:t>549.333</w:t>
            </w:r>
          </w:p>
        </w:tc>
      </w:tr>
    </w:tbl>
    <w:p>
      <w:pPr>
        <w:pStyle w:val="Normal"/>
        <w:jc w:val="both"/>
        <w:rPr>
          <w:rFonts w:ascii="Arial" w:hAnsi="Arial" w:cs="Arial"/>
          <w:sz w:val="22"/>
        </w:rPr>
      </w:pPr>
      <w:r>
        <w:rPr>
          <w:rFonts w:cs="Arial" w:ascii="Arial" w:hAnsi="Arial"/>
          <w:sz w:val="22"/>
        </w:rPr>
      </w:r>
    </w:p>
    <w:p>
      <w:pPr>
        <w:pStyle w:val="Heading5"/>
        <w:ind w:hanging="0" w:start="0"/>
        <w:rPr>
          <w:rFonts w:ascii="Arial" w:hAnsi="Arial" w:cs="Arial"/>
          <w:b w:val="false"/>
          <w:bCs w:val="false"/>
          <w:sz w:val="22"/>
        </w:rPr>
      </w:pPr>
      <w:r>
        <w:rPr>
          <w:rFonts w:cs="Arial"/>
          <w:b w:val="false"/>
          <w:bCs w:val="false"/>
          <w:sz w:val="22"/>
        </w:rPr>
      </w:r>
    </w:p>
    <w:p>
      <w:pPr>
        <w:pStyle w:val="Heading5"/>
        <w:ind w:hanging="0" w:start="0"/>
        <w:rPr>
          <w:rFonts w:cs="Arial"/>
          <w:sz w:val="22"/>
        </w:rPr>
      </w:pPr>
      <w:r>
        <w:rPr>
          <w:rFonts w:cs="Arial"/>
          <w:sz w:val="22"/>
        </w:rPr>
        <w:t>6.0</w:t>
        <w:tab/>
        <w:t>Gathering System and Inlet Compression</w:t>
      </w:r>
    </w:p>
    <w:p>
      <w:pPr>
        <w:pStyle w:val="Normal"/>
        <w:jc w:val="both"/>
        <w:rPr>
          <w:rFonts w:ascii="Arial" w:hAnsi="Arial" w:cs="Arial"/>
          <w:sz w:val="22"/>
        </w:rPr>
      </w:pPr>
      <w:r>
        <w:rPr>
          <w:rFonts w:cs="Arial" w:ascii="Arial" w:hAnsi="Arial"/>
          <w:sz w:val="22"/>
        </w:rPr>
      </w:r>
    </w:p>
    <w:p>
      <w:pPr>
        <w:pStyle w:val="BodyText2"/>
        <w:widowControl/>
        <w:spacing w:lineRule="auto" w:line="240"/>
        <w:rPr/>
      </w:pPr>
      <w:r>
        <w:rPr/>
        <w:t>To minimize costs and maximize profits to the Producers, Crescendo is flexible as to the delivery point of Producer’s low-Btu gas.  Crescendo will accept gas at the inlet to the facility, or work with producers to gather their gas from the wellhead.  Currently, gathering gas from the wellhead to the inlet of the Crescendo’s Badger Wash Gas Plant is not included in this proposal.</w:t>
      </w:r>
    </w:p>
    <w:p>
      <w:pPr>
        <w:pStyle w:val="BodyText2"/>
        <w:widowControl/>
        <w:spacing w:lineRule="auto" w:line="240"/>
        <w:rPr/>
      </w:pPr>
      <w:r>
        <w:rPr/>
      </w:r>
    </w:p>
    <w:p>
      <w:pPr>
        <w:pStyle w:val="BodyText2"/>
        <w:widowControl/>
        <w:spacing w:lineRule="auto" w:line="240"/>
        <w:rPr/>
      </w:pPr>
      <w:r>
        <w:rPr/>
        <w:t>Lone Mountain will be responsible to gather and deliver its Bar-X Entrada Gas to the inlet of BWGP at 650 psig.  The g</w:t>
      </w:r>
      <w:r>
        <w:rPr>
          <w:rFonts w:cs="Arial"/>
        </w:rPr>
        <w:t>as delivered to inlet of the plant shall be merchantable natural gas, except to as to the Nitrogen, Carbon Dioxide, and hydrocarbon dew point, and shall at all times comply the following quality requirements:</w:t>
      </w:r>
    </w:p>
    <w:p>
      <w:pPr>
        <w:pStyle w:val="Normal"/>
        <w:jc w:val="both"/>
        <w:rPr>
          <w:rFonts w:ascii="Arial" w:hAnsi="Arial" w:cs="Arial"/>
          <w:sz w:val="22"/>
        </w:rPr>
      </w:pPr>
      <w:r>
        <w:rPr>
          <w:rFonts w:cs="Arial" w:ascii="Arial" w:hAnsi="Arial"/>
          <w:sz w:val="22"/>
        </w:rPr>
      </w:r>
    </w:p>
    <w:p>
      <w:pPr>
        <w:pStyle w:val="Normal"/>
        <w:numPr>
          <w:ilvl w:val="0"/>
          <w:numId w:val="3"/>
        </w:numPr>
        <w:tabs>
          <w:tab w:val="clear" w:pos="720"/>
        </w:tabs>
        <w:ind w:hanging="720" w:start="1440" w:end="0"/>
        <w:jc w:val="both"/>
        <w:rPr>
          <w:rFonts w:ascii="Arial" w:hAnsi="Arial" w:cs="Arial"/>
          <w:sz w:val="22"/>
        </w:rPr>
      </w:pPr>
      <w:r>
        <w:rPr>
          <w:rFonts w:cs="Arial" w:ascii="Arial" w:hAnsi="Arial"/>
          <w:sz w:val="22"/>
        </w:rPr>
        <w:t>Contain Carbon Dioxide of not more than 28% by volume (A higher percentage may be acceptable should the facility not be fully loaded);</w:t>
      </w:r>
    </w:p>
    <w:p>
      <w:pPr>
        <w:pStyle w:val="Normal"/>
        <w:numPr>
          <w:ilvl w:val="0"/>
          <w:numId w:val="3"/>
        </w:numPr>
        <w:tabs>
          <w:tab w:val="clear" w:pos="720"/>
        </w:tabs>
        <w:ind w:hanging="720" w:start="1440" w:end="0"/>
        <w:jc w:val="both"/>
        <w:rPr>
          <w:rFonts w:ascii="Arial" w:hAnsi="Arial" w:cs="Arial"/>
          <w:sz w:val="22"/>
        </w:rPr>
      </w:pPr>
      <w:r>
        <w:rPr>
          <w:rFonts w:cs="Arial" w:ascii="Arial" w:hAnsi="Arial"/>
          <w:sz w:val="22"/>
        </w:rPr>
        <w:t>Contain no oxygen or BTEX compounds;</w:t>
      </w:r>
    </w:p>
    <w:p>
      <w:pPr>
        <w:pStyle w:val="Normal"/>
        <w:numPr>
          <w:ilvl w:val="0"/>
          <w:numId w:val="3"/>
        </w:numPr>
        <w:tabs>
          <w:tab w:val="clear" w:pos="720"/>
        </w:tabs>
        <w:ind w:hanging="720" w:start="1440" w:end="0"/>
        <w:jc w:val="both"/>
        <w:rPr>
          <w:rFonts w:ascii="Arial" w:hAnsi="Arial" w:cs="Arial"/>
          <w:sz w:val="22"/>
        </w:rPr>
      </w:pPr>
      <w:r>
        <w:rPr>
          <w:rFonts w:cs="Arial" w:ascii="Arial" w:hAnsi="Arial"/>
          <w:sz w:val="22"/>
        </w:rPr>
        <w:t>Be devoid of free water, free condensate, foreign solids and impurities (including, but not limited to, mercury, glycol, hydrogen sulfide).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Crescendo is interested in working with Lone Mountain to combine the gathering system and field compression required for the Bar-X reserves with those required to directly gather Crescendo owned Badger Wash and San Arroyo low-Btu reserves.  Crescendo will install and operate inlet compression at the BWGP as required under separate arrangements with producers with low pressure gathering requirements.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5"/>
        <w:ind w:hanging="0" w:start="0"/>
        <w:rPr>
          <w:rFonts w:cs="Arial"/>
          <w:sz w:val="22"/>
        </w:rPr>
      </w:pPr>
      <w:r>
        <w:rPr>
          <w:rFonts w:cs="Arial"/>
          <w:sz w:val="22"/>
        </w:rPr>
        <w:t>7.0</w:t>
        <w:tab/>
        <w:t>Timing</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Crescendo Energy has initiated the equipment procurement process and is completing the detailed design process of the plant at this time.  Crescendo has also initiated ROW and permitting processes.  Start-up of the facility is scheduled for September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5"/>
        <w:ind w:hanging="0" w:start="0"/>
        <w:rPr>
          <w:rFonts w:cs="Arial"/>
          <w:sz w:val="22"/>
        </w:rPr>
      </w:pPr>
      <w:r>
        <w:rPr>
          <w:rFonts w:cs="Arial"/>
          <w:sz w:val="22"/>
        </w:rPr>
        <w:t>8.0</w:t>
        <w:tab/>
        <w:t>Confidentiality</w:t>
      </w:r>
    </w:p>
    <w:p>
      <w:pPr>
        <w:pStyle w:val="Normal"/>
        <w:jc w:val="both"/>
        <w:rPr>
          <w:rFonts w:ascii="Arial" w:hAnsi="Arial" w:cs="Arial"/>
          <w:sz w:val="22"/>
        </w:rPr>
      </w:pPr>
      <w:r>
        <w:rPr>
          <w:rFonts w:cs="Arial" w:ascii="Arial" w:hAnsi="Arial"/>
          <w:sz w:val="22"/>
        </w:rPr>
      </w:r>
    </w:p>
    <w:p>
      <w:pPr>
        <w:pStyle w:val="BodyText2"/>
        <w:widowControl/>
        <w:spacing w:lineRule="auto" w:line="240"/>
        <w:rPr>
          <w:rFonts w:cs="Arial"/>
        </w:rPr>
      </w:pPr>
      <w:r>
        <w:rPr>
          <w:rFonts w:cs="Arial"/>
        </w:rPr>
        <w:t>Crescendo considers the information presented in this letter confidential and proprietary between Crescendo and Lone Mountain and is not to be discussed with or disclosed to any third party except with the express prior written consent of Crescendo.  We are providing this information on the basis that Lone Mountain will not use or disclose this information except for the specific purpose of evaluating the project.  Additionally, neither Crescendo nor Lone Mountain shall make any public release regarding this proposal or your possible participation in this project with Crescendo at this time.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5"/>
        <w:ind w:hanging="0" w:start="0"/>
        <w:rPr>
          <w:rFonts w:cs="Arial"/>
          <w:sz w:val="22"/>
        </w:rPr>
      </w:pPr>
      <w:r>
        <w:rPr>
          <w:rFonts w:cs="Arial"/>
          <w:sz w:val="22"/>
        </w:rPr>
        <w:t>9.0</w:t>
        <w:tab/>
        <w:t>Board of Director / Member Approval</w:t>
      </w:r>
    </w:p>
    <w:p>
      <w:pPr>
        <w:pStyle w:val="Normal"/>
        <w:jc w:val="both"/>
        <w:rPr>
          <w:rFonts w:ascii="Arial" w:hAnsi="Arial" w:cs="Arial"/>
          <w:sz w:val="22"/>
        </w:rPr>
      </w:pPr>
      <w:r>
        <w:rPr>
          <w:rFonts w:cs="Arial" w:ascii="Arial" w:hAnsi="Arial"/>
          <w:sz w:val="22"/>
        </w:rPr>
      </w:r>
    </w:p>
    <w:p>
      <w:pPr>
        <w:pStyle w:val="BodyText2"/>
        <w:widowControl/>
        <w:spacing w:lineRule="auto" w:line="240"/>
        <w:rPr>
          <w:rFonts w:cs="Arial"/>
        </w:rPr>
      </w:pPr>
      <w:r>
        <w:rPr>
          <w:rFonts w:cs="Arial"/>
        </w:rPr>
        <w:t>The closing of the contemplated Transaction is subject to the approval of the boards of directors or Members of Crescendo and Lone Mountain, which approvals have not yet been obtained.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5"/>
        <w:ind w:hanging="0" w:start="0"/>
        <w:rPr>
          <w:rFonts w:cs="Arial"/>
          <w:sz w:val="22"/>
        </w:rPr>
      </w:pPr>
      <w:r>
        <w:rPr>
          <w:rFonts w:cs="Arial"/>
          <w:sz w:val="22"/>
        </w:rPr>
        <w:t>10.0</w:t>
        <w:tab/>
        <w:t>Non-binding Nature</w:t>
      </w:r>
    </w:p>
    <w:p>
      <w:pPr>
        <w:pStyle w:val="Normal"/>
        <w:jc w:val="both"/>
        <w:rPr>
          <w:rFonts w:ascii="Arial" w:hAnsi="Arial" w:cs="Arial"/>
          <w:sz w:val="22"/>
        </w:rPr>
      </w:pPr>
      <w:r>
        <w:rPr>
          <w:rFonts w:cs="Arial" w:ascii="Arial" w:hAnsi="Arial"/>
          <w:sz w:val="22"/>
        </w:rPr>
      </w:r>
    </w:p>
    <w:p>
      <w:pPr>
        <w:pStyle w:val="BodyText"/>
        <w:rPr>
          <w:rFonts w:cs="Arial"/>
          <w:sz w:val="22"/>
        </w:rPr>
      </w:pPr>
      <w:r>
        <w:rPr>
          <w:rFonts w:cs="Arial"/>
          <w:sz w:val="22"/>
        </w:rPr>
        <w:t xml:space="preserve">Except as to the provisions of paragraphs 8, 9 and 10 hereof (which provisions are enforceable against the parties to this letter in accordance with their terms), the parties to this letter understand and agree that (i) this letter sets forth the parties’ current understanding of agreements which may be set out in a binding fashion in the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understanding to endeavor, without obligation, to negotiate the mutually agreeable Definitive Agreements.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5"/>
        <w:ind w:hanging="0" w:start="0"/>
        <w:rPr>
          <w:rFonts w:cs="Arial"/>
          <w:sz w:val="22"/>
        </w:rPr>
      </w:pPr>
      <w:r>
        <w:rPr>
          <w:rFonts w:cs="Arial"/>
          <w:sz w:val="22"/>
        </w:rPr>
        <w:t>11.0</w:t>
        <w:tab/>
        <w:t>No Oral Agreements</w:t>
      </w:r>
    </w:p>
    <w:p>
      <w:pPr>
        <w:pStyle w:val="Normal"/>
        <w:jc w:val="both"/>
        <w:rPr>
          <w:rFonts w:ascii="Arial" w:hAnsi="Arial" w:cs="Arial"/>
          <w:sz w:val="22"/>
        </w:rPr>
      </w:pPr>
      <w:r>
        <w:rPr>
          <w:rFonts w:cs="Arial" w:ascii="Arial" w:hAnsi="Arial"/>
          <w:sz w:val="22"/>
        </w:rPr>
      </w:r>
    </w:p>
    <w:p>
      <w:pPr>
        <w:pStyle w:val="BodyText2"/>
        <w:widowControl/>
        <w:spacing w:lineRule="auto" w:line="240"/>
        <w:rPr>
          <w:rFonts w:cs="Arial"/>
        </w:rPr>
      </w:pPr>
      <w:r>
        <w:rPr>
          <w:rFonts w:cs="Arial"/>
        </w:rPr>
        <w:t>Subject to the foregoing, this Letter of Intent set out the parties’ understanding as of this date, and there are no other written or oral agreements or understandings among the parties.</w:t>
      </w:r>
    </w:p>
    <w:p>
      <w:pPr>
        <w:pStyle w:val="Normal"/>
        <w:ind w:hanging="720" w:start="72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5"/>
        <w:ind w:hanging="0" w:start="0"/>
        <w:rPr>
          <w:rFonts w:cs="Arial"/>
          <w:sz w:val="22"/>
        </w:rPr>
      </w:pPr>
      <w:r>
        <w:rPr>
          <w:rFonts w:cs="Arial"/>
          <w:sz w:val="22"/>
        </w:rPr>
        <w:t>12.0</w:t>
        <w:tab/>
        <w:t>Summary</w:t>
      </w:r>
    </w:p>
    <w:p>
      <w:pPr>
        <w:pStyle w:val="Normal"/>
        <w:jc w:val="both"/>
        <w:rPr>
          <w:rFonts w:ascii="Arial" w:hAnsi="Arial" w:cs="Arial"/>
          <w:sz w:val="22"/>
        </w:rPr>
      </w:pPr>
      <w:r>
        <w:rPr>
          <w:rFonts w:cs="Arial" w:ascii="Arial" w:hAnsi="Arial"/>
          <w:sz w:val="22"/>
        </w:rPr>
      </w:r>
    </w:p>
    <w:p>
      <w:pPr>
        <w:pStyle w:val="BodyText2"/>
        <w:widowControl/>
        <w:spacing w:lineRule="auto" w:line="240"/>
        <w:rPr>
          <w:rFonts w:cs="Arial"/>
        </w:rPr>
      </w:pPr>
      <w:r>
        <w:rPr>
          <w:rFonts w:cs="Arial"/>
        </w:rPr>
        <w:t>Crescendo Energy, LLC is pleased to submit this proposal for your consideration and would appreciate the opportunity to discuss it with you in greater detail.  Crescendo is working to mobilize and install a finished facility to the location in a time frame that allows revenue generation from gas sales of your low-Btu reserves in the earliest possible time.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Although this proposal and letter of intent is targeting Lone Mountain’s Bar-X Entrada reserves, the BWGP can process treat a wide range of gas compositions.  Crescendo would like to extend this proposal to any and all low-Btu gas production (all formations) operated by Lone Mountain currently shut-in or curtailed in this area.  </w:t>
      </w:r>
    </w:p>
    <w:p>
      <w:pPr>
        <w:pStyle w:val="Normal"/>
        <w:jc w:val="both"/>
        <w:rPr>
          <w:rFonts w:ascii="Arial" w:hAnsi="Arial" w:cs="Arial"/>
          <w:sz w:val="22"/>
        </w:rPr>
      </w:pPr>
      <w:r>
        <w:rPr>
          <w:rFonts w:cs="Arial" w:ascii="Arial" w:hAnsi="Arial"/>
          <w:sz w:val="22"/>
        </w:rPr>
      </w:r>
    </w:p>
    <w:p>
      <w:pPr>
        <w:pStyle w:val="BodyText2"/>
        <w:widowControl/>
        <w:spacing w:lineRule="auto" w:line="240"/>
        <w:rPr/>
      </w:pPr>
      <w:r>
        <w:rPr>
          <w:rFonts w:cs="Arial"/>
        </w:rPr>
        <w:t xml:space="preserve">If the terms and conditions of this letter are in accord with your understanding, please sign and return the enclosed counterpart of this letter no later than </w:t>
      </w:r>
      <w:bookmarkStart w:id="2" w:name="WWSetBkmk2"/>
      <w:r>
        <w:rPr>
          <w:rFonts w:cs="Arial"/>
        </w:rPr>
        <w:fldChar w:fldCharType="begin"/>
      </w:r>
      <w:r>
        <w:rPr>
          <w:rFonts w:cs="Arial"/>
        </w:rPr>
        <w:instrText xml:space="preserve"> SET Seller_x0013_fillin "________________________" </w:instrText>
      </w:r>
      <w:r>
        <w:rPr>
          <w:rFonts w:cs="Arial"/>
        </w:rPr>
        <w:fldChar w:fldCharType="separate"/>
      </w:r>
      <w:bookmarkStart w:id="3" w:name="Seller%13fillin"/>
      <w:r>
        <w:rPr>
          <w:rFonts w:cs="Arial"/>
        </w:rPr>
      </w:r>
      <w:bookmarkEnd w:id="3"/>
      <w:r>
        <w:rPr>
          <w:rFonts w:cs="Arial"/>
        </w:rPr>
        <w:fldChar w:fldCharType="end"/>
      </w:r>
      <w:bookmarkEnd w:id="2"/>
      <w:r>
        <w:rPr>
          <w:rFonts w:cs="Arial"/>
        </w:rPr>
        <w:t>January 26, 2001, after which date, if not signed and returned, this letter shall be null and void.</w:t>
      </w:r>
    </w:p>
    <w:p>
      <w:pPr>
        <w:pStyle w:val="BodyText2"/>
        <w:widowControl/>
        <w:spacing w:lineRule="auto" w:line="240"/>
        <w:rPr>
          <w:rFonts w:cs="Arial"/>
        </w:rPr>
      </w:pPr>
      <w:r>
        <w:rPr>
          <w:rFonts w:cs="Arial"/>
        </w:rPr>
      </w:r>
    </w:p>
    <w:p>
      <w:pPr>
        <w:pStyle w:val="BodyText2"/>
        <w:widowControl/>
        <w:spacing w:lineRule="auto" w:line="240"/>
        <w:rPr>
          <w:rFonts w:cs="Arial"/>
        </w:rPr>
      </w:pPr>
      <w:r>
        <w:rPr>
          <w:rFonts w:cs="Arial"/>
        </w:rPr>
      </w:r>
    </w:p>
    <w:p>
      <w:pPr>
        <w:pStyle w:val="BodyText2"/>
        <w:widowControl/>
        <w:spacing w:lineRule="auto" w:line="240"/>
        <w:jc w:val="center"/>
        <w:rPr>
          <w:rFonts w:cs="Arial"/>
        </w:rPr>
      </w:pPr>
      <w:r>
        <w:rPr>
          <w:rFonts w:cs="Arial"/>
        </w:rPr>
        <w:t>(Signatures are located on the next page)</w:t>
      </w:r>
    </w:p>
    <w:p>
      <w:pPr>
        <w:pStyle w:val="BodyText2"/>
        <w:widowControl/>
        <w:spacing w:lineRule="auto" w:line="240"/>
        <w:rPr>
          <w:rFonts w:cs="Arial"/>
        </w:rPr>
      </w:pPr>
      <w:r>
        <w:rPr>
          <w:rFonts w:cs="Arial"/>
        </w:rPr>
      </w:r>
    </w:p>
    <w:p>
      <w:pPr>
        <w:pStyle w:val="BodyText2"/>
        <w:widowControl/>
        <w:spacing w:lineRule="auto" w:line="240"/>
        <w:rPr>
          <w:rFonts w:cs="Arial"/>
        </w:rPr>
      </w:pPr>
      <w:r>
        <w:rPr>
          <w:rFonts w:cs="Arial"/>
        </w:rPr>
      </w:r>
      <w:r>
        <w:br w:type="page"/>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 look forward to working with Lone Mountain Production Company on this project.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ab/>
        <w:tab/>
        <w:tab/>
        <w:tab/>
        <w:tab/>
        <w:t>Sincerely yours,</w:t>
      </w:r>
    </w:p>
    <w:p>
      <w:pPr>
        <w:pStyle w:val="Normal"/>
        <w:jc w:val="both"/>
        <w:rPr>
          <w:rFonts w:ascii="Arial" w:hAnsi="Arial" w:cs="Arial"/>
          <w:sz w:val="22"/>
        </w:rPr>
      </w:pPr>
      <w:r>
        <w:rPr>
          <w:rFonts w:cs="Arial" w:ascii="Arial" w:hAnsi="Arial"/>
          <w:sz w:val="22"/>
        </w:rPr>
        <w:tab/>
        <w:tab/>
        <w:tab/>
        <w:tab/>
        <w:tab/>
        <w:tab/>
      </w:r>
    </w:p>
    <w:p>
      <w:pPr>
        <w:pStyle w:val="Normal"/>
        <w:ind w:firstLine="720" w:end="0"/>
        <w:jc w:val="both"/>
        <w:rPr>
          <w:rFonts w:ascii="Arial" w:hAnsi="Arial" w:cs="Arial"/>
          <w:sz w:val="22"/>
        </w:rPr>
      </w:pPr>
      <w:r>
        <w:rPr>
          <w:rFonts w:cs="Arial" w:ascii="Arial" w:hAnsi="Arial"/>
          <w:sz w:val="22"/>
        </w:rPr>
        <w:tab/>
        <w:tab/>
        <w:tab/>
        <w:tab/>
        <w:tab/>
        <w:t>Crescendo Energy, LLC</w:t>
      </w:r>
    </w:p>
    <w:p>
      <w:pPr>
        <w:pStyle w:val="Normal"/>
        <w:ind w:start="4320" w:end="0"/>
        <w:jc w:val="both"/>
        <w:rPr>
          <w:rFonts w:ascii="Arial" w:hAnsi="Arial" w:cs="Arial"/>
          <w:sz w:val="22"/>
        </w:rPr>
      </w:pPr>
      <w:r>
        <w:rPr>
          <w:rFonts w:cs="Arial" w:ascii="Arial" w:hAnsi="Arial"/>
          <w:sz w:val="22"/>
        </w:rPr>
        <w:t>By:  Crescendo Energy Partners, its</w:t>
      </w:r>
    </w:p>
    <w:p>
      <w:pPr>
        <w:pStyle w:val="Normal"/>
        <w:ind w:start="4320" w:end="0"/>
        <w:jc w:val="both"/>
        <w:rPr>
          <w:rFonts w:ascii="Arial" w:hAnsi="Arial" w:cs="Arial"/>
          <w:sz w:val="22"/>
        </w:rPr>
      </w:pPr>
      <w:r>
        <w:rPr>
          <w:rFonts w:cs="Arial" w:ascii="Arial" w:hAnsi="Arial"/>
          <w:sz w:val="22"/>
        </w:rPr>
        <w:t>Managing Member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ab/>
        <w:tab/>
        <w:tab/>
        <w:tab/>
        <w:tab/>
        <w:t>James J. Osborne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Approved this ____ day of October,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Lone Mountain Production Company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spacing w:before="120" w:after="0"/>
        <w:jc w:val="both"/>
        <w:rPr>
          <w:rFonts w:ascii="Arial" w:hAnsi="Arial" w:cs="Arial"/>
          <w:sz w:val="22"/>
        </w:rPr>
      </w:pPr>
      <w:r>
        <w:rPr>
          <w:rFonts w:cs="Arial" w:ascii="Arial" w:hAnsi="Arial"/>
          <w:sz w:val="22"/>
        </w:rPr>
        <w:t>By:</w:t>
      </w:r>
      <w:r>
        <w:rPr>
          <w:rFonts w:cs="Arial" w:ascii="Arial" w:hAnsi="Arial"/>
          <w:sz w:val="22"/>
          <w:u w:val="single"/>
        </w:rPr>
        <w:tab/>
        <w:tab/>
        <w:tab/>
        <w:tab/>
        <w:tab/>
        <w:tab/>
      </w:r>
    </w:p>
    <w:p>
      <w:pPr>
        <w:pStyle w:val="Normal"/>
        <w:spacing w:before="120" w:after="0"/>
        <w:jc w:val="both"/>
        <w:rPr>
          <w:rFonts w:ascii="Arial" w:hAnsi="Arial" w:cs="Arial"/>
          <w:sz w:val="22"/>
        </w:rPr>
      </w:pPr>
      <w:r>
        <w:rPr>
          <w:rFonts w:cs="Arial" w:ascii="Arial" w:hAnsi="Arial"/>
          <w:sz w:val="22"/>
        </w:rPr>
        <w:t>Name:</w:t>
      </w:r>
      <w:r>
        <w:rPr>
          <w:rFonts w:cs="Arial" w:ascii="Arial" w:hAnsi="Arial"/>
          <w:sz w:val="22"/>
          <w:u w:val="single"/>
        </w:rPr>
        <w:tab/>
        <w:tab/>
        <w:tab/>
        <w:tab/>
        <w:tab/>
        <w:tab/>
      </w:r>
    </w:p>
    <w:p>
      <w:pPr>
        <w:pStyle w:val="Normal"/>
        <w:spacing w:before="120" w:after="0"/>
        <w:jc w:val="both"/>
        <w:rPr>
          <w:rFonts w:ascii="Arial" w:hAnsi="Arial" w:cs="Arial"/>
          <w:sz w:val="22"/>
        </w:rPr>
      </w:pPr>
      <w:r>
        <w:rPr>
          <w:rFonts w:cs="Arial" w:ascii="Arial" w:hAnsi="Arial"/>
          <w:sz w:val="22"/>
        </w:rPr>
        <w:t>Title:</w:t>
      </w:r>
      <w:r>
        <w:rPr>
          <w:rFonts w:cs="Arial" w:ascii="Arial" w:hAnsi="Arial"/>
          <w:sz w:val="22"/>
          <w:u w:val="single"/>
        </w:rPr>
        <w:tab/>
        <w:tab/>
        <w:tab/>
        <w:tab/>
        <w:tab/>
        <w:tab/>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rPr>
          <w:rFonts w:ascii="Arial" w:hAnsi="Arial" w:cs="Arial"/>
          <w:sz w:val="16"/>
        </w:rPr>
      </w:pPr>
      <w:r>
        <w:rPr>
          <w:rFonts w:cs="Arial" w:ascii="Arial" w:hAnsi="Arial"/>
          <w:sz w:val="16"/>
        </w:rPr>
        <w:t>jjo: dag</w:t>
      </w:r>
    </w:p>
    <w:p>
      <w:pPr>
        <w:pStyle w:val="Normal"/>
        <w:rPr>
          <w:rFonts w:ascii="Arial" w:hAnsi="Arial" w:cs="Arial"/>
          <w:sz w:val="16"/>
        </w:rPr>
      </w:pPr>
      <w:r>
        <w:rPr>
          <w:rFonts w:cs="Arial" w:ascii="Arial" w:hAnsi="Arial"/>
          <w:sz w:val="16"/>
        </w:rPr>
        <w:t>Attachments</w:t>
      </w:r>
    </w:p>
    <w:p>
      <w:pPr>
        <w:pStyle w:val="Normal"/>
        <w:rPr>
          <w:rFonts w:ascii="Arial" w:hAnsi="Arial" w:cs="Arial"/>
          <w:sz w:val="16"/>
        </w:rPr>
      </w:pPr>
      <w:r>
        <w:rPr>
          <w:rFonts w:cs="Arial" w:ascii="Arial" w:hAnsi="Arial"/>
          <w:sz w:val="16"/>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2"/>
        <w:widowControl/>
        <w:spacing w:lineRule="auto" w:line="240"/>
        <w:jc w:val="center"/>
        <w:rPr>
          <w:rFonts w:cs="Arial"/>
        </w:rPr>
      </w:pPr>
      <w:r>
        <w:rPr>
          <w:rFonts w:cs="Arial"/>
        </w:rPr>
        <w:t>(Signature Page for Processing Letter of Intent)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ind w:hanging="0" w:start="0"/>
        <w:rPr>
          <w:rFonts w:ascii="Times New Roman" w:hAnsi="Times New Roman" w:cs="Times New Roman"/>
        </w:rPr>
      </w:pPr>
      <w:r>
        <w:rPr>
          <w:rFonts w:cs="Times New Roman" w:ascii="Times New Roman" w:hAnsi="Times New Roman"/>
        </w:rPr>
        <w:t>EXHIBIT A</w:t>
      </w:r>
    </w:p>
    <w:p>
      <w:pPr>
        <w:pStyle w:val="Normal"/>
        <w:rPr>
          <w:rFonts w:ascii="Times New Roman" w:hAnsi="Times New Roman" w:cs="Times New Roman"/>
        </w:rPr>
      </w:pPr>
      <w:r>
        <w:rPr>
          <w:rFonts w:cs="Times New Roman"/>
        </w:rPr>
      </w:r>
    </w:p>
    <w:p>
      <w:pPr>
        <w:pStyle w:val="Normal"/>
        <w:rPr/>
      </w:pPr>
      <w:r>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tbl>
      <w:tblPr>
        <w:tblW w:w="8748" w:type="dxa"/>
        <w:jc w:val="start"/>
        <w:tblInd w:w="0" w:type="dxa"/>
        <w:tblLayout w:type="fixed"/>
        <w:tblCellMar>
          <w:top w:w="0" w:type="dxa"/>
          <w:start w:w="54" w:type="dxa"/>
          <w:bottom w:w="0" w:type="dxa"/>
          <w:end w:w="54" w:type="dxa"/>
        </w:tblCellMar>
      </w:tblPr>
      <w:tblGrid>
        <w:gridCol w:w="1494"/>
        <w:gridCol w:w="1530"/>
        <w:gridCol w:w="3987"/>
        <w:gridCol w:w="1737"/>
      </w:tblGrid>
      <w:tr>
        <w:trPr>
          <w:trHeight w:val="690" w:hRule="atLeast"/>
        </w:trPr>
        <w:tc>
          <w:tcPr>
            <w:tcW w:w="1494" w:type="dxa"/>
            <w:tcBorders/>
          </w:tcPr>
          <w:p>
            <w:pPr>
              <w:pStyle w:val="Heading4"/>
              <w:widowControl w:val="false"/>
              <w:autoSpaceDE w:val="false"/>
              <w:spacing w:before="120" w:after="120"/>
              <w:ind w:hanging="0" w:start="0"/>
              <w:rPr>
                <w:rFonts w:cs="Arial"/>
                <w:bCs/>
              </w:rPr>
            </w:pPr>
            <w:r>
              <w:rPr>
                <w:rFonts w:cs="Arial"/>
                <w:bCs/>
              </w:rPr>
              <w:t>Lease Number</w:t>
            </w:r>
          </w:p>
        </w:tc>
        <w:tc>
          <w:tcPr>
            <w:tcW w:w="1530" w:type="dxa"/>
            <w:tcBorders/>
          </w:tcPr>
          <w:p>
            <w:pPr>
              <w:pStyle w:val="Normal"/>
              <w:widowControl w:val="false"/>
              <w:autoSpaceDE w:val="false"/>
              <w:spacing w:before="120" w:after="120"/>
              <w:jc w:val="center"/>
              <w:rPr>
                <w:rFonts w:ascii="Arial" w:hAnsi="Arial" w:cs="Arial"/>
                <w:b/>
                <w:bCs/>
              </w:rPr>
            </w:pPr>
            <w:r>
              <w:rPr>
                <w:rFonts w:cs="Arial" w:ascii="Arial" w:hAnsi="Arial"/>
                <w:b/>
                <w:bCs/>
              </w:rPr>
              <w:t>Well Number</w:t>
            </w:r>
          </w:p>
        </w:tc>
        <w:tc>
          <w:tcPr>
            <w:tcW w:w="3987" w:type="dxa"/>
            <w:tcBorders/>
          </w:tcPr>
          <w:p>
            <w:pPr>
              <w:pStyle w:val="Normal"/>
              <w:widowControl w:val="false"/>
              <w:autoSpaceDE w:val="false"/>
              <w:spacing w:before="120" w:after="120"/>
              <w:jc w:val="center"/>
              <w:rPr>
                <w:rFonts w:ascii="Arial" w:hAnsi="Arial" w:cs="Arial"/>
                <w:b/>
                <w:bCs/>
              </w:rPr>
            </w:pPr>
            <w:r>
              <w:rPr>
                <w:rFonts w:cs="Arial" w:ascii="Arial" w:hAnsi="Arial"/>
                <w:b/>
                <w:bCs/>
              </w:rPr>
              <w:t>Description</w:t>
            </w:r>
          </w:p>
        </w:tc>
        <w:tc>
          <w:tcPr>
            <w:tcW w:w="1737" w:type="dxa"/>
            <w:tcBorders/>
          </w:tcPr>
          <w:p>
            <w:pPr>
              <w:pStyle w:val="Normal"/>
              <w:widowControl w:val="false"/>
              <w:autoSpaceDE w:val="false"/>
              <w:spacing w:before="120" w:after="120"/>
              <w:jc w:val="center"/>
              <w:rPr>
                <w:rFonts w:ascii="Arial" w:hAnsi="Arial" w:cs="Arial"/>
                <w:b/>
                <w:bCs/>
              </w:rPr>
            </w:pPr>
            <w:r>
              <w:rPr>
                <w:rFonts w:cs="Arial" w:ascii="Arial" w:hAnsi="Arial"/>
                <w:b/>
                <w:bCs/>
              </w:rPr>
              <w:t>Acres</w:t>
            </w:r>
          </w:p>
        </w:tc>
      </w:tr>
      <w:tr>
        <w:trPr/>
        <w:tc>
          <w:tcPr>
            <w:tcW w:w="1494" w:type="dxa"/>
            <w:tcBorders/>
          </w:tcPr>
          <w:p>
            <w:pPr>
              <w:pStyle w:val="Normal"/>
              <w:widowControl w:val="false"/>
              <w:autoSpaceDE w:val="false"/>
              <w:snapToGrid w:val="false"/>
              <w:rPr>
                <w:rFonts w:ascii="Arial" w:hAnsi="Arial" w:cs="Arial"/>
                <w:b/>
                <w:bCs/>
              </w:rPr>
            </w:pPr>
            <w:r>
              <w:rPr>
                <w:rFonts w:cs="Arial" w:ascii="Arial" w:hAnsi="Arial"/>
                <w:b/>
                <w:bCs/>
              </w:rPr>
            </w:r>
          </w:p>
        </w:tc>
        <w:tc>
          <w:tcPr>
            <w:tcW w:w="1530" w:type="dxa"/>
            <w:tcBorders/>
          </w:tcPr>
          <w:p>
            <w:pPr>
              <w:pStyle w:val="Normal"/>
              <w:widowControl w:val="false"/>
              <w:autoSpaceDE w:val="false"/>
              <w:snapToGrid w:val="false"/>
              <w:rPr>
                <w:rFonts w:ascii="Arial" w:hAnsi="Arial" w:cs="Arial"/>
              </w:rPr>
            </w:pPr>
            <w:r>
              <w:rPr>
                <w:rFonts w:cs="Arial" w:ascii="Arial" w:hAnsi="Arial"/>
              </w:rPr>
            </w:r>
          </w:p>
        </w:tc>
        <w:tc>
          <w:tcPr>
            <w:tcW w:w="3987" w:type="dxa"/>
            <w:tcBorders/>
          </w:tcPr>
          <w:p>
            <w:pPr>
              <w:pStyle w:val="Normal"/>
              <w:widowControl w:val="false"/>
              <w:autoSpaceDE w:val="false"/>
              <w:snapToGrid w:val="false"/>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jc w:val="end"/>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rPr>
                <w:rFonts w:ascii="Arial" w:hAnsi="Arial" w:cs="Arial"/>
              </w:rPr>
            </w:pPr>
            <w:r>
              <w:rPr>
                <w:rFonts w:cs="Arial" w:ascii="Arial" w:hAnsi="Arial"/>
              </w:rPr>
            </w:r>
          </w:p>
        </w:tc>
        <w:tc>
          <w:tcPr>
            <w:tcW w:w="3987" w:type="dxa"/>
            <w:tcBorders/>
          </w:tcPr>
          <w:p>
            <w:pPr>
              <w:pStyle w:val="Normal"/>
              <w:widowControl w:val="false"/>
              <w:autoSpaceDE w:val="false"/>
              <w:snapToGrid w:val="false"/>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jc w:val="end"/>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rPr>
                <w:rFonts w:ascii="Arial" w:hAnsi="Arial" w:cs="Arial"/>
              </w:rPr>
            </w:pPr>
            <w:r>
              <w:rPr>
                <w:rFonts w:cs="Arial" w:ascii="Arial" w:hAnsi="Arial"/>
              </w:rPr>
            </w:r>
          </w:p>
        </w:tc>
        <w:tc>
          <w:tcPr>
            <w:tcW w:w="3987" w:type="dxa"/>
            <w:tcBorders/>
          </w:tcPr>
          <w:p>
            <w:pPr>
              <w:pStyle w:val="Normal"/>
              <w:widowControl w:val="false"/>
              <w:autoSpaceDE w:val="false"/>
              <w:snapToGrid w:val="false"/>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jc w:val="end"/>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rPr>
                <w:rFonts w:ascii="Arial" w:hAnsi="Arial" w:cs="Arial"/>
              </w:rPr>
            </w:pPr>
            <w:r>
              <w:rPr>
                <w:rFonts w:cs="Arial" w:ascii="Arial" w:hAnsi="Arial"/>
              </w:rPr>
            </w:r>
          </w:p>
        </w:tc>
        <w:tc>
          <w:tcPr>
            <w:tcW w:w="3987" w:type="dxa"/>
            <w:tcBorders/>
          </w:tcPr>
          <w:p>
            <w:pPr>
              <w:pStyle w:val="Normal"/>
              <w:widowControl w:val="false"/>
              <w:autoSpaceDE w:val="false"/>
              <w:snapToGrid w:val="false"/>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jc w:val="end"/>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jc w:val="end"/>
              <w:rPr>
                <w:rFonts w:ascii="Arial" w:hAnsi="Arial" w:cs="Arial"/>
              </w:rPr>
            </w:pPr>
            <w:r>
              <w:rPr>
                <w:rFonts w:cs="Arial" w:ascii="Arial" w:hAnsi="Arial"/>
              </w:rPr>
            </w:r>
          </w:p>
        </w:tc>
        <w:tc>
          <w:tcPr>
            <w:tcW w:w="3987" w:type="dxa"/>
            <w:tcBorders/>
          </w:tcPr>
          <w:p>
            <w:pPr>
              <w:pStyle w:val="Normal"/>
              <w:widowControl w:val="false"/>
              <w:autoSpaceDE w:val="false"/>
              <w:snapToGrid w:val="false"/>
              <w:jc w:val="end"/>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rPr>
                <w:rFonts w:ascii="Arial" w:hAnsi="Arial" w:cs="Arial"/>
              </w:rPr>
            </w:pPr>
            <w:r>
              <w:rPr>
                <w:rFonts w:cs="Arial" w:ascii="Arial" w:hAnsi="Arial"/>
              </w:rPr>
            </w:r>
          </w:p>
        </w:tc>
        <w:tc>
          <w:tcPr>
            <w:tcW w:w="3987" w:type="dxa"/>
            <w:tcBorders/>
          </w:tcPr>
          <w:p>
            <w:pPr>
              <w:pStyle w:val="Normal"/>
              <w:widowControl w:val="false"/>
              <w:autoSpaceDE w:val="false"/>
              <w:snapToGrid w:val="false"/>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rPr>
                <w:rFonts w:ascii="Arial" w:hAnsi="Arial" w:cs="Arial"/>
              </w:rPr>
            </w:pPr>
            <w:r>
              <w:rPr>
                <w:rFonts w:cs="Arial" w:ascii="Arial" w:hAnsi="Arial"/>
              </w:rPr>
            </w:r>
          </w:p>
        </w:tc>
        <w:tc>
          <w:tcPr>
            <w:tcW w:w="3987" w:type="dxa"/>
            <w:tcBorders/>
          </w:tcPr>
          <w:p>
            <w:pPr>
              <w:pStyle w:val="Normal"/>
              <w:widowControl w:val="false"/>
              <w:autoSpaceDE w:val="false"/>
              <w:snapToGrid w:val="false"/>
              <w:rPr>
                <w:rFonts w:ascii="Arial" w:hAnsi="Arial" w:cs="Arial"/>
              </w:rPr>
            </w:pPr>
            <w:r>
              <w:rPr>
                <w:rFonts w:cs="Arial" w:ascii="Arial" w:hAnsi="Arial"/>
              </w:rPr>
            </w:r>
          </w:p>
        </w:tc>
        <w:tc>
          <w:tcPr>
            <w:tcW w:w="1737" w:type="dxa"/>
            <w:tcBorders/>
          </w:tcPr>
          <w:p>
            <w:pPr>
              <w:pStyle w:val="Normal"/>
              <w:widowControl w:val="false"/>
              <w:autoSpaceDE w:val="false"/>
              <w:snapToGrid w:val="false"/>
              <w:jc w:val="center"/>
              <w:rPr>
                <w:rFonts w:ascii="Arial" w:hAnsi="Arial" w:cs="Arial"/>
              </w:rPr>
            </w:pPr>
            <w:r>
              <w:rPr>
                <w:rFonts w:cs="Arial" w:ascii="Arial" w:hAnsi="Arial"/>
              </w:rPr>
            </w:r>
          </w:p>
        </w:tc>
      </w:tr>
      <w:tr>
        <w:trPr/>
        <w:tc>
          <w:tcPr>
            <w:tcW w:w="1494" w:type="dxa"/>
            <w:tcBorders/>
          </w:tcPr>
          <w:p>
            <w:pPr>
              <w:pStyle w:val="Normal"/>
              <w:widowControl w:val="false"/>
              <w:autoSpaceDE w:val="false"/>
              <w:snapToGrid w:val="false"/>
              <w:rPr>
                <w:rFonts w:ascii="Arial" w:hAnsi="Arial" w:cs="Arial"/>
              </w:rPr>
            </w:pPr>
            <w:r>
              <w:rPr>
                <w:rFonts w:cs="Arial" w:ascii="Arial" w:hAnsi="Arial"/>
              </w:rPr>
            </w:r>
          </w:p>
        </w:tc>
        <w:tc>
          <w:tcPr>
            <w:tcW w:w="1530" w:type="dxa"/>
            <w:tcBorders/>
          </w:tcPr>
          <w:p>
            <w:pPr>
              <w:pStyle w:val="Normal"/>
              <w:widowControl w:val="false"/>
              <w:autoSpaceDE w:val="false"/>
              <w:snapToGrid w:val="false"/>
              <w:rPr>
                <w:rFonts w:ascii="Arial" w:hAnsi="Arial" w:cs="Arial"/>
              </w:rPr>
            </w:pPr>
            <w:r>
              <w:rPr>
                <w:rFonts w:cs="Arial" w:ascii="Arial" w:hAnsi="Arial"/>
              </w:rPr>
            </w:r>
          </w:p>
        </w:tc>
        <w:tc>
          <w:tcPr>
            <w:tcW w:w="3987" w:type="dxa"/>
            <w:tcBorders/>
          </w:tcPr>
          <w:p>
            <w:pPr>
              <w:pStyle w:val="Heading7"/>
              <w:ind w:hanging="0" w:start="0"/>
              <w:rPr/>
            </w:pPr>
            <w:r>
              <w:rPr/>
              <w:t>TOTAL ACRES:</w:t>
            </w:r>
          </w:p>
        </w:tc>
        <w:tc>
          <w:tcPr>
            <w:tcW w:w="1737" w:type="dxa"/>
            <w:tcBorders/>
          </w:tcPr>
          <w:p>
            <w:pPr>
              <w:pStyle w:val="Normal"/>
              <w:widowControl w:val="false"/>
              <w:autoSpaceDE w:val="false"/>
              <w:snapToGrid w:val="false"/>
              <w:jc w:val="center"/>
              <w:rPr>
                <w:rFonts w:ascii="Arial" w:hAnsi="Arial" w:cs="Arial"/>
                <w:b/>
                <w:bCs/>
              </w:rPr>
            </w:pPr>
            <w:r>
              <w:rPr>
                <w:rFonts w:cs="Arial" w:ascii="Arial" w:hAnsi="Arial"/>
                <w:b/>
                <w:bCs/>
              </w:rPr>
            </w:r>
          </w:p>
        </w:tc>
      </w:tr>
    </w:tbl>
    <w:p>
      <w:pPr>
        <w:pStyle w:val="Normal"/>
        <w:rPr>
          <w:rFonts w:ascii="Arial" w:hAnsi="Arial" w:cs="Arial"/>
        </w:rPr>
      </w:pPr>
      <w:r>
        <w:rPr>
          <w:rFonts w:cs="Arial" w:ascii="Arial" w:hAnsi="Arial"/>
        </w:rPr>
      </w:r>
    </w:p>
    <w:sectPr>
      <w:headerReference w:type="default" r:id="rId4"/>
      <w:headerReference w:type="first" r:id="rId5"/>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sz w:val="16"/>
      </w:rPr>
    </w:pPr>
    <w:r>
      <w:rPr>
        <w:rFonts w:cs="Arial" w:ascii="Arial" w:hAnsi="Arial"/>
        <w:sz w:val="16"/>
      </w:rPr>
      <w:t>Lone Mountain</w:t>
      <w:tab/>
      <w:tab/>
      <w:t>January 8, 2001</w:t>
    </w:r>
  </w:p>
  <w:p>
    <w:pPr>
      <w:pStyle w:val="Header"/>
      <w:tabs>
        <w:tab w:val="clear" w:pos="8640"/>
        <w:tab w:val="left" w:pos="4065" w:leader="none"/>
        <w:tab w:val="center" w:pos="4320" w:leader="none"/>
        <w:tab w:val="right" w:pos="9360" w:leader="none"/>
      </w:tabs>
      <w:rPr>
        <w:rStyle w:val="PageNumber"/>
        <w:rFonts w:ascii="Arial" w:hAnsi="Arial" w:cs="Arial"/>
        <w:sz w:val="16"/>
      </w:rPr>
    </w:pPr>
    <w:r>
      <w:rPr>
        <w:rFonts w:cs="Arial" w:ascii="Arial" w:hAnsi="Arial"/>
        <w:sz w:val="16"/>
      </w:rPr>
      <w:t>Letter of Intent – Bar-X Entrada Gas Processing</w:t>
      <w:tab/>
      <w:tab/>
      <w:tab/>
      <w:t xml:space="preserve"> 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p>
    <w:pPr>
      <w:pStyle w:val="Header"/>
      <w:pBdr>
        <w:bottom w:val="single" w:sz="6" w:space="1" w:color="000000"/>
      </w:pBdr>
      <w:tabs>
        <w:tab w:val="clear" w:pos="8640"/>
        <w:tab w:val="center" w:pos="4320" w:leader="none"/>
        <w:tab w:val="right" w:pos="9270" w:leader="none"/>
      </w:tabs>
      <w:rPr>
        <w:rStyle w:val="PageNumber"/>
        <w:rFonts w:ascii="Arial" w:hAnsi="Arial" w:cs="Arial"/>
        <w:sz w:val="16"/>
      </w:rPr>
    </w:pPr>
    <w:r>
      <w:rPr/>
    </w:r>
  </w:p>
  <w:p>
    <w:pPr>
      <w:pStyle w:val="Header"/>
      <w:tabs>
        <w:tab w:val="clear" w:pos="8640"/>
        <w:tab w:val="center" w:pos="4320" w:leader="none"/>
        <w:tab w:val="right" w:pos="9270" w:leader="none"/>
      </w:tabs>
      <w:rPr>
        <w:rStyle w:val="PageNumber"/>
        <w:rFonts w:ascii="Arial" w:hAnsi="Arial" w:cs="Arial"/>
        <w:sz w:val="16"/>
      </w:rPr>
    </w:pPr>
    <w:r>
      <w:rPr/>
    </w:r>
  </w:p>
  <w:p>
    <w:pPr>
      <w:pStyle w:val="Header"/>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rFonts w:ascii="Times New Roman" w:hAnsi="Times New Roman" w:cs="Times New Roman"/>
        <w:sz w:val="48"/>
      </w:rPr>
    </w:pPr>
    <w:r>
      <w:rPr>
        <w:rFonts w:cs="Times New Roman" w:ascii="Times New Roman" w:hAnsi="Times New Roman"/>
        <w:sz w:val="48"/>
      </w:rPr>
      <w:t xml:space="preserve">                                       </w:t>
    </w:r>
    <w:r>
      <w:rPr>
        <w:rFonts w:cs="Times New Roman" w:ascii="Times New Roman" w:hAnsi="Times New Roman"/>
        <w:sz w:val="48"/>
      </w:rPr>
      <w:t>Crescendo Energy, LLC</w:t>
    </w:r>
  </w:p>
  <w:p>
    <w:pPr>
      <w:pStyle w:val="Normal"/>
      <w:jc w:val="center"/>
      <w:rPr>
        <w:sz w:val="36"/>
      </w:rPr>
    </w:pPr>
    <w:r>
      <w:rPr>
        <w:sz w:val="16"/>
      </w:rPr>
      <w:t>1031 Andrews Highway, Suite 211, P. O. Box 1814 (79702), Midland, Texas 79701   Phone: (915) 697-7221   Fax: (915) 697-7289</w:t>
    </w:r>
  </w:p>
  <w:p>
    <w:pPr>
      <w:pStyle w:val="Header"/>
      <w:rPr>
        <w:sz w:val="36"/>
      </w:rPr>
    </w:pPr>
    <w:r>
      <w:rPr>
        <w:sz w:val="36"/>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sz w:val="16"/>
      </w:rPr>
    </w:pPr>
    <w:r>
      <w:rPr>
        <w:rFonts w:cs="Arial" w:ascii="Arial" w:hAnsi="Arial"/>
        <w:sz w:val="16"/>
      </w:rPr>
      <w:t>Lone Mountain</w:t>
      <w:tab/>
      <w:tab/>
      <w:t>January 8, 2001</w:t>
    </w:r>
  </w:p>
  <w:p>
    <w:pPr>
      <w:pStyle w:val="Header"/>
      <w:tabs>
        <w:tab w:val="clear" w:pos="8640"/>
        <w:tab w:val="left" w:pos="4065" w:leader="none"/>
        <w:tab w:val="center" w:pos="4320" w:leader="none"/>
        <w:tab w:val="right" w:pos="9360" w:leader="none"/>
      </w:tabs>
      <w:rPr/>
    </w:pPr>
    <w:r>
      <w:rPr>
        <w:rFonts w:cs="Arial" w:ascii="Arial" w:hAnsi="Arial"/>
        <w:sz w:val="16"/>
      </w:rPr>
      <w:t>Letter of Intent – Bar-X Entrada Gas Processing</w:t>
      <w:tab/>
      <w:tab/>
      <w:tab/>
      <w:t xml:space="preserve"> 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p>
  <w:p>
    <w:pPr>
      <w:pStyle w:val="Header"/>
      <w:pBdr>
        <w:bottom w:val="single" w:sz="6" w:space="1" w:color="000000"/>
      </w:pBdr>
      <w:tabs>
        <w:tab w:val="clear" w:pos="8640"/>
        <w:tab w:val="center" w:pos="4320" w:leader="none"/>
        <w:tab w:val="right" w:pos="9270" w:leader="none"/>
      </w:tabs>
      <w:rPr>
        <w:rStyle w:val="PageNumber"/>
        <w:rFonts w:ascii="Arial" w:hAnsi="Arial" w:cs="Arial"/>
        <w:sz w:val="16"/>
      </w:rPr>
    </w:pPr>
    <w:r>
      <w:rPr/>
    </w:r>
  </w:p>
  <w:p>
    <w:pPr>
      <w:pStyle w:val="Header"/>
      <w:tabs>
        <w:tab w:val="clear" w:pos="8640"/>
        <w:tab w:val="center" w:pos="4320" w:leader="none"/>
        <w:tab w:val="right" w:pos="9270" w:leader="none"/>
      </w:tabs>
      <w:rPr>
        <w:rStyle w:val="PageNumber"/>
        <w:rFonts w:ascii="Arial" w:hAnsi="Arial" w:cs="Arial"/>
        <w:sz w:val="16"/>
      </w:rPr>
    </w:pPr>
    <w:r>
      <w:rPr/>
    </w:r>
  </w:p>
  <w:p>
    <w:pPr>
      <w:pStyle w:val="Header"/>
      <w:rPr>
        <w:rFonts w:ascii="Arial" w:hAnsi="Arial" w:cs="Arial"/>
        <w:sz w:val="16"/>
      </w:rPr>
    </w:pPr>
    <w:r>
      <w:rPr>
        <w:rFonts w:cs="Arial" w:ascii="Arial" w:hAnsi="Arial"/>
        <w:sz w:val="1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sz w:val="16"/>
      </w:rPr>
    </w:pPr>
    <w:r>
      <w:rPr>
        <w:rFonts w:cs="Arial" w:ascii="Arial" w:hAnsi="Arial"/>
        <w:sz w:val="16"/>
      </w:rPr>
      <w:t>Lone Mountain</w:t>
      <w:tab/>
      <w:tab/>
      <w:t>January 8, 2001</w:t>
    </w:r>
  </w:p>
  <w:p>
    <w:pPr>
      <w:pStyle w:val="Header"/>
      <w:tabs>
        <w:tab w:val="clear" w:pos="8640"/>
        <w:tab w:val="left" w:pos="4065" w:leader="none"/>
        <w:tab w:val="center" w:pos="4320" w:leader="none"/>
        <w:tab w:val="right" w:pos="9360" w:leader="none"/>
      </w:tabs>
      <w:rPr>
        <w:rStyle w:val="PageNumber"/>
        <w:rFonts w:ascii="Arial" w:hAnsi="Arial" w:cs="Arial"/>
        <w:sz w:val="16"/>
      </w:rPr>
    </w:pPr>
    <w:r>
      <w:rPr>
        <w:rFonts w:cs="Arial" w:ascii="Arial" w:hAnsi="Arial"/>
        <w:sz w:val="16"/>
      </w:rPr>
      <w:t>Letter of Intent – Bar-X Entrada Gas Processing</w:t>
      <w:tab/>
      <w:tab/>
      <w:tab/>
      <w:t xml:space="preserve"> 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7</w:t>
    </w:r>
    <w:r>
      <w:rPr>
        <w:rStyle w:val="PageNumber"/>
        <w:sz w:val="16"/>
      </w:rPr>
      <w:fldChar w:fldCharType="end"/>
    </w:r>
  </w:p>
  <w:p>
    <w:pPr>
      <w:pStyle w:val="Header"/>
      <w:pBdr>
        <w:bottom w:val="single" w:sz="6" w:space="1" w:color="000000"/>
      </w:pBdr>
      <w:tabs>
        <w:tab w:val="clear" w:pos="8640"/>
        <w:tab w:val="center" w:pos="4320" w:leader="none"/>
        <w:tab w:val="right" w:pos="9270" w:leader="none"/>
      </w:tabs>
      <w:rPr>
        <w:rStyle w:val="PageNumber"/>
        <w:rFonts w:ascii="Arial" w:hAnsi="Arial" w:cs="Arial"/>
        <w:sz w:val="16"/>
      </w:rPr>
    </w:pPr>
    <w:r>
      <w:rPr/>
    </w:r>
  </w:p>
  <w:p>
    <w:pPr>
      <w:pStyle w:val="Header"/>
      <w:tabs>
        <w:tab w:val="clear" w:pos="8640"/>
        <w:tab w:val="center" w:pos="4320" w:leader="none"/>
        <w:tab w:val="right" w:pos="9360" w:leader="none"/>
      </w:tabs>
      <w:rPr>
        <w:rStyle w:val="PageNumber"/>
        <w:rFonts w:ascii="Arial" w:hAnsi="Arial" w:cs="Arial"/>
        <w:sz w:val="16"/>
      </w:rPr>
    </w:pPr>
    <w:r>
      <w:rPr/>
    </w:r>
  </w:p>
  <w:p>
    <w:pPr>
      <w:pStyle w:val="Header"/>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i/>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24"/>
    </w:rPr>
  </w:style>
  <w:style w:type="paragraph" w:styleId="Heading4">
    <w:name w:val="heading 4"/>
    <w:basedOn w:val="Normal"/>
    <w:next w:val="Normal"/>
    <w:qFormat/>
    <w:pPr>
      <w:keepNext w:val="true"/>
      <w:numPr>
        <w:ilvl w:val="3"/>
        <w:numId w:val="1"/>
      </w:numPr>
      <w:spacing w:before="120" w:after="120"/>
      <w:jc w:val="center"/>
      <w:outlineLvl w:val="3"/>
    </w:pPr>
    <w:rPr>
      <w:rFonts w:ascii="Arial" w:hAnsi="Arial" w:cs="Arial"/>
      <w:b/>
    </w:rPr>
  </w:style>
  <w:style w:type="paragraph" w:styleId="Heading5">
    <w:name w:val="heading 5"/>
    <w:basedOn w:val="Normal"/>
    <w:next w:val="Normal"/>
    <w:qFormat/>
    <w:pPr>
      <w:keepNext w:val="true"/>
      <w:numPr>
        <w:ilvl w:val="4"/>
        <w:numId w:val="1"/>
      </w:numPr>
      <w:jc w:val="both"/>
      <w:outlineLvl w:val="4"/>
    </w:pPr>
    <w:rPr>
      <w:rFonts w:ascii="Arial" w:hAnsi="Arial" w:cs="Arial"/>
      <w:b/>
      <w:bCs/>
    </w:rPr>
  </w:style>
  <w:style w:type="paragraph" w:styleId="Heading6">
    <w:name w:val="heading 6"/>
    <w:basedOn w:val="Normal"/>
    <w:next w:val="Normal"/>
    <w:qFormat/>
    <w:pPr>
      <w:keepNext w:val="true"/>
      <w:numPr>
        <w:ilvl w:val="5"/>
        <w:numId w:val="1"/>
      </w:numPr>
      <w:jc w:val="both"/>
      <w:outlineLvl w:val="5"/>
    </w:pPr>
    <w:rPr>
      <w:rFonts w:ascii="Arial" w:hAnsi="Arial" w:cs="Arial"/>
      <w:b/>
      <w:sz w:val="22"/>
    </w:rPr>
  </w:style>
  <w:style w:type="paragraph" w:styleId="Heading7">
    <w:name w:val="heading 7"/>
    <w:basedOn w:val="Normal"/>
    <w:next w:val="Normal"/>
    <w:qFormat/>
    <w:pPr>
      <w:keepNext w:val="true"/>
      <w:widowControl w:val="false"/>
      <w:numPr>
        <w:ilvl w:val="6"/>
        <w:numId w:val="1"/>
      </w:numPr>
      <w:autoSpaceDE w:val="false"/>
      <w:jc w:val="end"/>
      <w:outlineLvl w:val="6"/>
    </w:pPr>
    <w:rPr>
      <w:rFonts w:ascii="Arial" w:hAnsi="Arial" w:cs="Arial"/>
      <w:b/>
      <w:bCs/>
    </w:rPr>
  </w:style>
  <w:style w:type="character" w:styleId="WW8Num1z0">
    <w:name w:val="WW8Num1z0"/>
    <w:qFormat/>
    <w:rPr>
      <w:rFonts w:ascii="Arial" w:hAnsi="Arial" w:cs="Arial"/>
      <w:b w:val="false"/>
      <w:i w:val="false"/>
      <w:sz w:val="20"/>
      <w:u w:val="none"/>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cs="Times New Roman"/>
      <w:b/>
      <w:i/>
      <w:sz w:val="20"/>
      <w:u w:val="none"/>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pPr>
    <w:rPr>
      <w:rFonts w:ascii="Arial" w:hAnsi="Arial" w:cs="Arial"/>
    </w:rPr>
  </w:style>
  <w:style w:type="paragraph" w:styleId="BodyTextIndent2">
    <w:name w:val="Body Text Indent 2"/>
    <w:basedOn w:val="Normal"/>
    <w:qFormat/>
    <w:pPr>
      <w:spacing w:lineRule="auto" w:line="288"/>
      <w:ind w:hanging="0" w:start="1440" w:end="0"/>
      <w:jc w:val="both"/>
    </w:pPr>
    <w:rPr>
      <w:rFonts w:ascii="Arial" w:hAnsi="Arial" w:cs="Arial"/>
      <w:sz w:val="24"/>
    </w:rPr>
  </w:style>
  <w:style w:type="paragraph" w:styleId="BodyText2">
    <w:name w:val="Body Text 2"/>
    <w:basedOn w:val="Normal"/>
    <w:qFormat/>
    <w:pPr>
      <w:widowControl w:val="false"/>
      <w:spacing w:lineRule="auto" w:line="288"/>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2000-12-04T15:01:00Z</dcterms:created>
  <dc:creator>Frank Nessinger</dc:creator>
  <dc:description/>
  <dc:language>en-CA</dc:language>
  <cp:lastModifiedBy>Ken Krisa</cp:lastModifiedBy>
  <cp:lastPrinted>2000-12-04T11:30:00Z</cp:lastPrinted>
  <dcterms:modified xsi:type="dcterms:W3CDTF">2001-01-08T11:44:00Z</dcterms:modified>
  <cp:revision>12</cp:revision>
  <dc:subject/>
  <dc:title>DRAFT GATHERING PROPOSAL - 3/31/97</dc:title>
</cp:coreProperties>
</file>